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38" w:type="dxa"/>
        <w:tblInd w:w="70" w:type="dxa"/>
        <w:tblLayout w:type="fixed"/>
        <w:tblCellMar>
          <w:left w:w="70" w:type="dxa"/>
          <w:right w:w="70" w:type="dxa"/>
        </w:tblCellMar>
        <w:tblLook w:val="0000" w:firstRow="0" w:lastRow="0" w:firstColumn="0" w:lastColumn="0" w:noHBand="0" w:noVBand="0"/>
      </w:tblPr>
      <w:tblGrid>
        <w:gridCol w:w="9538"/>
      </w:tblGrid>
      <w:tr w:rsidR="00C26DFB" w:rsidRPr="00020CD0" w:rsidTr="00CB7D7E">
        <w:tblPrEx>
          <w:tblCellMar>
            <w:top w:w="0" w:type="dxa"/>
            <w:bottom w:w="0" w:type="dxa"/>
          </w:tblCellMar>
        </w:tblPrEx>
        <w:trPr>
          <w:trHeight w:val="537"/>
        </w:trPr>
        <w:tc>
          <w:tcPr>
            <w:tcW w:w="9538" w:type="dxa"/>
            <w:tcBorders>
              <w:top w:val="single" w:sz="4" w:space="0" w:color="auto"/>
            </w:tcBorders>
          </w:tcPr>
          <w:p w:rsidR="00C26DFB" w:rsidRPr="00020CD0" w:rsidRDefault="00C26DFB" w:rsidP="00DC50EB">
            <w:pPr>
              <w:pStyle w:val="Cabealho"/>
              <w:tabs>
                <w:tab w:val="clear" w:pos="4419"/>
                <w:tab w:val="clear" w:pos="8838"/>
              </w:tabs>
              <w:jc w:val="both"/>
            </w:pPr>
            <w:bookmarkStart w:id="0" w:name="_GoBack"/>
            <w:bookmarkEnd w:id="0"/>
            <w:r w:rsidRPr="00020CD0">
              <w:t>Este Informativo, elaborado a partir de notas tomadas nas sessões de julgamentos, contém resumos não</w:t>
            </w:r>
            <w:r w:rsidR="00DC50EB" w:rsidRPr="00020CD0">
              <w:t xml:space="preserve"> </w:t>
            </w:r>
            <w:r w:rsidRPr="00020CD0">
              <w:t>oficiais de decisões proferidas pelo Tribunal. A fidelidade dos resumos ao conteúdo efetivo das decisões, embora seja uma das metas perseguidas neste trabalho, somente poderá ser aferida após a sua publicação no Diário</w:t>
            </w:r>
            <w:r w:rsidR="00980944" w:rsidRPr="00020CD0">
              <w:t xml:space="preserve"> Eletrônico </w:t>
            </w:r>
            <w:r w:rsidRPr="00020CD0">
              <w:t>da Justiça</w:t>
            </w:r>
            <w:r w:rsidR="00980944" w:rsidRPr="00020CD0">
              <w:t xml:space="preserve"> do Trabalho</w:t>
            </w:r>
            <w:r w:rsidRPr="00020CD0">
              <w:t>.</w:t>
            </w:r>
          </w:p>
          <w:p w:rsidR="00730CC7" w:rsidRPr="00020CD0" w:rsidRDefault="00730CC7" w:rsidP="00DC50EB">
            <w:pPr>
              <w:pStyle w:val="Cabealho"/>
              <w:tabs>
                <w:tab w:val="clear" w:pos="4419"/>
                <w:tab w:val="clear" w:pos="8838"/>
              </w:tabs>
              <w:jc w:val="both"/>
              <w:rPr>
                <w:sz w:val="10"/>
                <w:szCs w:val="10"/>
              </w:rPr>
            </w:pPr>
          </w:p>
        </w:tc>
      </w:tr>
    </w:tbl>
    <w:p w:rsidR="00EC04A5" w:rsidRPr="004A022A" w:rsidRDefault="00DE411D" w:rsidP="00EC04A5">
      <w:pPr>
        <w:pStyle w:val="Corpo"/>
        <w:pBdr>
          <w:top w:val="single" w:sz="4" w:space="1" w:color="auto"/>
          <w:left w:val="single" w:sz="4" w:space="4" w:color="auto"/>
          <w:bottom w:val="single" w:sz="4" w:space="1" w:color="auto"/>
          <w:right w:val="single" w:sz="4" w:space="4" w:color="auto"/>
        </w:pBdr>
        <w:shd w:val="solid" w:color="B8CCE4" w:fill="B8CCE4"/>
        <w:tabs>
          <w:tab w:val="center" w:pos="4819"/>
          <w:tab w:val="left" w:pos="6759"/>
        </w:tabs>
        <w:spacing w:line="240" w:lineRule="auto"/>
        <w:ind w:firstLine="0"/>
        <w:jc w:val="center"/>
        <w:rPr>
          <w:rFonts w:ascii="Times New Roman" w:hAnsi="Times New Roman" w:cs="Times New Roman"/>
          <w:b/>
          <w:bCs/>
          <w:color w:val="auto"/>
          <w:sz w:val="25"/>
          <w:szCs w:val="25"/>
          <w:lang w:val="pt-BR"/>
          <w14:shadow w14:blurRad="50800" w14:dist="38100" w14:dir="2700000" w14:sx="100000" w14:sy="100000" w14:kx="0" w14:ky="0" w14:algn="tl">
            <w14:srgbClr w14:val="000000">
              <w14:alpha w14:val="60000"/>
            </w14:srgbClr>
          </w14:shadow>
        </w:rPr>
      </w:pPr>
      <w:r w:rsidRPr="004A022A">
        <w:rPr>
          <w:rFonts w:ascii="Times New Roman" w:hAnsi="Times New Roman" w:cs="Times New Roman"/>
          <w:b/>
          <w:bCs/>
          <w:color w:val="auto"/>
          <w:sz w:val="25"/>
          <w:szCs w:val="25"/>
          <w:lang w:val="pt-BR"/>
          <w14:shadow w14:blurRad="50800" w14:dist="38100" w14:dir="2700000" w14:sx="100000" w14:sy="100000" w14:kx="0" w14:ky="0" w14:algn="tl">
            <w14:srgbClr w14:val="000000">
              <w14:alpha w14:val="60000"/>
            </w14:srgbClr>
          </w14:shadow>
        </w:rPr>
        <w:t>TRIBUNAL PLENO</w:t>
      </w:r>
    </w:p>
    <w:p w:rsidR="00DE411D" w:rsidRPr="00020CD0" w:rsidRDefault="00DE411D" w:rsidP="00DE411D">
      <w:pPr>
        <w:jc w:val="both"/>
        <w:rPr>
          <w:b/>
          <w:i/>
          <w:sz w:val="24"/>
          <w:szCs w:val="24"/>
        </w:rPr>
      </w:pPr>
    </w:p>
    <w:p w:rsidR="00222CF6" w:rsidRPr="00020CD0" w:rsidRDefault="00222CF6" w:rsidP="00222CF6">
      <w:pPr>
        <w:jc w:val="both"/>
        <w:rPr>
          <w:b/>
          <w:i/>
          <w:sz w:val="24"/>
        </w:rPr>
      </w:pPr>
      <w:r w:rsidRPr="00020CD0">
        <w:rPr>
          <w:b/>
          <w:i/>
          <w:sz w:val="24"/>
        </w:rPr>
        <w:t>Incidente de Recursos de Revista Repetitivos. “Tema nº 0013 – Petrobras. Complementação da Remuneração Mínima por Nível e Regime - RMNR. Base de Cálculo. Norma Coletiva. Interpretação. Adicionais Convencionais.”</w:t>
      </w:r>
    </w:p>
    <w:p w:rsidR="00222CF6" w:rsidRPr="00020CD0" w:rsidRDefault="00222CF6" w:rsidP="00222CF6">
      <w:pPr>
        <w:jc w:val="both"/>
        <w:rPr>
          <w:rFonts w:eastAsia="Calibri"/>
          <w:sz w:val="24"/>
          <w:szCs w:val="24"/>
          <w:u w:val="single"/>
        </w:rPr>
      </w:pPr>
      <w:r w:rsidRPr="00020CD0">
        <w:rPr>
          <w:sz w:val="24"/>
        </w:rPr>
        <w:t xml:space="preserve">O Tribunal Pleno, por maioria, definiu a seguinte tese jurídica para o Tema Repetitivo nº 0013 – PETROBRAS. COMPLEMENTAÇÃO DA REMUNERAÇÃO MÍNIMA POR NÍVEL E REGIME - RMNR. BASE DE CÁLCULO. NORMA COLETIVA. INTERPRETAÇÃO. ADICIONAIS CONVENCIONAIS: </w:t>
      </w:r>
      <w:r w:rsidRPr="00020CD0">
        <w:rPr>
          <w:rFonts w:eastAsia="Calibri"/>
          <w:sz w:val="24"/>
          <w:szCs w:val="24"/>
        </w:rPr>
        <w:t xml:space="preserve">considerando os fatos pretéritos e contemporâneos às negociações coletivas que levaram à criação da Remuneração Mínima por Nível e Regime - RMNR, pela Petrobras e empresas do grupo, positiva-se, sem que tanto conduza à vulneração do art. 7.º, XXVI, da Constituição Federal, que os adicionais de origem constitucional e legal destinados a remunerar o trabalho em condições especiais ou prejudiciais (adicionais de periculosidade e de insalubridade, adicional pelo trabalho noturno, de horas extras, repouso e alimentação e outros) não podem ser incluídos na base de cálculo para apuração do complemento da RMNR, sob pena de ofensa aos princípios da isonomia, da razoabilidade, da proporcionalidade, da realidade e pela ínsita limitação à autonomia da vontade coletiva. Por outro lado, os adicionais criados por normas coletivas, regulamento empresarial ou descritos nos contratos individuais de trabalho, sem lastro constitucional ou legal, porque livre de tal império, podem ser absorvidos pelo cálculo do complemento de RMNR. Vencidos os Ministros Maria de Assis Calsing, revisora, Renato de Lacerda Paiva, Ives Gandra Martins Filho, Emmanoel Pereira, Aloysio Corrêa da Veiga, Dora Maria da Costa, Guilherme Augusto Caputo Bastos, Márcio Eurico Vitral Amaro, Alexandre Agra Belmonte, Douglas Alencar Rodrigues, Breno Medeiros e Alexandre Luiz Ramos. </w:t>
      </w:r>
      <w:hyperlink r:id="rId9" w:history="1">
        <w:r w:rsidRPr="00793A1C">
          <w:rPr>
            <w:rStyle w:val="Hyperlink"/>
            <w:rFonts w:eastAsia="Calibri"/>
            <w:sz w:val="24"/>
            <w:szCs w:val="24"/>
          </w:rPr>
          <w:t>TST-IRR-21900-13.2011.5.21.0012</w:t>
        </w:r>
      </w:hyperlink>
      <w:r w:rsidRPr="00020CD0">
        <w:rPr>
          <w:rFonts w:eastAsia="Calibri"/>
          <w:sz w:val="24"/>
          <w:szCs w:val="24"/>
          <w:u w:val="single"/>
        </w:rPr>
        <w:t>, Tribunal Pleno, rel. Min. Alberto Luiz Bresciani de Fontan Pereira, 21.6.2018</w:t>
      </w:r>
    </w:p>
    <w:p w:rsidR="00DE411D" w:rsidRPr="00020CD0" w:rsidRDefault="00DE411D" w:rsidP="00623D44">
      <w:pPr>
        <w:jc w:val="both"/>
        <w:rPr>
          <w:sz w:val="24"/>
          <w:szCs w:val="24"/>
        </w:rPr>
      </w:pPr>
    </w:p>
    <w:p w:rsidR="00222CF6" w:rsidRPr="004A022A" w:rsidRDefault="00222CF6" w:rsidP="00222CF6">
      <w:pPr>
        <w:pStyle w:val="Corpo"/>
        <w:pBdr>
          <w:top w:val="single" w:sz="4" w:space="1" w:color="auto"/>
          <w:left w:val="single" w:sz="4" w:space="4" w:color="auto"/>
          <w:bottom w:val="single" w:sz="4" w:space="1" w:color="auto"/>
          <w:right w:val="single" w:sz="4" w:space="4" w:color="auto"/>
        </w:pBdr>
        <w:shd w:val="solid" w:color="B8CCE4" w:fill="B8CCE4"/>
        <w:tabs>
          <w:tab w:val="center" w:pos="4819"/>
          <w:tab w:val="left" w:pos="6759"/>
        </w:tabs>
        <w:spacing w:line="240" w:lineRule="auto"/>
        <w:ind w:firstLine="0"/>
        <w:jc w:val="center"/>
        <w:rPr>
          <w:rFonts w:ascii="Times New Roman" w:hAnsi="Times New Roman" w:cs="Times New Roman"/>
          <w:b/>
          <w:bCs/>
          <w:color w:val="auto"/>
          <w:sz w:val="25"/>
          <w:szCs w:val="25"/>
          <w:lang w:val="pt-BR"/>
          <w14:shadow w14:blurRad="50800" w14:dist="38100" w14:dir="2700000" w14:sx="100000" w14:sy="100000" w14:kx="0" w14:ky="0" w14:algn="tl">
            <w14:srgbClr w14:val="000000">
              <w14:alpha w14:val="60000"/>
            </w14:srgbClr>
          </w14:shadow>
        </w:rPr>
      </w:pPr>
      <w:r w:rsidRPr="004A022A">
        <w:rPr>
          <w:rFonts w:ascii="Times New Roman" w:hAnsi="Times New Roman" w:cs="Times New Roman"/>
          <w:b/>
          <w:bCs/>
          <w:color w:val="auto"/>
          <w:sz w:val="25"/>
          <w:szCs w:val="25"/>
          <w:lang w:val="pt-BR"/>
          <w14:shadow w14:blurRad="50800" w14:dist="38100" w14:dir="2700000" w14:sx="100000" w14:sy="100000" w14:kx="0" w14:ky="0" w14:algn="tl">
            <w14:srgbClr w14:val="000000">
              <w14:alpha w14:val="60000"/>
            </w14:srgbClr>
          </w14:shadow>
        </w:rPr>
        <w:t>SEÇÃO ESPECIALIZADA EM DISSÍDIOS COLETIVOS</w:t>
      </w:r>
    </w:p>
    <w:p w:rsidR="00222CF6" w:rsidRPr="00020CD0" w:rsidRDefault="00222CF6" w:rsidP="00222CF6">
      <w:pPr>
        <w:jc w:val="both"/>
        <w:rPr>
          <w:sz w:val="24"/>
          <w:szCs w:val="24"/>
          <w:u w:val="single"/>
        </w:rPr>
      </w:pPr>
    </w:p>
    <w:p w:rsidR="00222CF6" w:rsidRPr="00020CD0" w:rsidRDefault="00222CF6" w:rsidP="00222CF6">
      <w:pPr>
        <w:pStyle w:val="Corpo"/>
        <w:spacing w:line="240" w:lineRule="auto"/>
        <w:ind w:firstLine="0"/>
        <w:rPr>
          <w:rFonts w:ascii="Times New Roman" w:eastAsia="Calibri" w:hAnsi="Times New Roman" w:cs="Times New Roman"/>
          <w:b/>
          <w:i/>
          <w:color w:val="auto"/>
          <w:lang w:val="pt-BR" w:eastAsia="en-US"/>
        </w:rPr>
      </w:pPr>
      <w:r w:rsidRPr="00020CD0">
        <w:rPr>
          <w:rFonts w:ascii="Times New Roman" w:eastAsia="Calibri" w:hAnsi="Times New Roman" w:cs="Times New Roman"/>
          <w:b/>
          <w:i/>
          <w:color w:val="auto"/>
          <w:lang w:val="pt-BR" w:eastAsia="en-US"/>
        </w:rPr>
        <w:t xml:space="preserve">Participação nos lucros e resultados. Arbitragem de ofertas finais. Não apresentação de propostas definitivas pelas partes. Atuação do TRT para solucionar o litígio. Impossibilidade.  Extrapolação dos limites do poder normativo fixados pelos interessados. </w:t>
      </w:r>
    </w:p>
    <w:p w:rsidR="00222CF6" w:rsidRPr="00020CD0" w:rsidRDefault="00222CF6" w:rsidP="00222CF6">
      <w:pPr>
        <w:pStyle w:val="Corpo"/>
        <w:spacing w:line="240" w:lineRule="auto"/>
        <w:ind w:firstLine="0"/>
        <w:rPr>
          <w:rFonts w:ascii="Times New Roman" w:eastAsia="Calibri" w:hAnsi="Times New Roman" w:cs="Times New Roman"/>
          <w:color w:val="auto"/>
          <w:lang w:val="pt-BR" w:eastAsia="en-US"/>
        </w:rPr>
      </w:pPr>
      <w:r w:rsidRPr="00020CD0">
        <w:rPr>
          <w:rFonts w:ascii="Times New Roman" w:eastAsia="Calibri" w:hAnsi="Times New Roman" w:cs="Times New Roman"/>
          <w:color w:val="auto"/>
          <w:lang w:val="pt-BR" w:eastAsia="en-US"/>
        </w:rPr>
        <w:t xml:space="preserve">A jurisprudência do TST, alicerçada no art. 4º, II, § 1º, da Lei nº 10.101/2000, permite à Justiça do Trabalho decidir a respeito de participação nos lucros e resultados por meio do sistema da arbitragem de ofertas finais, quando as partes assim pactuarem. Tal sistema, todavia, não comporta a atuação do TRT, ainda que com a finalidade de pacificar o conflito, pois o árbitro deve ater-se a escolher uma das ofertas definitivas apresentadas pelos demandantes. Assim, na hipótese em que a Corte Regional, ante a ausência de propostas das partes, desempenhou o papel de mediador do conflito e arbitrou valor para cada trabalhador a título de participação nos lucros e resultados, verifica-se que houve extrapolamento da expressa delimitação fixada pelos interessados para a atuação do poder normativo. Sob esse entendimento, a SDC, por unanimidade, conheceu do recurso ordinário e, no mérito, deu-lhe provimento para excluir a condenação relativa ao pagamento de participação nos lucros e resultados no valor de R$ 2.000,00 (dois mil reais) para cada trabalhador </w:t>
      </w:r>
      <w:r w:rsidRPr="00020CD0">
        <w:rPr>
          <w:rFonts w:ascii="Times New Roman" w:eastAsia="Calibri" w:hAnsi="Times New Roman" w:cs="Times New Roman"/>
          <w:color w:val="auto"/>
          <w:lang w:val="pt-BR" w:eastAsia="en-US"/>
        </w:rPr>
        <w:lastRenderedPageBreak/>
        <w:t xml:space="preserve">da Duratex S.A., resguardadas as situações fáticas já estabelecidas. </w:t>
      </w:r>
      <w:hyperlink r:id="rId10" w:history="1">
        <w:r w:rsidRPr="00793A1C">
          <w:rPr>
            <w:rStyle w:val="Hyperlink"/>
            <w:rFonts w:ascii="Times New Roman" w:eastAsia="Calibri" w:hAnsi="Times New Roman"/>
            <w:lang w:val="pt-BR" w:eastAsia="en-US"/>
          </w:rPr>
          <w:t>TST-RO-5902-33.2016.5.15.0000,</w:t>
        </w:r>
      </w:hyperlink>
      <w:r w:rsidRPr="00020CD0">
        <w:rPr>
          <w:rFonts w:ascii="Times New Roman" w:eastAsia="Calibri" w:hAnsi="Times New Roman" w:cs="Times New Roman"/>
          <w:color w:val="auto"/>
          <w:u w:val="single"/>
          <w:lang w:val="pt-BR" w:eastAsia="en-US"/>
        </w:rPr>
        <w:t xml:space="preserve"> SDC, rel. Min. Kátia Magalhães Arruda, 11.6.2018</w:t>
      </w:r>
    </w:p>
    <w:p w:rsidR="00222CF6" w:rsidRPr="00020CD0" w:rsidRDefault="00222CF6" w:rsidP="00623D44">
      <w:pPr>
        <w:jc w:val="both"/>
        <w:rPr>
          <w:sz w:val="24"/>
          <w:szCs w:val="24"/>
        </w:rPr>
      </w:pPr>
    </w:p>
    <w:p w:rsidR="00222CF6" w:rsidRPr="00020CD0" w:rsidRDefault="00222CF6" w:rsidP="00222CF6">
      <w:pPr>
        <w:adjustRightInd w:val="0"/>
        <w:jc w:val="both"/>
        <w:rPr>
          <w:b/>
          <w:i/>
          <w:sz w:val="24"/>
          <w:szCs w:val="24"/>
        </w:rPr>
      </w:pPr>
      <w:r w:rsidRPr="00020CD0">
        <w:rPr>
          <w:b/>
          <w:i/>
          <w:sz w:val="24"/>
          <w:szCs w:val="24"/>
        </w:rPr>
        <w:t>Ação anulatória. Cláusula convencional que proíbe os condomínios de contratarem empregados terceirizados. Validade. Princípio da adequação setorial negociada.</w:t>
      </w:r>
    </w:p>
    <w:p w:rsidR="00222CF6" w:rsidRPr="00020CD0" w:rsidRDefault="00222CF6" w:rsidP="00222CF6">
      <w:pPr>
        <w:adjustRightInd w:val="0"/>
        <w:jc w:val="both"/>
        <w:rPr>
          <w:szCs w:val="24"/>
        </w:rPr>
      </w:pPr>
      <w:r w:rsidRPr="00020CD0">
        <w:rPr>
          <w:sz w:val="24"/>
          <w:szCs w:val="24"/>
        </w:rPr>
        <w:t xml:space="preserve">São válidas cláusulas de termo aditivo de convenção coletiva de trabalho que proíbem aos condomínios residenciais e comerciais a contratação de mão de obra terceirizada para a execução de serviços definidos pelas partes como atividade fim (zelador, garagista, porteiro, trabalhador de serviços gerais e faxineiro). Na espécie, registrou-se que as normas firmadas pelos convenentes apenas vedam a utilização de empresas interpostas nos serviços de limpeza, portaria, etc, sem adentrar na questão da validade ou não da terceirização das referidas atividades. Ademais, pelo princípio da adequação setorial negociada, as normas autônomas, oriundas de negociações entre as categorias profissional e patronal, prevalecem sobre as regras estatais de proteção ao trabalho, desde que não avancem sobre direitos de indisponibilidade absoluta. De outra sorte, não há falar em ofensa ao princípio constitucional da livre iniciativa, pois a opção dos convenentes tem aplicação restrita às categorias representadas, sem imposição direta a terceiros. Sob esses fundamentos, a SDC, por maioria, conheceu dos recursos ordinários e, no mérito, negou-lhes provimento para manter a decisão do Tribunal Regional que julgara improcedente a ação anulatória. Vencidos os Ministros Emmanoel Pereira, Aloysio Corrêa da Veiga, Ives Gandra Martins Filho e Dora Maria da Costa. </w:t>
      </w:r>
      <w:hyperlink r:id="rId11" w:history="1">
        <w:r w:rsidRPr="00793A1C">
          <w:rPr>
            <w:rStyle w:val="Hyperlink"/>
            <w:sz w:val="24"/>
            <w:szCs w:val="24"/>
          </w:rPr>
          <w:t>TST-RO-332-46.2012.5.10.0000</w:t>
        </w:r>
      </w:hyperlink>
      <w:r w:rsidRPr="00020CD0">
        <w:rPr>
          <w:bCs/>
          <w:sz w:val="24"/>
          <w:szCs w:val="24"/>
          <w:u w:val="single"/>
        </w:rPr>
        <w:t xml:space="preserve">, SDC, rel. Min. Kátia Magalhães Arruda, </w:t>
      </w:r>
      <w:r w:rsidRPr="00020CD0">
        <w:rPr>
          <w:sz w:val="24"/>
          <w:szCs w:val="24"/>
          <w:u w:val="single"/>
        </w:rPr>
        <w:t>11.6.2018.</w:t>
      </w:r>
      <w:r w:rsidRPr="00020CD0">
        <w:rPr>
          <w:sz w:val="24"/>
          <w:szCs w:val="24"/>
        </w:rPr>
        <w:t xml:space="preserve"> </w:t>
      </w:r>
      <w:r w:rsidRPr="00020CD0">
        <w:rPr>
          <w:szCs w:val="24"/>
        </w:rPr>
        <w:t xml:space="preserve">(*Cf., em sentido contrário, </w:t>
      </w:r>
      <w:hyperlink r:id="rId12" w:history="1">
        <w:r w:rsidRPr="00020CD0">
          <w:rPr>
            <w:rStyle w:val="Hyperlink"/>
            <w:szCs w:val="24"/>
          </w:rPr>
          <w:t>Informativo TST nº 174</w:t>
        </w:r>
      </w:hyperlink>
      <w:r w:rsidRPr="00020CD0">
        <w:rPr>
          <w:szCs w:val="24"/>
        </w:rPr>
        <w:t>)</w:t>
      </w:r>
    </w:p>
    <w:p w:rsidR="00222CF6" w:rsidRPr="00020CD0" w:rsidRDefault="00222CF6" w:rsidP="00623D44">
      <w:pPr>
        <w:jc w:val="both"/>
        <w:rPr>
          <w:sz w:val="24"/>
          <w:szCs w:val="24"/>
        </w:rPr>
      </w:pPr>
    </w:p>
    <w:p w:rsidR="007760AE" w:rsidRPr="004A022A" w:rsidRDefault="007760AE" w:rsidP="007760AE">
      <w:pPr>
        <w:pStyle w:val="Corpo"/>
        <w:pBdr>
          <w:top w:val="single" w:sz="4" w:space="1" w:color="auto"/>
          <w:left w:val="single" w:sz="4" w:space="4" w:color="auto"/>
          <w:bottom w:val="single" w:sz="4" w:space="1" w:color="auto"/>
          <w:right w:val="single" w:sz="4" w:space="4" w:color="auto"/>
        </w:pBdr>
        <w:shd w:val="solid" w:color="B8CCE4" w:fill="B8CCE4"/>
        <w:tabs>
          <w:tab w:val="center" w:pos="4819"/>
          <w:tab w:val="left" w:pos="6759"/>
        </w:tabs>
        <w:spacing w:line="240" w:lineRule="auto"/>
        <w:ind w:firstLine="0"/>
        <w:jc w:val="center"/>
        <w:rPr>
          <w:rFonts w:ascii="Times New Roman" w:hAnsi="Times New Roman" w:cs="Times New Roman"/>
          <w:b/>
          <w:bCs/>
          <w:color w:val="auto"/>
          <w:sz w:val="25"/>
          <w:szCs w:val="25"/>
          <w:lang w:val="pt-BR"/>
          <w14:shadow w14:blurRad="50800" w14:dist="38100" w14:dir="2700000" w14:sx="100000" w14:sy="100000" w14:kx="0" w14:ky="0" w14:algn="tl">
            <w14:srgbClr w14:val="000000">
              <w14:alpha w14:val="60000"/>
            </w14:srgbClr>
          </w14:shadow>
        </w:rPr>
      </w:pPr>
      <w:r w:rsidRPr="004A022A">
        <w:rPr>
          <w:rFonts w:ascii="Times New Roman" w:hAnsi="Times New Roman" w:cs="Times New Roman"/>
          <w:b/>
          <w:bCs/>
          <w:color w:val="auto"/>
          <w:sz w:val="25"/>
          <w:szCs w:val="25"/>
          <w:lang w:val="pt-BR"/>
          <w14:shadow w14:blurRad="50800" w14:dist="38100" w14:dir="2700000" w14:sx="100000" w14:sy="100000" w14:kx="0" w14:ky="0" w14:algn="tl">
            <w14:srgbClr w14:val="000000">
              <w14:alpha w14:val="60000"/>
            </w14:srgbClr>
          </w14:shadow>
        </w:rPr>
        <w:t>SUBSEÇÃO I ESPECIALIZADA EM DISSÍDIOS INDIVIDUAIS</w:t>
      </w:r>
    </w:p>
    <w:p w:rsidR="007760AE" w:rsidRPr="00020CD0" w:rsidRDefault="007760AE" w:rsidP="007760AE">
      <w:pPr>
        <w:jc w:val="both"/>
        <w:rPr>
          <w:sz w:val="24"/>
          <w:szCs w:val="24"/>
          <w:u w:val="single"/>
        </w:rPr>
      </w:pPr>
    </w:p>
    <w:p w:rsidR="004D697F" w:rsidRPr="00020CD0" w:rsidRDefault="004D697F" w:rsidP="004D697F">
      <w:pPr>
        <w:jc w:val="both"/>
        <w:rPr>
          <w:rFonts w:eastAsia="Calibri"/>
          <w:b/>
          <w:i/>
          <w:sz w:val="24"/>
          <w:szCs w:val="24"/>
        </w:rPr>
      </w:pPr>
      <w:r w:rsidRPr="00020CD0">
        <w:rPr>
          <w:rFonts w:eastAsia="Calibri"/>
          <w:b/>
          <w:i/>
          <w:sz w:val="24"/>
          <w:szCs w:val="24"/>
        </w:rPr>
        <w:t>Preposto. Condição de empregado. Inobservância apenas na audiência inaugural. Irregularidade de representação. Configuração. Súmula nº 377 do TST</w:t>
      </w:r>
    </w:p>
    <w:p w:rsidR="004D697F" w:rsidRPr="00020CD0" w:rsidRDefault="004D697F" w:rsidP="004D697F">
      <w:pPr>
        <w:pStyle w:val="Corpo"/>
        <w:spacing w:line="240" w:lineRule="auto"/>
        <w:ind w:firstLine="0"/>
        <w:rPr>
          <w:rFonts w:ascii="Times New Roman" w:eastAsia="Calibri" w:hAnsi="Times New Roman" w:cs="Times New Roman"/>
          <w:u w:val="single"/>
          <w:lang w:val="pt-BR"/>
        </w:rPr>
      </w:pPr>
      <w:r w:rsidRPr="00020CD0">
        <w:rPr>
          <w:rFonts w:ascii="Times New Roman" w:eastAsia="Calibri" w:hAnsi="Times New Roman" w:cs="Times New Roman"/>
          <w:color w:val="auto"/>
          <w:lang w:val="pt-BR" w:eastAsia="en-US"/>
        </w:rPr>
        <w:t xml:space="preserve">Contraria a Súmula nº 377 do TST a decisão turmária que afasta a aplicação da referida súmula ao fundamento de que a exigência a respeito de o preposto ser empregado da empresa somente se justifica no caso de audiência única, ou seja, aquela que não foi fracionada. Na hipótese, a Turma, mantendo o acórdão do Tribunal Regional, entendeu que, no caso de fracionamento da audiência, não há falar em irregularidade de representação quando a reclamada se faz substituir por preposto que não seja seu empregado apenas na audiência inaugural, em que não se colhe o depoimento das partes litigantes. Tal interpretação, todavia, extrapola os limites da súmula em análise, pois a audiência é una (art. 849 da CLT), e ainda que o fracionamento seja permitido, ele não retira a obrigação de a reclamada estar regularmente representada. Assim, sendo incontroverso, no caso em apreço, que o preposto que compareceu à sessão inaugural da audiência não era empregado da empresa, o que equivale à sua ausência por irregularidade de representação, a SBDI-I, por maioria, conheceu dos embargos por contrariedade à Súmula nº 377 do TST, e, no mérito, deu-lhes provimento para determinar o retorno dos autos à Vara de origem, a fim de que julgue os pedidos da inicial, desconsiderando a defesa escrita da empresa e levando em conta os efeitos da revelia e a consequente confissão ficta quanto às matérias de fato. Vencido o Ministro Walmir Oliveira da Costa. </w:t>
      </w:r>
      <w:hyperlink r:id="rId13" w:history="1">
        <w:r w:rsidRPr="00793A1C">
          <w:rPr>
            <w:rStyle w:val="Hyperlink"/>
            <w:rFonts w:ascii="Times New Roman" w:eastAsia="Calibri" w:hAnsi="Times New Roman"/>
            <w:lang w:val="pt-BR"/>
          </w:rPr>
          <w:t>TST-E-ED-RR-41900-77.2006.5.23.0004</w:t>
        </w:r>
      </w:hyperlink>
      <w:r w:rsidRPr="00020CD0">
        <w:rPr>
          <w:rFonts w:ascii="Times New Roman" w:eastAsia="Calibri" w:hAnsi="Times New Roman" w:cs="Times New Roman"/>
          <w:u w:val="single"/>
          <w:lang w:val="pt-BR"/>
        </w:rPr>
        <w:t>, SBDI-I, rel. Min. Walmir Oliveira da Costa, red. p/ acórdão Min. Cláudio Mascarenhas Brandão, 7.6.2018</w:t>
      </w:r>
    </w:p>
    <w:p w:rsidR="004D697F" w:rsidRPr="00020CD0" w:rsidRDefault="004D697F" w:rsidP="004D697F">
      <w:pPr>
        <w:tabs>
          <w:tab w:val="left" w:pos="1815"/>
        </w:tabs>
        <w:jc w:val="both"/>
        <w:rPr>
          <w:b/>
          <w:i/>
          <w:sz w:val="24"/>
          <w:szCs w:val="24"/>
        </w:rPr>
      </w:pPr>
    </w:p>
    <w:p w:rsidR="004D697F" w:rsidRPr="00020CD0" w:rsidRDefault="004D697F" w:rsidP="004D697F">
      <w:pPr>
        <w:jc w:val="both"/>
        <w:rPr>
          <w:rFonts w:eastAsia="Calibri"/>
          <w:b/>
          <w:i/>
          <w:sz w:val="24"/>
          <w:szCs w:val="24"/>
        </w:rPr>
      </w:pPr>
      <w:r w:rsidRPr="00020CD0">
        <w:rPr>
          <w:rFonts w:eastAsia="Calibri"/>
          <w:b/>
          <w:i/>
          <w:sz w:val="24"/>
          <w:szCs w:val="24"/>
        </w:rPr>
        <w:t>Adicional de insalubridade. Estipulação de base de cálculo mais benéfica que o salário mínimo. Adoção do salário básico por liberalidade da empresa. Direito adquirido dos empregados.</w:t>
      </w:r>
    </w:p>
    <w:p w:rsidR="004D697F" w:rsidRPr="00020CD0" w:rsidRDefault="004D697F" w:rsidP="004D697F">
      <w:pPr>
        <w:jc w:val="both"/>
        <w:rPr>
          <w:rFonts w:eastAsia="Calibri"/>
          <w:sz w:val="24"/>
          <w:szCs w:val="24"/>
        </w:rPr>
      </w:pPr>
      <w:r w:rsidRPr="00020CD0">
        <w:rPr>
          <w:rFonts w:eastAsia="Calibri"/>
          <w:sz w:val="24"/>
          <w:szCs w:val="24"/>
        </w:rPr>
        <w:t xml:space="preserve">A estipulação, por mera liberalidade da empresa, de base de cálculo mais vantajosa que o salário mínimo para o pagamento do adicional de insalubridade configura direito adquirido dos empregados. Assim, não pode a empregadora, a pretexto de ajustar-se ao entendimento fixado pelo Supremo Tribunal Federal na Súmula Vinculante 4, passar a utilizar o salário mínimo como base de cálculo do adicional de insalubridade, em detrimento do salário básico anteriormente adotado, sob pena de haver alteração contratual lesiva, a que se refere o art. 468 da CLT, e afronta ao princípio </w:t>
      </w:r>
      <w:r w:rsidRPr="00020CD0">
        <w:rPr>
          <w:rFonts w:eastAsia="Calibri"/>
          <w:sz w:val="24"/>
          <w:szCs w:val="24"/>
        </w:rPr>
        <w:lastRenderedPageBreak/>
        <w:t xml:space="preserve">da irredutibilidade salarial. Sob esses fundamentos, a SBDI-I, por unanimidade, conheceu dos embargos, por divergência jurisprudencial, e, no mérito, por maioria, deu-lhes provimento para restabelecer o acórdão do Tribunal Regional, que determinara o cálculo do adicional de insalubridade sobre o salário básico e o pagamento das diferenças salariais advindas do pagamento da referida parcela sobre o salário mínimo. Vencidos os Ministros Guilherme Augusto Caputo Bastos, relator, Alberto Luiz Bresciani de Fontan Pereira e Márcio Eurico Vitral Amaro. </w:t>
      </w:r>
      <w:hyperlink r:id="rId14" w:history="1">
        <w:r w:rsidRPr="00AD0ED3">
          <w:rPr>
            <w:rStyle w:val="Hyperlink"/>
            <w:rFonts w:eastAsia="Calibri"/>
            <w:sz w:val="24"/>
            <w:szCs w:val="24"/>
          </w:rPr>
          <w:t>TST-E-ARR-11693-79.2015.5.18.0017</w:t>
        </w:r>
      </w:hyperlink>
      <w:r w:rsidRPr="00020CD0">
        <w:rPr>
          <w:rFonts w:eastAsia="Calibri"/>
          <w:sz w:val="24"/>
          <w:szCs w:val="24"/>
          <w:u w:val="single"/>
        </w:rPr>
        <w:t>, SBDI-I, rel. Min. Guilherme Augusto Caputo Bastos,</w:t>
      </w:r>
      <w:r w:rsidRPr="00020CD0">
        <w:rPr>
          <w:color w:val="000000"/>
          <w:sz w:val="24"/>
          <w:szCs w:val="24"/>
          <w:u w:val="single"/>
        </w:rPr>
        <w:t xml:space="preserve"> red. p/ acórdão Min. Hugo Carlos Scheuermann, 7.6.2018</w:t>
      </w:r>
    </w:p>
    <w:p w:rsidR="004D697F" w:rsidRPr="00020CD0" w:rsidRDefault="004D697F" w:rsidP="004D697F">
      <w:pPr>
        <w:tabs>
          <w:tab w:val="left" w:pos="1815"/>
        </w:tabs>
        <w:jc w:val="both"/>
        <w:rPr>
          <w:b/>
          <w:i/>
          <w:sz w:val="24"/>
          <w:szCs w:val="24"/>
        </w:rPr>
      </w:pPr>
    </w:p>
    <w:p w:rsidR="004D697F" w:rsidRPr="00020CD0" w:rsidRDefault="004D697F" w:rsidP="004D697F">
      <w:pPr>
        <w:jc w:val="both"/>
        <w:rPr>
          <w:b/>
          <w:i/>
          <w:sz w:val="24"/>
          <w:szCs w:val="24"/>
        </w:rPr>
      </w:pPr>
      <w:r w:rsidRPr="00020CD0">
        <w:rPr>
          <w:b/>
          <w:i/>
          <w:sz w:val="24"/>
          <w:szCs w:val="24"/>
        </w:rPr>
        <w:t>Servidor público. Reajuste geral anual. Art. 37, X, da CF. Concessão em abonos fixos. Deferimento de diferenças salariais correspondentes à distorção apurada. Impossibilidade. Súmula Vinculante 37.</w:t>
      </w:r>
    </w:p>
    <w:p w:rsidR="004D697F" w:rsidRPr="00020CD0" w:rsidRDefault="004D697F" w:rsidP="004D697F">
      <w:pPr>
        <w:jc w:val="both"/>
        <w:rPr>
          <w:sz w:val="24"/>
          <w:szCs w:val="24"/>
        </w:rPr>
      </w:pPr>
      <w:r w:rsidRPr="00020CD0">
        <w:rPr>
          <w:sz w:val="24"/>
          <w:szCs w:val="24"/>
        </w:rPr>
        <w:t xml:space="preserve">Conforme atual entendimento do Supremo Tribunal Federal, o deferimento de diferenças salariais correspondentes à distorção apurada em razão da concessão de reajuste geral anual realizado por meio de pagamento de abonos em valores fixos, fundado na inobservância do art. 37, X, parte final, da CF, esbarra no óbice previsto na Súmula Vinculante 37, segundo a qual </w:t>
      </w:r>
      <w:r w:rsidRPr="00020CD0">
        <w:rPr>
          <w:i/>
          <w:sz w:val="24"/>
          <w:szCs w:val="24"/>
        </w:rPr>
        <w:t>“não cabe ao Poder Judiciário, que não tem função legislativa, aumentar vencimentos de servidores públicos sob o fundamento de isonomia”</w:t>
      </w:r>
      <w:r w:rsidRPr="00020CD0">
        <w:rPr>
          <w:sz w:val="24"/>
          <w:szCs w:val="24"/>
        </w:rPr>
        <w:t xml:space="preserve">. Sob esse fundamento, a SBDI-I, por unanimidade, conheceu dos embargos por contrariedade à Súmula Vinculante 37 e, no mérito, deu-lhes provimento para excluir da condenação o pagamento de diferenças salariais decorrentes da inobservância do art. 37, X, da CF concedidas aos servidores do Município de Mococa/SP. </w:t>
      </w:r>
      <w:hyperlink r:id="rId15" w:history="1">
        <w:r w:rsidRPr="00AD0ED3">
          <w:rPr>
            <w:rStyle w:val="Hyperlink"/>
            <w:sz w:val="24"/>
            <w:szCs w:val="24"/>
          </w:rPr>
          <w:t>TST-E-RR-10673-87.2014.5.15.0141</w:t>
        </w:r>
      </w:hyperlink>
      <w:r w:rsidRPr="00020CD0">
        <w:rPr>
          <w:sz w:val="24"/>
          <w:szCs w:val="24"/>
          <w:u w:val="single"/>
        </w:rPr>
        <w:t>, SBDI-I, rel. Min. Márcio Eurico Vitral Amaro, 7.6.2018</w:t>
      </w:r>
    </w:p>
    <w:p w:rsidR="004D697F" w:rsidRPr="00020CD0" w:rsidRDefault="004D697F" w:rsidP="004D697F">
      <w:pPr>
        <w:tabs>
          <w:tab w:val="left" w:pos="1815"/>
        </w:tabs>
        <w:jc w:val="both"/>
        <w:rPr>
          <w:b/>
          <w:i/>
          <w:sz w:val="24"/>
          <w:szCs w:val="24"/>
        </w:rPr>
      </w:pPr>
    </w:p>
    <w:p w:rsidR="004D697F" w:rsidRPr="00020CD0" w:rsidRDefault="004D697F" w:rsidP="004D697F">
      <w:pPr>
        <w:jc w:val="both"/>
        <w:rPr>
          <w:b/>
          <w:i/>
          <w:sz w:val="24"/>
          <w:szCs w:val="24"/>
        </w:rPr>
      </w:pPr>
      <w:r w:rsidRPr="00020CD0">
        <w:rPr>
          <w:b/>
          <w:i/>
          <w:sz w:val="24"/>
          <w:szCs w:val="24"/>
        </w:rPr>
        <w:t xml:space="preserve">Indenização por dano moral e material. Morte do trabalhador em razão de suposta moléstia profissional. Ação ajuizada pelos sucessores em nome próprio. Direito personalíssimo e autônomo. Natureza cível. Prescrição do Código Civil. </w:t>
      </w:r>
    </w:p>
    <w:p w:rsidR="004D697F" w:rsidRPr="00020CD0" w:rsidRDefault="004D697F" w:rsidP="004D697F">
      <w:pPr>
        <w:jc w:val="both"/>
        <w:rPr>
          <w:sz w:val="24"/>
          <w:szCs w:val="24"/>
        </w:rPr>
      </w:pPr>
      <w:r w:rsidRPr="00020CD0">
        <w:rPr>
          <w:sz w:val="24"/>
          <w:szCs w:val="24"/>
        </w:rPr>
        <w:t xml:space="preserve">A ação em que viúva e filhos de empregado falecido pleiteiam, em nome próprio, o pagamento de indenização por danos morais e materiais decorrentes da morte de seu ente familiar por suposta doença ocupacional adquirida no curso do contrato de emprego se submete à prescrição prevista no art. 206, § 3º, do Código Civil. Ainda que a competência para o julgamento da ação seja da Justiça do Trabalho, nos termos do art. 114, VI, da CF e da Súmula nº 392 do TST, trata-se de direito personalíssimo e autônomo dos familiares da vítima, de natureza eminentemente civil, e que se distingue do dano sofrido pelo próprio trabalhador. Sob esse entendimento, a SBDI-I, por unanimidade, conheceu dos embargos da reclamada, por divergência jurisprudencial, e, no mérito, negou-lhes provimento para manter a decisão turmária que conhecera do recurso de revista por violação do art. 206, § 3º, do Código Civil para dar-lhe provimento e afastar a prescrição declarada pelo TRT. </w:t>
      </w:r>
      <w:hyperlink r:id="rId16" w:history="1">
        <w:r w:rsidRPr="00AD0ED3">
          <w:rPr>
            <w:rStyle w:val="Hyperlink"/>
            <w:sz w:val="24"/>
            <w:szCs w:val="24"/>
          </w:rPr>
          <w:t>TST-E-RR-10248-50.2016.5.03.0165</w:t>
        </w:r>
      </w:hyperlink>
      <w:r w:rsidRPr="00020CD0">
        <w:rPr>
          <w:sz w:val="24"/>
          <w:szCs w:val="24"/>
          <w:u w:val="single"/>
        </w:rPr>
        <w:t>, SBDI-I, rel. Min. Luiz Philippe Vieira de Mello Filho, 7.6.2018</w:t>
      </w:r>
    </w:p>
    <w:p w:rsidR="004D697F" w:rsidRPr="00020CD0" w:rsidRDefault="004D697F" w:rsidP="004D697F">
      <w:pPr>
        <w:tabs>
          <w:tab w:val="left" w:pos="1815"/>
        </w:tabs>
        <w:jc w:val="both"/>
        <w:rPr>
          <w:b/>
          <w:i/>
          <w:sz w:val="24"/>
          <w:szCs w:val="24"/>
        </w:rPr>
      </w:pPr>
    </w:p>
    <w:p w:rsidR="004D697F" w:rsidRPr="00020CD0" w:rsidRDefault="004D697F" w:rsidP="004D697F">
      <w:pPr>
        <w:pStyle w:val="Corpo"/>
        <w:spacing w:line="240" w:lineRule="auto"/>
        <w:ind w:firstLine="0"/>
        <w:rPr>
          <w:rFonts w:ascii="Times New Roman" w:eastAsia="Calibri" w:hAnsi="Times New Roman" w:cs="Times New Roman"/>
          <w:b/>
          <w:i/>
          <w:color w:val="auto"/>
          <w:lang w:val="pt-BR" w:eastAsia="en-US"/>
        </w:rPr>
      </w:pPr>
      <w:r w:rsidRPr="00020CD0">
        <w:rPr>
          <w:rFonts w:ascii="Times New Roman" w:eastAsia="Calibri" w:hAnsi="Times New Roman" w:cs="Times New Roman"/>
          <w:b/>
          <w:i/>
          <w:color w:val="auto"/>
          <w:lang w:val="pt-BR" w:eastAsia="en-US"/>
        </w:rPr>
        <w:t xml:space="preserve">Acordo extrajudicial homologado perante a Justiça comum. Distrato comercial. Ajuizamento de reclamação trabalhista. Pedido de reconhecimento de vínculo de emprego. Coisa julgada material não configurada. </w:t>
      </w:r>
    </w:p>
    <w:p w:rsidR="004D697F" w:rsidRPr="00020CD0" w:rsidRDefault="004D697F" w:rsidP="004D697F">
      <w:pPr>
        <w:pStyle w:val="Corpo"/>
        <w:spacing w:line="240" w:lineRule="auto"/>
        <w:ind w:firstLine="0"/>
        <w:rPr>
          <w:rFonts w:ascii="Times New Roman" w:eastAsia="Calibri" w:hAnsi="Times New Roman" w:cs="Times New Roman"/>
          <w:color w:val="auto"/>
          <w:lang w:val="pt-BR" w:eastAsia="en-US"/>
        </w:rPr>
      </w:pPr>
      <w:r w:rsidRPr="00020CD0">
        <w:rPr>
          <w:rFonts w:ascii="Times New Roman" w:eastAsia="Calibri" w:hAnsi="Times New Roman" w:cs="Times New Roman"/>
          <w:color w:val="auto"/>
          <w:lang w:val="pt-BR" w:eastAsia="en-US"/>
        </w:rPr>
        <w:t xml:space="preserve">A homologação de acordo extrajudicial perante o Juízo cível, relativo a distrato comercial, não impede o ajuizamento de reclamação trabalhista em que se requer o reconhecimento de vínculo de emprego. Na hipótese, não há falar em coisa julgada material, pois ausente a identidade de partes, de pedidos e de causa de pedir. Com efeito, no acordo extrajudicial homologado, a reclamante não figurou como parte, mas sim a empresa por ela constituída. Ademais, enquanto na Justiça comum o objeto do acordo foi um distrato comercial, fundamentado na Lei nº 4.886/65 (que regula as atividades dos representantes comerciais autônomos), na ação trabalhista o pleito se refere ao reconhecimento de vínculo empregatício, com base na CLT. Sob esse fundamento, a SBDI-I, por unanimidade, conheceu dos embargos interpostos pelas reclamadas, por divergência jurisprudencial, </w:t>
      </w:r>
      <w:r w:rsidRPr="00020CD0">
        <w:rPr>
          <w:rFonts w:ascii="Times New Roman" w:eastAsia="Calibri" w:hAnsi="Times New Roman" w:cs="Times New Roman"/>
          <w:color w:val="auto"/>
          <w:lang w:val="pt-BR" w:eastAsia="en-US"/>
        </w:rPr>
        <w:lastRenderedPageBreak/>
        <w:t xml:space="preserve">e, no mérito, negou-lhes provimento. </w:t>
      </w:r>
      <w:hyperlink r:id="rId17" w:history="1">
        <w:r w:rsidRPr="00AD0ED3">
          <w:rPr>
            <w:rStyle w:val="Hyperlink"/>
            <w:rFonts w:ascii="Times New Roman" w:eastAsia="Calibri" w:hAnsi="Times New Roman"/>
            <w:lang w:val="pt-BR" w:eastAsia="en-US"/>
          </w:rPr>
          <w:t>TST-Ag-ED-E-ED-ARR-3020-79.2014.5.17.0011</w:t>
        </w:r>
      </w:hyperlink>
      <w:r w:rsidRPr="00020CD0">
        <w:rPr>
          <w:rFonts w:ascii="Times New Roman" w:eastAsia="Calibri" w:hAnsi="Times New Roman" w:cs="Times New Roman"/>
          <w:color w:val="auto"/>
          <w:u w:val="single"/>
          <w:lang w:val="pt-BR" w:eastAsia="en-US"/>
        </w:rPr>
        <w:t>, SBDI-I, rel. Min. Luiz Philippe Vieira de Mello Filho, 7.6.2018</w:t>
      </w:r>
      <w:r w:rsidRPr="00020CD0">
        <w:rPr>
          <w:rFonts w:ascii="Times New Roman" w:eastAsia="Calibri" w:hAnsi="Times New Roman" w:cs="Times New Roman"/>
          <w:color w:val="auto"/>
          <w:lang w:val="pt-BR" w:eastAsia="en-US"/>
        </w:rPr>
        <w:t xml:space="preserve"> </w:t>
      </w:r>
    </w:p>
    <w:p w:rsidR="004D697F" w:rsidRPr="00020CD0" w:rsidRDefault="004D697F" w:rsidP="004D697F">
      <w:pPr>
        <w:tabs>
          <w:tab w:val="left" w:pos="1815"/>
        </w:tabs>
        <w:jc w:val="both"/>
        <w:rPr>
          <w:b/>
          <w:i/>
          <w:sz w:val="24"/>
          <w:szCs w:val="24"/>
        </w:rPr>
      </w:pPr>
    </w:p>
    <w:p w:rsidR="004D697F" w:rsidRPr="00020CD0" w:rsidRDefault="004D697F" w:rsidP="004D697F">
      <w:pPr>
        <w:pStyle w:val="Corpo"/>
        <w:spacing w:line="240" w:lineRule="auto"/>
        <w:ind w:firstLine="0"/>
        <w:rPr>
          <w:rFonts w:ascii="Times New Roman" w:eastAsia="Calibri" w:hAnsi="Times New Roman" w:cs="Times New Roman"/>
          <w:b/>
          <w:i/>
          <w:color w:val="auto"/>
          <w:lang w:val="pt-BR" w:eastAsia="en-US"/>
        </w:rPr>
      </w:pPr>
      <w:r w:rsidRPr="00020CD0">
        <w:rPr>
          <w:rFonts w:ascii="Times New Roman" w:eastAsia="Calibri" w:hAnsi="Times New Roman" w:cs="Times New Roman"/>
          <w:b/>
          <w:i/>
          <w:color w:val="auto"/>
          <w:lang w:val="pt-BR" w:eastAsia="en-US"/>
        </w:rPr>
        <w:t>Dispensa discriminatória. Conversão da readmissão em indenização dobrada. Art. 4º, II, da Lei nº 9.029/1995. Incidência da Súmula nº 28 do TST.</w:t>
      </w:r>
    </w:p>
    <w:p w:rsidR="004D697F" w:rsidRPr="00020CD0" w:rsidRDefault="004D697F" w:rsidP="004D697F">
      <w:pPr>
        <w:pStyle w:val="Corpo"/>
        <w:spacing w:line="240" w:lineRule="auto"/>
        <w:ind w:firstLine="0"/>
        <w:rPr>
          <w:rFonts w:ascii="Times New Roman" w:eastAsia="Calibri" w:hAnsi="Times New Roman" w:cs="Times New Roman"/>
          <w:color w:val="auto"/>
          <w:lang w:val="pt-BR" w:eastAsia="en-US"/>
        </w:rPr>
      </w:pPr>
      <w:r w:rsidRPr="00020CD0">
        <w:rPr>
          <w:rFonts w:ascii="Times New Roman" w:eastAsia="Calibri" w:hAnsi="Times New Roman" w:cs="Times New Roman"/>
          <w:color w:val="auto"/>
          <w:lang w:val="pt-BR" w:eastAsia="en-US"/>
        </w:rPr>
        <w:t xml:space="preserve">A Súmula nº 28 do TST, que, no caso de conversão da reintegração em indenização dobrada, garante o direito aos salários até a data da primeira decisão que determinou a referida conversão, aplica-se também à hipótese de rompimento da relação de trabalho por ato discriminatório, a que se refere o art. 4º da Lei nº 9.029/1995. A tese consagrada na referida súmula diz respeito aos efeitos concretos da conversão de qualquer reintegração em indenização, independentemente de seus motivos determinantes, pois o fato jurídico relevante, que delimita o marco temporal para o pagamento do salário, é a inexistência da relação de emprego e da contraprestação de serviços, o que ocorreu, no caso, com a prolação da sentença condenatória que deferiu a indenização substitutiva da readmissão (inciso II do art. 4º da Lei nº 9.029/1995). Sob esse entendimento, a SBDI-I, por unanimidade, conheceu dos embargos, no tópico, por divergência jurisprudencial, e, no mérito, por maioria, negou-lhes provimento. Vencidos os Ministros José Roberto Freire Pimenta, Augusto César Leite de Carvalho, Renato de Lacerda Paiva e Cláudio Mascarenhas Brandão. </w:t>
      </w:r>
      <w:hyperlink r:id="rId18" w:history="1">
        <w:r w:rsidRPr="00AD0ED3">
          <w:rPr>
            <w:rStyle w:val="Hyperlink"/>
            <w:rFonts w:ascii="Times New Roman" w:eastAsia="Calibri" w:hAnsi="Times New Roman"/>
            <w:lang w:val="pt-BR" w:eastAsia="en-US"/>
          </w:rPr>
          <w:t>TST-E-ED-RR-941-95.2010.5.01.0017</w:t>
        </w:r>
      </w:hyperlink>
      <w:r w:rsidRPr="00020CD0">
        <w:rPr>
          <w:rFonts w:ascii="Times New Roman" w:eastAsia="Calibri" w:hAnsi="Times New Roman" w:cs="Times New Roman"/>
          <w:color w:val="auto"/>
          <w:u w:val="single"/>
          <w:lang w:val="pt-BR" w:eastAsia="en-US"/>
        </w:rPr>
        <w:t>, SBDI-I, rel. Min. Aloysio Corrêa da Veiga, 7.6.2018</w:t>
      </w:r>
    </w:p>
    <w:p w:rsidR="004D697F" w:rsidRPr="00020CD0" w:rsidRDefault="004D697F" w:rsidP="004D697F">
      <w:pPr>
        <w:tabs>
          <w:tab w:val="left" w:pos="1815"/>
        </w:tabs>
        <w:jc w:val="both"/>
        <w:rPr>
          <w:b/>
          <w:i/>
          <w:sz w:val="24"/>
          <w:szCs w:val="24"/>
        </w:rPr>
      </w:pPr>
    </w:p>
    <w:p w:rsidR="004D697F" w:rsidRPr="00020CD0" w:rsidRDefault="004D697F" w:rsidP="004D697F">
      <w:pPr>
        <w:pStyle w:val="Corpo"/>
        <w:spacing w:line="240" w:lineRule="auto"/>
        <w:ind w:firstLine="0"/>
        <w:rPr>
          <w:rFonts w:ascii="Times New Roman" w:eastAsia="Calibri" w:hAnsi="Times New Roman" w:cs="Times New Roman"/>
          <w:color w:val="auto"/>
          <w:lang w:val="pt-BR" w:eastAsia="en-US"/>
        </w:rPr>
      </w:pPr>
      <w:r w:rsidRPr="00020CD0">
        <w:rPr>
          <w:rFonts w:ascii="Times New Roman" w:eastAsia="Calibri" w:hAnsi="Times New Roman" w:cs="Times New Roman"/>
          <w:b/>
          <w:i/>
          <w:color w:val="auto"/>
          <w:lang w:val="pt-BR" w:eastAsia="en-US"/>
        </w:rPr>
        <w:t xml:space="preserve">Audiência. Não comparecimento da reclamante. Atestado médico que não registra a impossibilidade de locomoção. Existência de outros elementos que justificam a ausência. Confissão ficta. Afastamento. </w:t>
      </w:r>
    </w:p>
    <w:p w:rsidR="004D697F" w:rsidRPr="00020CD0" w:rsidRDefault="004D697F" w:rsidP="004D697F">
      <w:pPr>
        <w:pStyle w:val="Corpo"/>
        <w:spacing w:line="240" w:lineRule="auto"/>
        <w:ind w:firstLine="0"/>
        <w:rPr>
          <w:rFonts w:ascii="Times New Roman" w:eastAsia="Calibri" w:hAnsi="Times New Roman" w:cs="Times New Roman"/>
          <w:color w:val="auto"/>
          <w:lang w:val="pt-BR" w:eastAsia="en-US"/>
        </w:rPr>
      </w:pPr>
      <w:r w:rsidRPr="00020CD0">
        <w:rPr>
          <w:rFonts w:ascii="Times New Roman" w:eastAsia="Calibri" w:hAnsi="Times New Roman" w:cs="Times New Roman"/>
          <w:color w:val="auto"/>
          <w:lang w:val="pt-BR" w:eastAsia="en-US"/>
        </w:rPr>
        <w:t xml:space="preserve">A SBDI-I, por unanimidade, conheceu dos embargos interpostos pela reclamada, por divergência jurisprudencial, e, no mérito, por maioria, negou-lhes provimento para manter a decisão turmária que afastara a pena de confissão ficta aplicada à reclamante que justificou sua ausência à audiência mediante a apresentação de atestado médico sem expressa menção à impossibilidade de locomoção. Na espécie, prevaleceu o entendimento de que embora o atestado médico não tenha atendido aos requisitos da Súmula nº 122 do TST – aplicável a empregador e a empregado, em razão do princípio da isonomia –, restou justificada a ausência da reclamante, na medida em que o documento noticiou o comparecimento da empregada ao médico na mesma data da audiência e em horário próximo, e registrou o Código Internacional de Doenças - CID e a necessidade de afastamento das atividades laborais por um dia, o que leva a concluir que também não estava apta a comparecer à audiência marcada. Vencidos os Ministros Maria Cristina Irigoyen Peduzzi e Márcio Eurico Vitral Amaro. </w:t>
      </w:r>
      <w:hyperlink r:id="rId19" w:history="1">
        <w:r w:rsidRPr="00AD0ED3">
          <w:rPr>
            <w:rStyle w:val="Hyperlink"/>
            <w:rFonts w:ascii="Times New Roman" w:eastAsia="Calibri" w:hAnsi="Times New Roman"/>
            <w:lang w:val="pt-BR" w:eastAsia="en-US"/>
          </w:rPr>
          <w:t>TST-E-RR-736-21.2012.5.09.0002</w:t>
        </w:r>
      </w:hyperlink>
      <w:r w:rsidRPr="00020CD0">
        <w:rPr>
          <w:rFonts w:ascii="Times New Roman" w:eastAsia="Calibri" w:hAnsi="Times New Roman" w:cs="Times New Roman"/>
          <w:color w:val="auto"/>
          <w:u w:val="single"/>
          <w:lang w:val="pt-BR" w:eastAsia="en-US"/>
        </w:rPr>
        <w:t>, SBDI-I, rel. Min. Guilherme Augusto Caputo Bastos, 14.6.2018</w:t>
      </w:r>
      <w:r w:rsidRPr="00020CD0">
        <w:rPr>
          <w:rFonts w:ascii="Times New Roman" w:eastAsia="Calibri" w:hAnsi="Times New Roman" w:cs="Times New Roman"/>
          <w:color w:val="auto"/>
          <w:lang w:val="pt-BR" w:eastAsia="en-US"/>
        </w:rPr>
        <w:t xml:space="preserve">  </w:t>
      </w:r>
    </w:p>
    <w:p w:rsidR="00222CF6" w:rsidRPr="00020CD0" w:rsidRDefault="00222CF6" w:rsidP="00EC04A5">
      <w:pPr>
        <w:jc w:val="both"/>
        <w:rPr>
          <w:sz w:val="24"/>
          <w:szCs w:val="24"/>
          <w:u w:val="single"/>
        </w:rPr>
      </w:pPr>
    </w:p>
    <w:p w:rsidR="00222CF6" w:rsidRPr="004A022A" w:rsidRDefault="00222CF6" w:rsidP="00222CF6">
      <w:pPr>
        <w:pStyle w:val="Corpo"/>
        <w:pBdr>
          <w:top w:val="single" w:sz="4" w:space="1" w:color="auto"/>
          <w:left w:val="single" w:sz="4" w:space="4" w:color="auto"/>
          <w:bottom w:val="single" w:sz="4" w:space="1" w:color="auto"/>
          <w:right w:val="single" w:sz="4" w:space="4" w:color="auto"/>
        </w:pBdr>
        <w:shd w:val="solid" w:color="B8CCE4" w:fill="B8CCE4"/>
        <w:tabs>
          <w:tab w:val="center" w:pos="4819"/>
          <w:tab w:val="left" w:pos="6759"/>
        </w:tabs>
        <w:spacing w:line="240" w:lineRule="auto"/>
        <w:ind w:firstLine="0"/>
        <w:jc w:val="center"/>
        <w:rPr>
          <w:rFonts w:ascii="Times New Roman" w:hAnsi="Times New Roman" w:cs="Times New Roman"/>
          <w:b/>
          <w:bCs/>
          <w:color w:val="auto"/>
          <w:sz w:val="25"/>
          <w:szCs w:val="25"/>
          <w:lang w:val="pt-BR"/>
          <w14:shadow w14:blurRad="50800" w14:dist="38100" w14:dir="2700000" w14:sx="100000" w14:sy="100000" w14:kx="0" w14:ky="0" w14:algn="tl">
            <w14:srgbClr w14:val="000000">
              <w14:alpha w14:val="60000"/>
            </w14:srgbClr>
          </w14:shadow>
        </w:rPr>
      </w:pPr>
      <w:r w:rsidRPr="004A022A">
        <w:rPr>
          <w:rFonts w:ascii="Times New Roman" w:hAnsi="Times New Roman" w:cs="Times New Roman"/>
          <w:b/>
          <w:bCs/>
          <w:color w:val="auto"/>
          <w:sz w:val="25"/>
          <w:szCs w:val="25"/>
          <w:lang w:val="pt-BR"/>
          <w14:shadow w14:blurRad="50800" w14:dist="38100" w14:dir="2700000" w14:sx="100000" w14:sy="100000" w14:kx="0" w14:ky="0" w14:algn="tl">
            <w14:srgbClr w14:val="000000">
              <w14:alpha w14:val="60000"/>
            </w14:srgbClr>
          </w14:shadow>
        </w:rPr>
        <w:t>SUBSEÇÃO II ESPECIALIZADA EM DISSÍDIOS INDIVIDUAIS</w:t>
      </w:r>
    </w:p>
    <w:p w:rsidR="00222CF6" w:rsidRPr="00020CD0" w:rsidRDefault="00222CF6" w:rsidP="00EC04A5">
      <w:pPr>
        <w:jc w:val="both"/>
        <w:rPr>
          <w:sz w:val="24"/>
          <w:szCs w:val="24"/>
          <w:u w:val="single"/>
        </w:rPr>
      </w:pPr>
    </w:p>
    <w:p w:rsidR="004D697F" w:rsidRPr="00020CD0" w:rsidRDefault="004D697F" w:rsidP="004D697F">
      <w:pPr>
        <w:jc w:val="both"/>
        <w:rPr>
          <w:rFonts w:eastAsia="Calibri"/>
          <w:b/>
          <w:i/>
          <w:sz w:val="24"/>
          <w:szCs w:val="24"/>
        </w:rPr>
      </w:pPr>
      <w:r w:rsidRPr="00020CD0">
        <w:rPr>
          <w:rFonts w:eastAsia="Calibri"/>
          <w:b/>
          <w:i/>
          <w:sz w:val="24"/>
          <w:szCs w:val="24"/>
        </w:rPr>
        <w:t>Mandado de segurança. Dirigente sindical detentor de estabilidade provisória. Suspensão após o ajuizamento de inquérito judicial para apuração de falta grave. Reintegração determinada em sede de cognição sumária. Presença dos pressupostos do art. 300 do CPC de 2015.  Ausência de direito líquido e certo à suspensão do empregado até a decisão final do inquérito.</w:t>
      </w:r>
    </w:p>
    <w:p w:rsidR="004D697F" w:rsidRPr="00020CD0" w:rsidRDefault="004D697F" w:rsidP="004D697F">
      <w:pPr>
        <w:jc w:val="both"/>
        <w:rPr>
          <w:rFonts w:eastAsia="Calibri"/>
          <w:sz w:val="24"/>
          <w:szCs w:val="24"/>
          <w:u w:val="single"/>
        </w:rPr>
      </w:pPr>
      <w:r w:rsidRPr="00020CD0">
        <w:rPr>
          <w:rFonts w:eastAsia="Calibri"/>
          <w:sz w:val="24"/>
          <w:szCs w:val="24"/>
        </w:rPr>
        <w:t xml:space="preserve">Não configura ato ilícito do empregador, capaz de ensejar imediata reintegração, a mera suspensão do empregado detentor de estabilidade por ocupar cargo em direção em sindicato, após o ajuizamento do inquérito judicial para apuração de falta grave, na forma do art. 494 da CLT. Isso não impede, todavia, que, durante o procedimento investigativo, e com base nas provas ali produzidas, o magistrado se convença da probabilidade do direito defendido pelo detentor da estabilidade provisória e, assim, determine o seu retorno ao trabalho em sede de cognição sumária (tutela de urgência). A prerrogativa contida no art. 494 da CLT não é infensa ao controle jurisdicional, de modo que, se no caso em apreço, o magistrado, com base na documentação juntada aos autos, convenceu-se de que havia respaldo fático-jurídico a embasar o pedido de reintegração, afigura-se presente a probabilidade do direito a que se refere o art. 300 do CPC de 2015, não </w:t>
      </w:r>
      <w:r w:rsidRPr="00020CD0">
        <w:rPr>
          <w:rFonts w:eastAsia="Calibri"/>
          <w:sz w:val="24"/>
          <w:szCs w:val="24"/>
        </w:rPr>
        <w:lastRenderedPageBreak/>
        <w:t xml:space="preserve">havendo falar em ilegalidade ou abuso de direito. Sob esses fundamentos, a SBDI-II, por unanimidade, negou provimento ao recurso ordinário interposto contra acórdão do Tribunal Regional em que se denegara a segurança pleiteada pelo empregador que alegava ter direito líquido e certo de suspender o empregado até a decisão final do inquérito. </w:t>
      </w:r>
      <w:hyperlink r:id="rId20" w:history="1">
        <w:r w:rsidRPr="00AD0ED3">
          <w:rPr>
            <w:rStyle w:val="Hyperlink"/>
            <w:rFonts w:eastAsia="Calibri"/>
            <w:sz w:val="24"/>
            <w:szCs w:val="24"/>
          </w:rPr>
          <w:t>TST-RO-101134-62.2016.5.01.0000</w:t>
        </w:r>
      </w:hyperlink>
      <w:r w:rsidRPr="00020CD0">
        <w:rPr>
          <w:rFonts w:eastAsia="Calibri"/>
          <w:sz w:val="24"/>
          <w:szCs w:val="24"/>
          <w:u w:val="single"/>
        </w:rPr>
        <w:t>, SBDI-II, rel. Min. Maria Helena Mallmann, 5.6.2018</w:t>
      </w:r>
    </w:p>
    <w:p w:rsidR="004D697F" w:rsidRPr="00020CD0" w:rsidRDefault="004D697F" w:rsidP="00EC04A5">
      <w:pPr>
        <w:jc w:val="both"/>
        <w:rPr>
          <w:sz w:val="24"/>
          <w:szCs w:val="24"/>
          <w:u w:val="single"/>
        </w:rPr>
      </w:pPr>
    </w:p>
    <w:p w:rsidR="004D697F" w:rsidRPr="00020CD0" w:rsidRDefault="004D697F" w:rsidP="004D697F">
      <w:pPr>
        <w:pStyle w:val="Corpo"/>
        <w:spacing w:line="240" w:lineRule="auto"/>
        <w:ind w:firstLine="0"/>
        <w:rPr>
          <w:rFonts w:ascii="Times New Roman" w:eastAsia="Calibri" w:hAnsi="Times New Roman" w:cs="Times New Roman"/>
          <w:b/>
          <w:i/>
          <w:color w:val="auto"/>
          <w:lang w:val="pt-BR" w:eastAsia="en-US"/>
        </w:rPr>
      </w:pPr>
      <w:r w:rsidRPr="00020CD0">
        <w:rPr>
          <w:rFonts w:ascii="Times New Roman" w:eastAsia="Calibri" w:hAnsi="Times New Roman" w:cs="Times New Roman"/>
          <w:b/>
          <w:i/>
          <w:color w:val="auto"/>
          <w:lang w:val="pt-BR" w:eastAsia="en-US"/>
        </w:rPr>
        <w:t>Ação rescisória. Matéria controvertida. Ausência de jurisprudência pacifica no âmbito da SBDI-I e de todas as Turmas do TST. Súmula nº 83 do TST. Incidência.</w:t>
      </w:r>
    </w:p>
    <w:p w:rsidR="004D697F" w:rsidRPr="00020CD0" w:rsidRDefault="004D697F" w:rsidP="004D697F">
      <w:pPr>
        <w:jc w:val="both"/>
        <w:rPr>
          <w:sz w:val="24"/>
          <w:szCs w:val="24"/>
          <w:u w:val="single"/>
        </w:rPr>
      </w:pPr>
      <w:r w:rsidRPr="00020CD0">
        <w:rPr>
          <w:rFonts w:eastAsia="Calibri"/>
          <w:sz w:val="24"/>
          <w:szCs w:val="24"/>
        </w:rPr>
        <w:t xml:space="preserve">O TST, flexibilizando os comandos da Súmula nº 83 da Corte, firmou o entendimento de que o marco divisor para afastar a controvérsia a respeito da interpretação de norma infraconstitucional é o fato de a matéria estar pacificada na SBDI-I e nas oito Turmas do TST, no momento do trânsito em julgado da decisão rescindenda, mesmo que não editada súmula ou orientação jurisprudencial a respeito do tema. Na hipótese, todavia, à época em que proferido o acórdão rescindendo, a tese acerca da necessidade, ou não, de comprovação da inexequibilidade da devedora principal, para os fins de redirecionamento da execução para a responsável subsidiária nos casos de falência da responsável principal, não estava pacificada, pois ausentes precedentes da SBDI-I e da 3ª Turma acerca do mérito da questão, além de também haver controvérsia no âmbito dos Tribunais Regionais. Assim, ante o óbice da Súmula nº 83 do TST, a SBDI-II, por unanimidade, conheceu do recurso ordinário, e, no mérito, por maioria, deu-lhe provimento para julgar improcedente a ação rescisória. Vencidos os Ministros Douglas Alencar Rodrigues, relator, Maria Helena Mallmann, Delaíde Miranda Arantes e Alexandre Agra Belmonte. </w:t>
      </w:r>
      <w:hyperlink r:id="rId21" w:history="1">
        <w:r w:rsidRPr="00AD0ED3">
          <w:rPr>
            <w:rStyle w:val="Hyperlink"/>
            <w:sz w:val="24"/>
            <w:szCs w:val="24"/>
          </w:rPr>
          <w:t>T</w:t>
        </w:r>
        <w:r w:rsidRPr="00AD0ED3">
          <w:rPr>
            <w:rStyle w:val="Hyperlink"/>
            <w:rFonts w:eastAsia="Calibri"/>
            <w:sz w:val="24"/>
            <w:szCs w:val="24"/>
          </w:rPr>
          <w:t>ST-RO-8573-11.2011.5.04.0000</w:t>
        </w:r>
      </w:hyperlink>
      <w:r w:rsidRPr="00020CD0">
        <w:rPr>
          <w:rFonts w:eastAsia="Calibri"/>
          <w:sz w:val="24"/>
          <w:szCs w:val="24"/>
          <w:u w:val="single"/>
        </w:rPr>
        <w:t>, SBDI-II, rel. Min. Douglas Alencar Rodrigues, red. p/ acórdão Min. Renato de Lacerda Paiva, 12.6.2018</w:t>
      </w:r>
    </w:p>
    <w:p w:rsidR="004D697F" w:rsidRPr="00020CD0" w:rsidRDefault="004D697F" w:rsidP="00EC04A5">
      <w:pPr>
        <w:jc w:val="both"/>
        <w:rPr>
          <w:sz w:val="24"/>
          <w:szCs w:val="24"/>
          <w:u w:val="single"/>
        </w:rPr>
      </w:pPr>
    </w:p>
    <w:p w:rsidR="004D697F" w:rsidRPr="00020CD0" w:rsidRDefault="004D697F" w:rsidP="004D697F">
      <w:pPr>
        <w:jc w:val="both"/>
        <w:rPr>
          <w:b/>
          <w:i/>
          <w:sz w:val="24"/>
          <w:szCs w:val="24"/>
        </w:rPr>
      </w:pPr>
      <w:r w:rsidRPr="00020CD0">
        <w:rPr>
          <w:b/>
          <w:i/>
          <w:sz w:val="24"/>
          <w:szCs w:val="24"/>
        </w:rPr>
        <w:t>Mandado de segurança. Cabimento. Relatório da Seção de Pesquisa Patrimonial do Núcleo de Centralização de Execução do TRT da 1ª Região. Ato abusivo.</w:t>
      </w:r>
    </w:p>
    <w:p w:rsidR="004D697F" w:rsidRPr="00020CD0" w:rsidRDefault="004D697F" w:rsidP="004D697F">
      <w:pPr>
        <w:jc w:val="both"/>
        <w:rPr>
          <w:sz w:val="24"/>
          <w:szCs w:val="24"/>
          <w:u w:val="single"/>
        </w:rPr>
      </w:pPr>
      <w:r w:rsidRPr="00020CD0">
        <w:rPr>
          <w:sz w:val="24"/>
          <w:szCs w:val="24"/>
        </w:rPr>
        <w:t xml:space="preserve">É cabível mandado de segurança contra atos que se afigurem abusivos ou teratológicos, quando a medida processual específica prevista no ordenamento jurídico não seja capaz de fazer cessar, de imediato, o prejuízo que possa ser causado. Na espécie, comprovado que o relatório da Seção de Pesquisa Patrimonial do Núcleo de Centralização de Execução do TRT da 1ª Região não é ato simplesmente opinativo, mas tem aptidão para autorizar a penhora imediata de numerário em conta bancária da impetrante em processos nos quais ela não figura como executada, é evidente a ocorrência de lesão patrimonial cuja reparação não pode aguardar o julgamento de eventuais embargos à execução ou embargos de terceiro. Ademais, o ato extrapolou os limites previstos na Resolução nº 138 do CSJT (que disciplina os Núcleos de Pesquisa Patrimonial no âmbito dos Tribunais Regionais), além de violar o direito líquido e certo da impetrante ao contraditório e ao devido processo legal. Sob esse entendimento, a SBDI-II, por unanimidade, conheceu do recurso ordinário e do reexame necessário, e, no mérito, por maioria negou-lhes provimento para manter a decisão do Tribunal Regional que suspendera as recomendações do relatório impugnado. Vencida a Ministra Maria Helena Mallmann, relatora, que extinguia o feito sem resolução de mérito, sob o fundamento de que é incabível mandado de segurança contra ato administrativo meramente opinativo. </w:t>
      </w:r>
      <w:hyperlink r:id="rId22" w:history="1">
        <w:r w:rsidRPr="00AD0ED3">
          <w:rPr>
            <w:rStyle w:val="Hyperlink"/>
            <w:sz w:val="24"/>
            <w:szCs w:val="24"/>
          </w:rPr>
          <w:t>TST-ReeNec e RO-884-55.2015.5.01.0000</w:t>
        </w:r>
      </w:hyperlink>
      <w:r w:rsidRPr="00020CD0">
        <w:rPr>
          <w:sz w:val="24"/>
          <w:szCs w:val="24"/>
          <w:u w:val="single"/>
        </w:rPr>
        <w:t>, SBDI-II, rel. Min. Maria Helena Mallmann, red. p/ acórdão Min. Luiz Philippe Vieira de Mello Filho, 12.6.2018</w:t>
      </w:r>
    </w:p>
    <w:p w:rsidR="00020CD0" w:rsidRPr="00020CD0" w:rsidRDefault="00020CD0" w:rsidP="004D697F">
      <w:pPr>
        <w:jc w:val="both"/>
        <w:rPr>
          <w:sz w:val="24"/>
          <w:szCs w:val="24"/>
          <w:u w:val="single"/>
        </w:rPr>
      </w:pPr>
    </w:p>
    <w:p w:rsidR="00020CD0" w:rsidRPr="00020CD0" w:rsidRDefault="00020CD0" w:rsidP="004D697F">
      <w:pPr>
        <w:jc w:val="both"/>
        <w:rPr>
          <w:sz w:val="24"/>
          <w:szCs w:val="24"/>
        </w:rPr>
      </w:pPr>
    </w:p>
    <w:p w:rsidR="004D697F" w:rsidRPr="00020CD0" w:rsidRDefault="004D697F" w:rsidP="00EC04A5">
      <w:pPr>
        <w:jc w:val="both"/>
        <w:rPr>
          <w:sz w:val="24"/>
          <w:szCs w:val="24"/>
          <w:u w:val="single"/>
        </w:rPr>
      </w:pPr>
    </w:p>
    <w:p w:rsidR="006D0B48" w:rsidRPr="00020CD0" w:rsidRDefault="006D0B48" w:rsidP="00C6738C">
      <w:pPr>
        <w:rPr>
          <w:sz w:val="10"/>
          <w:szCs w:val="10"/>
        </w:rPr>
      </w:pPr>
    </w:p>
    <w:p w:rsidR="00184590" w:rsidRPr="00020CD0" w:rsidRDefault="00184590" w:rsidP="00D11B24">
      <w:pPr>
        <w:pStyle w:val="Corpodetexto"/>
        <w:pBdr>
          <w:top w:val="single" w:sz="4" w:space="1" w:color="auto"/>
          <w:left w:val="single" w:sz="4" w:space="0" w:color="auto"/>
          <w:bottom w:val="single" w:sz="4" w:space="1" w:color="auto"/>
          <w:right w:val="single" w:sz="4" w:space="1" w:color="auto"/>
        </w:pBdr>
        <w:shd w:val="clear" w:color="auto" w:fill="B8CCE4"/>
        <w:outlineLvl w:val="0"/>
        <w:rPr>
          <w:b w:val="0"/>
          <w:bCs w:val="0"/>
          <w:snapToGrid w:val="0"/>
          <w:sz w:val="25"/>
          <w:szCs w:val="25"/>
        </w:rPr>
      </w:pPr>
      <w:r w:rsidRPr="00020CD0">
        <w:rPr>
          <w:b w:val="0"/>
          <w:bCs w:val="0"/>
          <w:snapToGrid w:val="0"/>
          <w:sz w:val="25"/>
          <w:szCs w:val="25"/>
        </w:rPr>
        <w:t xml:space="preserve">Informativo TST é mantido pela </w:t>
      </w:r>
    </w:p>
    <w:p w:rsidR="00184590" w:rsidRPr="00020CD0" w:rsidRDefault="00184590" w:rsidP="00D11B24">
      <w:pPr>
        <w:pStyle w:val="Corpodetexto"/>
        <w:pBdr>
          <w:top w:val="single" w:sz="4" w:space="1" w:color="auto"/>
          <w:left w:val="single" w:sz="4" w:space="0" w:color="auto"/>
          <w:bottom w:val="single" w:sz="4" w:space="1" w:color="auto"/>
          <w:right w:val="single" w:sz="4" w:space="1" w:color="auto"/>
        </w:pBdr>
        <w:shd w:val="clear" w:color="auto" w:fill="B8CCE4"/>
        <w:rPr>
          <w:b w:val="0"/>
          <w:bCs w:val="0"/>
          <w:snapToGrid w:val="0"/>
          <w:sz w:val="25"/>
          <w:szCs w:val="25"/>
        </w:rPr>
      </w:pPr>
      <w:r w:rsidRPr="00020CD0">
        <w:rPr>
          <w:b w:val="0"/>
          <w:bCs w:val="0"/>
          <w:snapToGrid w:val="0"/>
          <w:sz w:val="25"/>
          <w:szCs w:val="25"/>
        </w:rPr>
        <w:t>Coordenadoria de Jurisprudência – CJUR</w:t>
      </w:r>
    </w:p>
    <w:p w:rsidR="00184590" w:rsidRPr="00020CD0" w:rsidRDefault="00184590" w:rsidP="00D11B24">
      <w:pPr>
        <w:pBdr>
          <w:top w:val="single" w:sz="4" w:space="1" w:color="auto"/>
          <w:left w:val="single" w:sz="4" w:space="0" w:color="auto"/>
          <w:bottom w:val="single" w:sz="4" w:space="1" w:color="auto"/>
          <w:right w:val="single" w:sz="4" w:space="1" w:color="auto"/>
        </w:pBdr>
        <w:shd w:val="clear" w:color="auto" w:fill="B8CCE4"/>
        <w:jc w:val="center"/>
        <w:rPr>
          <w:snapToGrid w:val="0"/>
          <w:sz w:val="25"/>
          <w:szCs w:val="25"/>
        </w:rPr>
      </w:pPr>
      <w:r w:rsidRPr="00020CD0">
        <w:rPr>
          <w:snapToGrid w:val="0"/>
          <w:sz w:val="25"/>
          <w:szCs w:val="25"/>
        </w:rPr>
        <w:t>Informações/Sugestões/Críticas: (61)3043</w:t>
      </w:r>
      <w:r w:rsidR="00352B27" w:rsidRPr="00020CD0">
        <w:rPr>
          <w:snapToGrid w:val="0"/>
          <w:sz w:val="25"/>
          <w:szCs w:val="25"/>
        </w:rPr>
        <w:t>-</w:t>
      </w:r>
      <w:r w:rsidRPr="00020CD0">
        <w:rPr>
          <w:snapToGrid w:val="0"/>
          <w:sz w:val="25"/>
          <w:szCs w:val="25"/>
        </w:rPr>
        <w:t>4</w:t>
      </w:r>
      <w:r w:rsidR="00D72C05" w:rsidRPr="00020CD0">
        <w:rPr>
          <w:snapToGrid w:val="0"/>
          <w:sz w:val="25"/>
          <w:szCs w:val="25"/>
        </w:rPr>
        <w:t>417</w:t>
      </w:r>
    </w:p>
    <w:p w:rsidR="007614F1" w:rsidRPr="00020CD0" w:rsidRDefault="00184590" w:rsidP="00D11B24">
      <w:pPr>
        <w:pBdr>
          <w:top w:val="single" w:sz="4" w:space="1" w:color="auto"/>
          <w:left w:val="single" w:sz="4" w:space="0" w:color="auto"/>
          <w:bottom w:val="single" w:sz="4" w:space="1" w:color="auto"/>
          <w:right w:val="single" w:sz="4" w:space="1" w:color="auto"/>
        </w:pBdr>
        <w:shd w:val="clear" w:color="auto" w:fill="B8CCE4"/>
        <w:jc w:val="center"/>
        <w:rPr>
          <w:snapToGrid w:val="0"/>
          <w:sz w:val="25"/>
          <w:szCs w:val="25"/>
        </w:rPr>
      </w:pPr>
      <w:r w:rsidRPr="00020CD0">
        <w:rPr>
          <w:snapToGrid w:val="0"/>
          <w:sz w:val="25"/>
          <w:szCs w:val="25"/>
        </w:rPr>
        <w:t>cjur@tst.jus.br</w:t>
      </w:r>
    </w:p>
    <w:sectPr w:rsidR="007614F1" w:rsidRPr="00020CD0" w:rsidSect="00D11B24">
      <w:headerReference w:type="default" r:id="rId23"/>
      <w:footerReference w:type="default" r:id="rId24"/>
      <w:headerReference w:type="first" r:id="rId25"/>
      <w:footerReference w:type="first" r:id="rId26"/>
      <w:type w:val="continuous"/>
      <w:pgSz w:w="11907" w:h="16839" w:code="9"/>
      <w:pgMar w:top="1304" w:right="1134" w:bottom="851" w:left="1134" w:header="709" w:footer="709" w:gutter="0"/>
      <w:cols w:space="709"/>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3622" w:rsidRDefault="00CF3622">
      <w:r>
        <w:separator/>
      </w:r>
    </w:p>
  </w:endnote>
  <w:endnote w:type="continuationSeparator" w:id="0">
    <w:p w:rsidR="00CF3622" w:rsidRDefault="00CF36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0ED3" w:rsidRDefault="00AD0ED3">
    <w:pPr>
      <w:pStyle w:val="Rodap"/>
      <w:framePr w:wrap="auto"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4A022A">
      <w:rPr>
        <w:rStyle w:val="Nmerodepgina"/>
        <w:noProof/>
      </w:rPr>
      <w:t>5</w:t>
    </w:r>
    <w:r>
      <w:rPr>
        <w:rStyle w:val="Nmerodepgina"/>
      </w:rPr>
      <w:fldChar w:fldCharType="end"/>
    </w:r>
  </w:p>
  <w:p w:rsidR="00AD0ED3" w:rsidRDefault="004A022A">
    <w:pPr>
      <w:pStyle w:val="Rodap"/>
      <w:ind w:right="360"/>
    </w:pPr>
    <w:r>
      <w:rPr>
        <w:noProof/>
      </w:rPr>
      <mc:AlternateContent>
        <mc:Choice Requires="wps">
          <w:drawing>
            <wp:anchor distT="0" distB="0" distL="114300" distR="114300" simplePos="0" relativeHeight="251658240" behindDoc="0" locked="0" layoutInCell="0" allowOverlap="1">
              <wp:simplePos x="0" y="0"/>
              <wp:positionH relativeFrom="column">
                <wp:posOffset>11430</wp:posOffset>
              </wp:positionH>
              <wp:positionV relativeFrom="paragraph">
                <wp:posOffset>-45085</wp:posOffset>
              </wp:positionV>
              <wp:extent cx="6309360" cy="0"/>
              <wp:effectExtent l="0" t="0" r="0" b="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9360"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3.55pt" to="497.7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" o:allowincell="f" strokecolor="#969696"/>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0ED3" w:rsidRDefault="004A022A">
    <w:pPr>
      <w:pStyle w:val="Rodap"/>
      <w:jc w:val="right"/>
    </w:pPr>
    <w:r>
      <w:rPr>
        <w:noProof/>
      </w:rPr>
      <mc:AlternateContent>
        <mc:Choice Requires="wps">
          <w:drawing>
            <wp:anchor distT="0" distB="0" distL="114300" distR="114300" simplePos="0" relativeHeight="251659264" behindDoc="0" locked="0" layoutInCell="0" allowOverlap="1">
              <wp:simplePos x="0" y="0"/>
              <wp:positionH relativeFrom="column">
                <wp:posOffset>11430</wp:posOffset>
              </wp:positionH>
              <wp:positionV relativeFrom="paragraph">
                <wp:posOffset>-45085</wp:posOffset>
              </wp:positionV>
              <wp:extent cx="6309360" cy="1905"/>
              <wp:effectExtent l="0" t="0" r="0" b="0"/>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09360" cy="1905"/>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3.55pt" to="497.7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" o:allowincell="f" strokecolor="#969696"/>
          </w:pict>
        </mc:Fallback>
      </mc:AlternateContent>
    </w:r>
    <w:r w:rsidR="00AD0ED3">
      <w:rPr>
        <w:rStyle w:val="Nmerodepgina"/>
      </w:rPr>
      <w:fldChar w:fldCharType="begin"/>
    </w:r>
    <w:r w:rsidR="00AD0ED3">
      <w:rPr>
        <w:rStyle w:val="Nmerodepgina"/>
      </w:rPr>
      <w:instrText xml:space="preserve"> PAGE </w:instrText>
    </w:r>
    <w:r w:rsidR="00AD0ED3">
      <w:rPr>
        <w:rStyle w:val="Nmerodepgina"/>
      </w:rPr>
      <w:fldChar w:fldCharType="separate"/>
    </w:r>
    <w:r>
      <w:rPr>
        <w:rStyle w:val="Nmerodepgina"/>
        <w:noProof/>
      </w:rPr>
      <w:t>1</w:t>
    </w:r>
    <w:r w:rsidR="00AD0ED3">
      <w:rPr>
        <w:rStyle w:val="Nmerodepgin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3622" w:rsidRDefault="00CF3622">
      <w:r>
        <w:separator/>
      </w:r>
    </w:p>
  </w:footnote>
  <w:footnote w:type="continuationSeparator" w:id="0">
    <w:p w:rsidR="00CF3622" w:rsidRDefault="00CF36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0ED3" w:rsidRPr="004A022A" w:rsidRDefault="00AD0ED3">
    <w:pPr>
      <w:pStyle w:val="Corpodetexto"/>
      <w:jc w:val="right"/>
      <w:rPr>
        <w:sz w:val="24"/>
        <w:szCs w:val="24"/>
        <w14:shadow w14:blurRad="50800" w14:dist="38100" w14:dir="2700000" w14:sx="100000" w14:sy="100000" w14:kx="0" w14:ky="0" w14:algn="tl">
          <w14:srgbClr w14:val="000000">
            <w14:alpha w14:val="60000"/>
          </w14:srgbClr>
        </w14:shadow>
      </w:rPr>
    </w:pPr>
    <w:r w:rsidRPr="004A022A">
      <w:rPr>
        <w:sz w:val="24"/>
        <w:szCs w:val="24"/>
        <w14:shadow w14:blurRad="50800" w14:dist="38100" w14:dir="2700000" w14:sx="100000" w14:sy="100000" w14:kx="0" w14:ky="0" w14:algn="tl">
          <w14:srgbClr w14:val="000000">
            <w14:alpha w14:val="60000"/>
          </w14:srgbClr>
        </w14:shadow>
      </w:rPr>
      <w:t>Informativo TST - nº 180</w:t>
    </w:r>
  </w:p>
  <w:p w:rsidR="00AD0ED3" w:rsidRDefault="004A022A" w:rsidP="00A01E4F">
    <w:pPr>
      <w:pStyle w:val="Cabealho"/>
      <w:jc w:val="right"/>
      <w:rPr>
        <w:i/>
        <w:iCs/>
      </w:rPr>
    </w:pPr>
    <w:r>
      <w:rPr>
        <w:noProof/>
      </w:rPr>
      <mc:AlternateContent>
        <mc:Choice Requires="wps">
          <w:drawing>
            <wp:anchor distT="0" distB="0" distL="114300" distR="114300" simplePos="0" relativeHeight="251657216" behindDoc="0" locked="0" layoutInCell="0" allowOverlap="1">
              <wp:simplePos x="0" y="0"/>
              <wp:positionH relativeFrom="column">
                <wp:posOffset>11430</wp:posOffset>
              </wp:positionH>
              <wp:positionV relativeFrom="paragraph">
                <wp:posOffset>128905</wp:posOffset>
              </wp:positionV>
              <wp:extent cx="6309360" cy="0"/>
              <wp:effectExtent l="0" t="0" r="0" b="0"/>
              <wp:wrapNone/>
              <wp:docPr id="4"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09360" cy="0"/>
                      </a:xfrm>
                      <a:prstGeom prst="line">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0.15pt" to="497.7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" o:allowincell="f" strokecolor="#969696"/>
          </w:pict>
        </mc:Fallback>
      </mc:AlternateContent>
    </w:r>
    <w:r w:rsidR="00AD0ED3" w:rsidRPr="003C0554">
      <w:rPr>
        <w:iCs/>
      </w:rPr>
      <w:t xml:space="preserve"> </w:t>
    </w:r>
    <w:r w:rsidR="00AD0ED3">
      <w:rPr>
        <w:i/>
        <w:iCs/>
      </w:rPr>
      <w:t>Período: 4 a 22 de junho de 2018</w:t>
    </w:r>
  </w:p>
  <w:p w:rsidR="00AD0ED3" w:rsidRPr="005D1DE4" w:rsidRDefault="00AD0ED3" w:rsidP="00CE7555">
    <w:pPr>
      <w:pStyle w:val="Cabealho"/>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0ED3" w:rsidRDefault="00AD0ED3">
    <w:pPr>
      <w:pStyle w:val="Cabealho"/>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style="position:absolute;margin-left:65.7pt;margin-top:25pt;width:381.6pt;height:36pt;z-index:251656192" o:allowincell="f" fillcolor="black">
          <v:shadow color="#868686"/>
          <v:textpath style="font-family:&quot;Times New Roman&quot;;v-text-kern:t" trim="t" fitpath="t" string="INFORMATIVO TST"/>
        </v:shape>
      </w:pict>
    </w:r>
    <w:r w:rsidR="004A022A">
      <w:rPr>
        <w:noProof/>
      </w:rPr>
      <w:drawing>
        <wp:inline distT="0" distB="0" distL="0" distR="0">
          <wp:extent cx="1219200" cy="981075"/>
          <wp:effectExtent l="0" t="0" r="0" b="9525"/>
          <wp:docPr id="1" name="Imagem 1" descr="TS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ST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981075"/>
                  </a:xfrm>
                  <a:prstGeom prst="rect">
                    <a:avLst/>
                  </a:prstGeom>
                  <a:noFill/>
                  <a:ln>
                    <a:noFill/>
                  </a:ln>
                </pic:spPr>
              </pic:pic>
            </a:graphicData>
          </a:graphic>
        </wp:inline>
      </w:drawing>
    </w:r>
  </w:p>
  <w:p w:rsidR="00AD0ED3" w:rsidRPr="002168DE" w:rsidRDefault="00AD0ED3" w:rsidP="00075BDB">
    <w:pPr>
      <w:pStyle w:val="Cabealho"/>
      <w:tabs>
        <w:tab w:val="clear" w:pos="4419"/>
        <w:tab w:val="clear" w:pos="8838"/>
        <w:tab w:val="left" w:pos="2793"/>
      </w:tabs>
      <w:jc w:val="right"/>
      <w:rPr>
        <w:b/>
        <w:sz w:val="40"/>
        <w:szCs w:val="40"/>
      </w:rPr>
    </w:pPr>
    <w:r>
      <w:tab/>
    </w:r>
    <w:r>
      <w:tab/>
    </w:r>
    <w:r>
      <w:tab/>
    </w:r>
    <w:r>
      <w:tab/>
    </w:r>
    <w:r>
      <w:tab/>
    </w:r>
    <w:r>
      <w:tab/>
    </w:r>
    <w:r w:rsidRPr="002168DE">
      <w:rPr>
        <w:b/>
        <w:sz w:val="40"/>
        <w:szCs w:val="40"/>
      </w:rPr>
      <w:t xml:space="preserve">Nº </w:t>
    </w:r>
    <w:r>
      <w:rPr>
        <w:b/>
        <w:sz w:val="40"/>
        <w:szCs w:val="40"/>
      </w:rPr>
      <w:t xml:space="preserve">180 </w:t>
    </w:r>
  </w:p>
  <w:p w:rsidR="00AD0ED3" w:rsidRPr="005D1DE4" w:rsidRDefault="00AD0ED3">
    <w:pPr>
      <w:pStyle w:val="Cabealho"/>
      <w:jc w:val="right"/>
      <w:rPr>
        <w:i/>
        <w:iCs/>
        <w:sz w:val="10"/>
        <w:szCs w:val="10"/>
      </w:rPr>
    </w:pPr>
  </w:p>
  <w:p w:rsidR="00AD0ED3" w:rsidRDefault="00AD0ED3" w:rsidP="009A16E8">
    <w:pPr>
      <w:pStyle w:val="Cabealho"/>
      <w:jc w:val="right"/>
      <w:rPr>
        <w:i/>
        <w:iCs/>
      </w:rPr>
    </w:pPr>
    <w:r>
      <w:rPr>
        <w:i/>
        <w:iCs/>
      </w:rPr>
      <w:t>Período: 4 a 22 de junho de 2018</w:t>
    </w:r>
  </w:p>
  <w:p w:rsidR="00AD0ED3" w:rsidRDefault="00AD0ED3" w:rsidP="009A16E8">
    <w:pPr>
      <w:pStyle w:val="Cabealho"/>
      <w:jc w:val="right"/>
      <w:rPr>
        <w:sz w:val="6"/>
        <w:szCs w:val="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8908C3"/>
    <w:multiLevelType w:val="multilevel"/>
    <w:tmpl w:val="1292BA38"/>
    <w:lvl w:ilvl="0">
      <w:numFmt w:val="bullet"/>
      <w:lvlText w:val="-"/>
      <w:lvlJc w:val="left"/>
      <w:pPr>
        <w:ind w:left="720" w:hanging="360"/>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nsid w:val="41C61C72"/>
    <w:multiLevelType w:val="multilevel"/>
    <w:tmpl w:val="E452BD52"/>
    <w:lvl w:ilvl="0">
      <w:numFmt w:val="bullet"/>
      <w:lvlText w:val="-"/>
      <w:lvlJc w:val="left"/>
      <w:pPr>
        <w:ind w:left="720" w:hanging="360"/>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55986985"/>
    <w:multiLevelType w:val="multilevel"/>
    <w:tmpl w:val="D854AEF8"/>
    <w:lvl w:ilvl="0">
      <w:numFmt w:val="bullet"/>
      <w:lvlText w:val="-"/>
      <w:lvlJc w:val="left"/>
      <w:pPr>
        <w:ind w:left="720" w:hanging="360"/>
      </w:pPr>
      <w:rPr>
        <w:rFont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3074"/>
    <o:shapelayout v:ext="edit">
      <o:idmap v:ext="edit" data="2"/>
    </o:shapelayout>
  </w:hdrShapeDefaults>
  <w:footnotePr>
    <w:footnote w:id="-1"/>
    <w:footnote w:id="0"/>
  </w:footnotePr>
  <w:endnotePr>
    <w:endnote w:id="-1"/>
    <w:endnote w:id="0"/>
  </w:endnotePr>
  <w:compat>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36FE"/>
    <w:rsid w:val="00004C36"/>
    <w:rsid w:val="00004EF8"/>
    <w:rsid w:val="00020CD0"/>
    <w:rsid w:val="00021967"/>
    <w:rsid w:val="000228E6"/>
    <w:rsid w:val="000249BA"/>
    <w:rsid w:val="00024CE9"/>
    <w:rsid w:val="00032056"/>
    <w:rsid w:val="000322FB"/>
    <w:rsid w:val="000332F1"/>
    <w:rsid w:val="00034034"/>
    <w:rsid w:val="00040BBC"/>
    <w:rsid w:val="000425FC"/>
    <w:rsid w:val="00050E85"/>
    <w:rsid w:val="0005125E"/>
    <w:rsid w:val="00052550"/>
    <w:rsid w:val="00055A9D"/>
    <w:rsid w:val="00056752"/>
    <w:rsid w:val="0005765E"/>
    <w:rsid w:val="00057B87"/>
    <w:rsid w:val="0006020E"/>
    <w:rsid w:val="00063834"/>
    <w:rsid w:val="00064486"/>
    <w:rsid w:val="00065048"/>
    <w:rsid w:val="000665D5"/>
    <w:rsid w:val="000733B4"/>
    <w:rsid w:val="00073643"/>
    <w:rsid w:val="00073880"/>
    <w:rsid w:val="00075BDB"/>
    <w:rsid w:val="00076E4F"/>
    <w:rsid w:val="00077A5F"/>
    <w:rsid w:val="00077EAD"/>
    <w:rsid w:val="00080C40"/>
    <w:rsid w:val="00080F10"/>
    <w:rsid w:val="000858FB"/>
    <w:rsid w:val="0009237D"/>
    <w:rsid w:val="00093AE9"/>
    <w:rsid w:val="00093BA8"/>
    <w:rsid w:val="00094103"/>
    <w:rsid w:val="00095471"/>
    <w:rsid w:val="000A04E6"/>
    <w:rsid w:val="000A4C94"/>
    <w:rsid w:val="000B2973"/>
    <w:rsid w:val="000B4D41"/>
    <w:rsid w:val="000B67DF"/>
    <w:rsid w:val="000B7CDE"/>
    <w:rsid w:val="000C3022"/>
    <w:rsid w:val="000C38FA"/>
    <w:rsid w:val="000C58F4"/>
    <w:rsid w:val="000C5AC6"/>
    <w:rsid w:val="000C672B"/>
    <w:rsid w:val="000C6790"/>
    <w:rsid w:val="000E0A91"/>
    <w:rsid w:val="000E1DC1"/>
    <w:rsid w:val="000E5C57"/>
    <w:rsid w:val="000E7CBE"/>
    <w:rsid w:val="000F01F9"/>
    <w:rsid w:val="000F0A8E"/>
    <w:rsid w:val="0011575C"/>
    <w:rsid w:val="0011692E"/>
    <w:rsid w:val="00122C2A"/>
    <w:rsid w:val="001257D7"/>
    <w:rsid w:val="00137564"/>
    <w:rsid w:val="00137DC1"/>
    <w:rsid w:val="00141630"/>
    <w:rsid w:val="00142C28"/>
    <w:rsid w:val="00152238"/>
    <w:rsid w:val="0015612D"/>
    <w:rsid w:val="00161CDE"/>
    <w:rsid w:val="00161E91"/>
    <w:rsid w:val="00163142"/>
    <w:rsid w:val="001648F5"/>
    <w:rsid w:val="00167E80"/>
    <w:rsid w:val="00176D15"/>
    <w:rsid w:val="0018296E"/>
    <w:rsid w:val="00183803"/>
    <w:rsid w:val="00184590"/>
    <w:rsid w:val="00187A37"/>
    <w:rsid w:val="00187BEF"/>
    <w:rsid w:val="0019151D"/>
    <w:rsid w:val="001920CD"/>
    <w:rsid w:val="00193208"/>
    <w:rsid w:val="001932B7"/>
    <w:rsid w:val="00194264"/>
    <w:rsid w:val="00197B15"/>
    <w:rsid w:val="001B025A"/>
    <w:rsid w:val="001B2C08"/>
    <w:rsid w:val="001C04D2"/>
    <w:rsid w:val="001C21FB"/>
    <w:rsid w:val="001C271F"/>
    <w:rsid w:val="001C5885"/>
    <w:rsid w:val="001C6C93"/>
    <w:rsid w:val="001D4CF9"/>
    <w:rsid w:val="001D4E17"/>
    <w:rsid w:val="001D550B"/>
    <w:rsid w:val="001D5AB0"/>
    <w:rsid w:val="001D6AC9"/>
    <w:rsid w:val="001D757D"/>
    <w:rsid w:val="001E14A9"/>
    <w:rsid w:val="001E14BB"/>
    <w:rsid w:val="001E3B29"/>
    <w:rsid w:val="001E4B57"/>
    <w:rsid w:val="001E5BD1"/>
    <w:rsid w:val="001E713B"/>
    <w:rsid w:val="001E79B4"/>
    <w:rsid w:val="001F030F"/>
    <w:rsid w:val="001F2F34"/>
    <w:rsid w:val="001F45E0"/>
    <w:rsid w:val="001F58BD"/>
    <w:rsid w:val="00200A8C"/>
    <w:rsid w:val="00204C97"/>
    <w:rsid w:val="00206810"/>
    <w:rsid w:val="00207D1D"/>
    <w:rsid w:val="002156DC"/>
    <w:rsid w:val="002168DE"/>
    <w:rsid w:val="00222CF6"/>
    <w:rsid w:val="00223F6E"/>
    <w:rsid w:val="00224AC2"/>
    <w:rsid w:val="00227004"/>
    <w:rsid w:val="00230183"/>
    <w:rsid w:val="0023559D"/>
    <w:rsid w:val="002402B0"/>
    <w:rsid w:val="002449F9"/>
    <w:rsid w:val="00255732"/>
    <w:rsid w:val="00257B4A"/>
    <w:rsid w:val="00260B37"/>
    <w:rsid w:val="002635ED"/>
    <w:rsid w:val="002662BA"/>
    <w:rsid w:val="00266D49"/>
    <w:rsid w:val="00271C5C"/>
    <w:rsid w:val="00271E67"/>
    <w:rsid w:val="002730B5"/>
    <w:rsid w:val="0027659F"/>
    <w:rsid w:val="002766D5"/>
    <w:rsid w:val="0027684A"/>
    <w:rsid w:val="00276EA0"/>
    <w:rsid w:val="00280594"/>
    <w:rsid w:val="00282620"/>
    <w:rsid w:val="00285064"/>
    <w:rsid w:val="00287D4A"/>
    <w:rsid w:val="002A219D"/>
    <w:rsid w:val="002A22C6"/>
    <w:rsid w:val="002A521A"/>
    <w:rsid w:val="002A546D"/>
    <w:rsid w:val="002B0750"/>
    <w:rsid w:val="002B4738"/>
    <w:rsid w:val="002B6377"/>
    <w:rsid w:val="002C2904"/>
    <w:rsid w:val="002C6261"/>
    <w:rsid w:val="002E3B9F"/>
    <w:rsid w:val="002E78CB"/>
    <w:rsid w:val="002F28E5"/>
    <w:rsid w:val="002F71BF"/>
    <w:rsid w:val="003070C9"/>
    <w:rsid w:val="003074FC"/>
    <w:rsid w:val="0031207D"/>
    <w:rsid w:val="003200A0"/>
    <w:rsid w:val="00322F7A"/>
    <w:rsid w:val="0033397A"/>
    <w:rsid w:val="00340D16"/>
    <w:rsid w:val="00340E8D"/>
    <w:rsid w:val="00342846"/>
    <w:rsid w:val="003503FC"/>
    <w:rsid w:val="00352B27"/>
    <w:rsid w:val="0035374D"/>
    <w:rsid w:val="00355A95"/>
    <w:rsid w:val="00363255"/>
    <w:rsid w:val="0036325E"/>
    <w:rsid w:val="003671FE"/>
    <w:rsid w:val="0037018B"/>
    <w:rsid w:val="003708FD"/>
    <w:rsid w:val="003726D1"/>
    <w:rsid w:val="003745DE"/>
    <w:rsid w:val="0037667D"/>
    <w:rsid w:val="00377D5F"/>
    <w:rsid w:val="00380212"/>
    <w:rsid w:val="00383A89"/>
    <w:rsid w:val="00384075"/>
    <w:rsid w:val="003908C5"/>
    <w:rsid w:val="00393131"/>
    <w:rsid w:val="0039326C"/>
    <w:rsid w:val="00396053"/>
    <w:rsid w:val="003A0E52"/>
    <w:rsid w:val="003A1F0A"/>
    <w:rsid w:val="003A4086"/>
    <w:rsid w:val="003A5E5B"/>
    <w:rsid w:val="003B045C"/>
    <w:rsid w:val="003B0538"/>
    <w:rsid w:val="003B0A59"/>
    <w:rsid w:val="003B3EB5"/>
    <w:rsid w:val="003B4E23"/>
    <w:rsid w:val="003B6246"/>
    <w:rsid w:val="003B6B09"/>
    <w:rsid w:val="003B767E"/>
    <w:rsid w:val="003C01E8"/>
    <w:rsid w:val="003C0554"/>
    <w:rsid w:val="003C1AB7"/>
    <w:rsid w:val="003C6FE7"/>
    <w:rsid w:val="003D032E"/>
    <w:rsid w:val="003D4205"/>
    <w:rsid w:val="003E1C53"/>
    <w:rsid w:val="003F2078"/>
    <w:rsid w:val="003F5EA7"/>
    <w:rsid w:val="004034A8"/>
    <w:rsid w:val="0040506F"/>
    <w:rsid w:val="0041011C"/>
    <w:rsid w:val="004163E7"/>
    <w:rsid w:val="004166C3"/>
    <w:rsid w:val="00416D9A"/>
    <w:rsid w:val="00420228"/>
    <w:rsid w:val="00423641"/>
    <w:rsid w:val="0042772A"/>
    <w:rsid w:val="004323B0"/>
    <w:rsid w:val="00437995"/>
    <w:rsid w:val="0044014F"/>
    <w:rsid w:val="00444E88"/>
    <w:rsid w:val="004477EC"/>
    <w:rsid w:val="00450BAD"/>
    <w:rsid w:val="00454245"/>
    <w:rsid w:val="0045657C"/>
    <w:rsid w:val="00457A40"/>
    <w:rsid w:val="004655CC"/>
    <w:rsid w:val="00466DB9"/>
    <w:rsid w:val="004672FC"/>
    <w:rsid w:val="0047004F"/>
    <w:rsid w:val="00470EF8"/>
    <w:rsid w:val="004731B7"/>
    <w:rsid w:val="0047749E"/>
    <w:rsid w:val="00486521"/>
    <w:rsid w:val="00486DFC"/>
    <w:rsid w:val="004922D6"/>
    <w:rsid w:val="00494DD1"/>
    <w:rsid w:val="004A022A"/>
    <w:rsid w:val="004A094C"/>
    <w:rsid w:val="004A1432"/>
    <w:rsid w:val="004A14FC"/>
    <w:rsid w:val="004A5264"/>
    <w:rsid w:val="004A5908"/>
    <w:rsid w:val="004A7C59"/>
    <w:rsid w:val="004B21AD"/>
    <w:rsid w:val="004B63FB"/>
    <w:rsid w:val="004C011C"/>
    <w:rsid w:val="004C14EA"/>
    <w:rsid w:val="004C2118"/>
    <w:rsid w:val="004C2612"/>
    <w:rsid w:val="004C749C"/>
    <w:rsid w:val="004C759F"/>
    <w:rsid w:val="004D6000"/>
    <w:rsid w:val="004D60CD"/>
    <w:rsid w:val="004D6415"/>
    <w:rsid w:val="004D697F"/>
    <w:rsid w:val="004D71E8"/>
    <w:rsid w:val="004E393E"/>
    <w:rsid w:val="004E4507"/>
    <w:rsid w:val="004E4619"/>
    <w:rsid w:val="004F0A7D"/>
    <w:rsid w:val="004F5040"/>
    <w:rsid w:val="005059F5"/>
    <w:rsid w:val="00513789"/>
    <w:rsid w:val="0051538E"/>
    <w:rsid w:val="00517E01"/>
    <w:rsid w:val="00521EEC"/>
    <w:rsid w:val="00530B90"/>
    <w:rsid w:val="005405E7"/>
    <w:rsid w:val="00543B94"/>
    <w:rsid w:val="005460BD"/>
    <w:rsid w:val="005521C8"/>
    <w:rsid w:val="00552D4A"/>
    <w:rsid w:val="00553197"/>
    <w:rsid w:val="0055409E"/>
    <w:rsid w:val="00554139"/>
    <w:rsid w:val="005543D8"/>
    <w:rsid w:val="00556367"/>
    <w:rsid w:val="00556B35"/>
    <w:rsid w:val="005703D6"/>
    <w:rsid w:val="00572803"/>
    <w:rsid w:val="00573E13"/>
    <w:rsid w:val="005767AA"/>
    <w:rsid w:val="005811A4"/>
    <w:rsid w:val="00584496"/>
    <w:rsid w:val="00584F82"/>
    <w:rsid w:val="00591DFA"/>
    <w:rsid w:val="005A30AA"/>
    <w:rsid w:val="005A5695"/>
    <w:rsid w:val="005B031E"/>
    <w:rsid w:val="005B0A1C"/>
    <w:rsid w:val="005B22CE"/>
    <w:rsid w:val="005B2F00"/>
    <w:rsid w:val="005B3792"/>
    <w:rsid w:val="005B523B"/>
    <w:rsid w:val="005B57DE"/>
    <w:rsid w:val="005C12EE"/>
    <w:rsid w:val="005C1886"/>
    <w:rsid w:val="005C761E"/>
    <w:rsid w:val="005D0E5F"/>
    <w:rsid w:val="005D1DE4"/>
    <w:rsid w:val="005E35BD"/>
    <w:rsid w:val="005E3D4D"/>
    <w:rsid w:val="005E3F64"/>
    <w:rsid w:val="005E7FD1"/>
    <w:rsid w:val="005F0545"/>
    <w:rsid w:val="005F2858"/>
    <w:rsid w:val="005F52AB"/>
    <w:rsid w:val="006002E3"/>
    <w:rsid w:val="00602FF7"/>
    <w:rsid w:val="006145AC"/>
    <w:rsid w:val="00615F98"/>
    <w:rsid w:val="006207F5"/>
    <w:rsid w:val="00621F9C"/>
    <w:rsid w:val="00623D44"/>
    <w:rsid w:val="00631166"/>
    <w:rsid w:val="00631F1C"/>
    <w:rsid w:val="00636289"/>
    <w:rsid w:val="006366A4"/>
    <w:rsid w:val="00640D6E"/>
    <w:rsid w:val="006425DD"/>
    <w:rsid w:val="00643B60"/>
    <w:rsid w:val="006456B1"/>
    <w:rsid w:val="006564EC"/>
    <w:rsid w:val="0066084C"/>
    <w:rsid w:val="00661B23"/>
    <w:rsid w:val="00665CCF"/>
    <w:rsid w:val="00672CF9"/>
    <w:rsid w:val="00672E11"/>
    <w:rsid w:val="0068273B"/>
    <w:rsid w:val="006847A0"/>
    <w:rsid w:val="00691234"/>
    <w:rsid w:val="00692202"/>
    <w:rsid w:val="006931CC"/>
    <w:rsid w:val="006947F2"/>
    <w:rsid w:val="00696523"/>
    <w:rsid w:val="00697919"/>
    <w:rsid w:val="006B145C"/>
    <w:rsid w:val="006B3FCF"/>
    <w:rsid w:val="006B46CA"/>
    <w:rsid w:val="006B549E"/>
    <w:rsid w:val="006C0391"/>
    <w:rsid w:val="006C28B3"/>
    <w:rsid w:val="006D0B48"/>
    <w:rsid w:val="006D1F66"/>
    <w:rsid w:val="006D306E"/>
    <w:rsid w:val="006D4497"/>
    <w:rsid w:val="006D7C49"/>
    <w:rsid w:val="006E1A9C"/>
    <w:rsid w:val="006E3B5C"/>
    <w:rsid w:val="006E5D21"/>
    <w:rsid w:val="006F1AAE"/>
    <w:rsid w:val="006F6C15"/>
    <w:rsid w:val="00700B1B"/>
    <w:rsid w:val="007023BC"/>
    <w:rsid w:val="007029CF"/>
    <w:rsid w:val="0070727E"/>
    <w:rsid w:val="007101D6"/>
    <w:rsid w:val="00710D3A"/>
    <w:rsid w:val="0071315F"/>
    <w:rsid w:val="00720057"/>
    <w:rsid w:val="00721942"/>
    <w:rsid w:val="00722BE7"/>
    <w:rsid w:val="00723134"/>
    <w:rsid w:val="00730CC7"/>
    <w:rsid w:val="00732DF2"/>
    <w:rsid w:val="007403B3"/>
    <w:rsid w:val="00750B85"/>
    <w:rsid w:val="007568FD"/>
    <w:rsid w:val="007614F1"/>
    <w:rsid w:val="007618C5"/>
    <w:rsid w:val="00764066"/>
    <w:rsid w:val="00766B7B"/>
    <w:rsid w:val="0077600F"/>
    <w:rsid w:val="007760AE"/>
    <w:rsid w:val="00776118"/>
    <w:rsid w:val="00781C77"/>
    <w:rsid w:val="00793A1C"/>
    <w:rsid w:val="00796745"/>
    <w:rsid w:val="007A28FF"/>
    <w:rsid w:val="007A4F78"/>
    <w:rsid w:val="007A7125"/>
    <w:rsid w:val="007B0F83"/>
    <w:rsid w:val="007C0A4F"/>
    <w:rsid w:val="007D0081"/>
    <w:rsid w:val="007D19FC"/>
    <w:rsid w:val="007D29A1"/>
    <w:rsid w:val="007D2B4E"/>
    <w:rsid w:val="007D2EE9"/>
    <w:rsid w:val="007D469A"/>
    <w:rsid w:val="007D6D94"/>
    <w:rsid w:val="007D6F8C"/>
    <w:rsid w:val="007E094E"/>
    <w:rsid w:val="007E0EA7"/>
    <w:rsid w:val="007E26A1"/>
    <w:rsid w:val="007E37B1"/>
    <w:rsid w:val="007E3F23"/>
    <w:rsid w:val="007E53A4"/>
    <w:rsid w:val="007F142E"/>
    <w:rsid w:val="007F2BBE"/>
    <w:rsid w:val="007F66BC"/>
    <w:rsid w:val="007F7B5E"/>
    <w:rsid w:val="00800B97"/>
    <w:rsid w:val="00801246"/>
    <w:rsid w:val="00801F11"/>
    <w:rsid w:val="00802B1A"/>
    <w:rsid w:val="00805CD2"/>
    <w:rsid w:val="0080615C"/>
    <w:rsid w:val="0081027F"/>
    <w:rsid w:val="0081742D"/>
    <w:rsid w:val="00817AB1"/>
    <w:rsid w:val="00820419"/>
    <w:rsid w:val="00820817"/>
    <w:rsid w:val="00821F4D"/>
    <w:rsid w:val="00823906"/>
    <w:rsid w:val="008409D3"/>
    <w:rsid w:val="0084319F"/>
    <w:rsid w:val="00843F5F"/>
    <w:rsid w:val="00844374"/>
    <w:rsid w:val="00844FEB"/>
    <w:rsid w:val="00845559"/>
    <w:rsid w:val="0084797B"/>
    <w:rsid w:val="008532E4"/>
    <w:rsid w:val="00854DB8"/>
    <w:rsid w:val="00854EF2"/>
    <w:rsid w:val="00855623"/>
    <w:rsid w:val="00855D99"/>
    <w:rsid w:val="0086211B"/>
    <w:rsid w:val="008622CF"/>
    <w:rsid w:val="008627C6"/>
    <w:rsid w:val="00863B86"/>
    <w:rsid w:val="008652A2"/>
    <w:rsid w:val="008706CD"/>
    <w:rsid w:val="00871F69"/>
    <w:rsid w:val="008722F9"/>
    <w:rsid w:val="008813FA"/>
    <w:rsid w:val="008842D0"/>
    <w:rsid w:val="00884AC4"/>
    <w:rsid w:val="0088579D"/>
    <w:rsid w:val="00892883"/>
    <w:rsid w:val="008942D5"/>
    <w:rsid w:val="0089707B"/>
    <w:rsid w:val="008A1A58"/>
    <w:rsid w:val="008A4233"/>
    <w:rsid w:val="008A49DF"/>
    <w:rsid w:val="008A4AFF"/>
    <w:rsid w:val="008A5FA7"/>
    <w:rsid w:val="008A68E7"/>
    <w:rsid w:val="008A7953"/>
    <w:rsid w:val="008B1828"/>
    <w:rsid w:val="008B3081"/>
    <w:rsid w:val="008B32D4"/>
    <w:rsid w:val="008C7AD0"/>
    <w:rsid w:val="008D0020"/>
    <w:rsid w:val="008D3C38"/>
    <w:rsid w:val="008D3C4B"/>
    <w:rsid w:val="008D6A05"/>
    <w:rsid w:val="008E12B6"/>
    <w:rsid w:val="008E2AE5"/>
    <w:rsid w:val="008E3CCE"/>
    <w:rsid w:val="008E3F89"/>
    <w:rsid w:val="008F26CB"/>
    <w:rsid w:val="008F36EC"/>
    <w:rsid w:val="008F3D95"/>
    <w:rsid w:val="008F6509"/>
    <w:rsid w:val="008F79D9"/>
    <w:rsid w:val="009027C8"/>
    <w:rsid w:val="00910EEF"/>
    <w:rsid w:val="00922D1B"/>
    <w:rsid w:val="0093467A"/>
    <w:rsid w:val="009353F1"/>
    <w:rsid w:val="009376D6"/>
    <w:rsid w:val="0094155C"/>
    <w:rsid w:val="00951531"/>
    <w:rsid w:val="00953B29"/>
    <w:rsid w:val="0095741E"/>
    <w:rsid w:val="009609CB"/>
    <w:rsid w:val="00960A3B"/>
    <w:rsid w:val="0096375C"/>
    <w:rsid w:val="00963D6F"/>
    <w:rsid w:val="00967DE0"/>
    <w:rsid w:val="00971E07"/>
    <w:rsid w:val="00971E5F"/>
    <w:rsid w:val="00971F6D"/>
    <w:rsid w:val="009802D2"/>
    <w:rsid w:val="00980944"/>
    <w:rsid w:val="009815A9"/>
    <w:rsid w:val="00986D77"/>
    <w:rsid w:val="00993A6E"/>
    <w:rsid w:val="009943EC"/>
    <w:rsid w:val="009A16E8"/>
    <w:rsid w:val="009A1BAD"/>
    <w:rsid w:val="009A32D5"/>
    <w:rsid w:val="009A5D37"/>
    <w:rsid w:val="009A610E"/>
    <w:rsid w:val="009A6BD9"/>
    <w:rsid w:val="009B289E"/>
    <w:rsid w:val="009B320F"/>
    <w:rsid w:val="009B6012"/>
    <w:rsid w:val="009B6455"/>
    <w:rsid w:val="009C0EBA"/>
    <w:rsid w:val="009C102D"/>
    <w:rsid w:val="009C2A4F"/>
    <w:rsid w:val="009C4834"/>
    <w:rsid w:val="009D10FB"/>
    <w:rsid w:val="009D1BDE"/>
    <w:rsid w:val="009D312C"/>
    <w:rsid w:val="009D4C59"/>
    <w:rsid w:val="009D7F91"/>
    <w:rsid w:val="009E20EF"/>
    <w:rsid w:val="009E26EE"/>
    <w:rsid w:val="009E6646"/>
    <w:rsid w:val="009F1C7B"/>
    <w:rsid w:val="009F21A2"/>
    <w:rsid w:val="00A00D70"/>
    <w:rsid w:val="00A00DEE"/>
    <w:rsid w:val="00A01E4F"/>
    <w:rsid w:val="00A02580"/>
    <w:rsid w:val="00A0468E"/>
    <w:rsid w:val="00A201D9"/>
    <w:rsid w:val="00A27889"/>
    <w:rsid w:val="00A32D95"/>
    <w:rsid w:val="00A32FBF"/>
    <w:rsid w:val="00A3307E"/>
    <w:rsid w:val="00A407EA"/>
    <w:rsid w:val="00A51749"/>
    <w:rsid w:val="00A521B6"/>
    <w:rsid w:val="00A56962"/>
    <w:rsid w:val="00A6382F"/>
    <w:rsid w:val="00A6412C"/>
    <w:rsid w:val="00A75419"/>
    <w:rsid w:val="00A76661"/>
    <w:rsid w:val="00A76D2A"/>
    <w:rsid w:val="00A81F5B"/>
    <w:rsid w:val="00A82081"/>
    <w:rsid w:val="00A8557E"/>
    <w:rsid w:val="00A87756"/>
    <w:rsid w:val="00A903E4"/>
    <w:rsid w:val="00A91181"/>
    <w:rsid w:val="00A935AC"/>
    <w:rsid w:val="00A96424"/>
    <w:rsid w:val="00AA06DA"/>
    <w:rsid w:val="00AA3D5D"/>
    <w:rsid w:val="00AA3DE0"/>
    <w:rsid w:val="00AB04BD"/>
    <w:rsid w:val="00AB299E"/>
    <w:rsid w:val="00AB3847"/>
    <w:rsid w:val="00AB395A"/>
    <w:rsid w:val="00AB507C"/>
    <w:rsid w:val="00AB606E"/>
    <w:rsid w:val="00AC096E"/>
    <w:rsid w:val="00AC4F6C"/>
    <w:rsid w:val="00AD0ED3"/>
    <w:rsid w:val="00AD1400"/>
    <w:rsid w:val="00AD6E76"/>
    <w:rsid w:val="00AE3EAA"/>
    <w:rsid w:val="00AE5EDF"/>
    <w:rsid w:val="00AE758A"/>
    <w:rsid w:val="00B03BC8"/>
    <w:rsid w:val="00B06261"/>
    <w:rsid w:val="00B06914"/>
    <w:rsid w:val="00B108BA"/>
    <w:rsid w:val="00B108E6"/>
    <w:rsid w:val="00B12273"/>
    <w:rsid w:val="00B14F7F"/>
    <w:rsid w:val="00B16EB9"/>
    <w:rsid w:val="00B22F24"/>
    <w:rsid w:val="00B22F53"/>
    <w:rsid w:val="00B24DBE"/>
    <w:rsid w:val="00B335D5"/>
    <w:rsid w:val="00B34EB2"/>
    <w:rsid w:val="00B4728A"/>
    <w:rsid w:val="00B517C3"/>
    <w:rsid w:val="00B518B2"/>
    <w:rsid w:val="00B526EA"/>
    <w:rsid w:val="00B5311A"/>
    <w:rsid w:val="00B536FE"/>
    <w:rsid w:val="00B55AB4"/>
    <w:rsid w:val="00B60670"/>
    <w:rsid w:val="00B645E4"/>
    <w:rsid w:val="00B73FFA"/>
    <w:rsid w:val="00B74A6E"/>
    <w:rsid w:val="00B82CC4"/>
    <w:rsid w:val="00B838C3"/>
    <w:rsid w:val="00B86218"/>
    <w:rsid w:val="00B874F1"/>
    <w:rsid w:val="00B877E0"/>
    <w:rsid w:val="00B91001"/>
    <w:rsid w:val="00B95963"/>
    <w:rsid w:val="00BC1DE7"/>
    <w:rsid w:val="00BC1FE2"/>
    <w:rsid w:val="00BC209E"/>
    <w:rsid w:val="00BC292A"/>
    <w:rsid w:val="00BC2C67"/>
    <w:rsid w:val="00BC54BC"/>
    <w:rsid w:val="00BC5AEE"/>
    <w:rsid w:val="00BD2A95"/>
    <w:rsid w:val="00BD2CA9"/>
    <w:rsid w:val="00BD6029"/>
    <w:rsid w:val="00BD75B0"/>
    <w:rsid w:val="00BE0541"/>
    <w:rsid w:val="00BE1ADB"/>
    <w:rsid w:val="00BE3152"/>
    <w:rsid w:val="00BF0693"/>
    <w:rsid w:val="00BF6308"/>
    <w:rsid w:val="00C028BC"/>
    <w:rsid w:val="00C070DE"/>
    <w:rsid w:val="00C15175"/>
    <w:rsid w:val="00C15EC0"/>
    <w:rsid w:val="00C1742B"/>
    <w:rsid w:val="00C230F3"/>
    <w:rsid w:val="00C232C2"/>
    <w:rsid w:val="00C239E0"/>
    <w:rsid w:val="00C26DFB"/>
    <w:rsid w:val="00C273FA"/>
    <w:rsid w:val="00C30D06"/>
    <w:rsid w:val="00C37916"/>
    <w:rsid w:val="00C42067"/>
    <w:rsid w:val="00C432D0"/>
    <w:rsid w:val="00C4398E"/>
    <w:rsid w:val="00C44218"/>
    <w:rsid w:val="00C51600"/>
    <w:rsid w:val="00C54185"/>
    <w:rsid w:val="00C57E92"/>
    <w:rsid w:val="00C60B4A"/>
    <w:rsid w:val="00C61DAD"/>
    <w:rsid w:val="00C65BDB"/>
    <w:rsid w:val="00C66C95"/>
    <w:rsid w:val="00C6738C"/>
    <w:rsid w:val="00C71A3B"/>
    <w:rsid w:val="00C757CC"/>
    <w:rsid w:val="00C76CFA"/>
    <w:rsid w:val="00C819C8"/>
    <w:rsid w:val="00C84A53"/>
    <w:rsid w:val="00C8747B"/>
    <w:rsid w:val="00C87D5B"/>
    <w:rsid w:val="00C92A5A"/>
    <w:rsid w:val="00C94FF6"/>
    <w:rsid w:val="00C963F8"/>
    <w:rsid w:val="00C96BB1"/>
    <w:rsid w:val="00CA2F80"/>
    <w:rsid w:val="00CA3ECF"/>
    <w:rsid w:val="00CB0C2A"/>
    <w:rsid w:val="00CB3B98"/>
    <w:rsid w:val="00CB7D7E"/>
    <w:rsid w:val="00CC4B2B"/>
    <w:rsid w:val="00CC51C4"/>
    <w:rsid w:val="00CC579C"/>
    <w:rsid w:val="00CC5F5F"/>
    <w:rsid w:val="00CC6BEC"/>
    <w:rsid w:val="00CC743B"/>
    <w:rsid w:val="00CD3460"/>
    <w:rsid w:val="00CD44C9"/>
    <w:rsid w:val="00CD4B61"/>
    <w:rsid w:val="00CD5043"/>
    <w:rsid w:val="00CD59E7"/>
    <w:rsid w:val="00CE066A"/>
    <w:rsid w:val="00CE2928"/>
    <w:rsid w:val="00CE314A"/>
    <w:rsid w:val="00CE5865"/>
    <w:rsid w:val="00CE737B"/>
    <w:rsid w:val="00CE7555"/>
    <w:rsid w:val="00CF3622"/>
    <w:rsid w:val="00CF3D9D"/>
    <w:rsid w:val="00CF6B77"/>
    <w:rsid w:val="00D00018"/>
    <w:rsid w:val="00D01C50"/>
    <w:rsid w:val="00D03659"/>
    <w:rsid w:val="00D11B24"/>
    <w:rsid w:val="00D11C18"/>
    <w:rsid w:val="00D12FFF"/>
    <w:rsid w:val="00D133C8"/>
    <w:rsid w:val="00D14DB8"/>
    <w:rsid w:val="00D17339"/>
    <w:rsid w:val="00D244D5"/>
    <w:rsid w:val="00D2639E"/>
    <w:rsid w:val="00D2776A"/>
    <w:rsid w:val="00D31480"/>
    <w:rsid w:val="00D4021B"/>
    <w:rsid w:val="00D4059E"/>
    <w:rsid w:val="00D413DB"/>
    <w:rsid w:val="00D41D4E"/>
    <w:rsid w:val="00D420E2"/>
    <w:rsid w:val="00D4459D"/>
    <w:rsid w:val="00D44B24"/>
    <w:rsid w:val="00D52863"/>
    <w:rsid w:val="00D570E4"/>
    <w:rsid w:val="00D573F9"/>
    <w:rsid w:val="00D60532"/>
    <w:rsid w:val="00D6058B"/>
    <w:rsid w:val="00D608E5"/>
    <w:rsid w:val="00D62D9E"/>
    <w:rsid w:val="00D63EC5"/>
    <w:rsid w:val="00D64BC3"/>
    <w:rsid w:val="00D66C46"/>
    <w:rsid w:val="00D72C05"/>
    <w:rsid w:val="00D73575"/>
    <w:rsid w:val="00D735BF"/>
    <w:rsid w:val="00D737B6"/>
    <w:rsid w:val="00D77672"/>
    <w:rsid w:val="00D80222"/>
    <w:rsid w:val="00D847CF"/>
    <w:rsid w:val="00D87489"/>
    <w:rsid w:val="00DA015E"/>
    <w:rsid w:val="00DA0A99"/>
    <w:rsid w:val="00DA0A9D"/>
    <w:rsid w:val="00DA54D4"/>
    <w:rsid w:val="00DA7603"/>
    <w:rsid w:val="00DA7E39"/>
    <w:rsid w:val="00DA7EDE"/>
    <w:rsid w:val="00DB0223"/>
    <w:rsid w:val="00DB047C"/>
    <w:rsid w:val="00DB5028"/>
    <w:rsid w:val="00DC0AB5"/>
    <w:rsid w:val="00DC30DD"/>
    <w:rsid w:val="00DC3451"/>
    <w:rsid w:val="00DC50EB"/>
    <w:rsid w:val="00DC7F71"/>
    <w:rsid w:val="00DD19F4"/>
    <w:rsid w:val="00DD3FA0"/>
    <w:rsid w:val="00DE24D5"/>
    <w:rsid w:val="00DE2CC9"/>
    <w:rsid w:val="00DE411D"/>
    <w:rsid w:val="00DE5B2D"/>
    <w:rsid w:val="00DE5C3E"/>
    <w:rsid w:val="00DE5CE9"/>
    <w:rsid w:val="00DF45BB"/>
    <w:rsid w:val="00DF729A"/>
    <w:rsid w:val="00E006DC"/>
    <w:rsid w:val="00E03064"/>
    <w:rsid w:val="00E03F9C"/>
    <w:rsid w:val="00E04BD5"/>
    <w:rsid w:val="00E070D2"/>
    <w:rsid w:val="00E100F5"/>
    <w:rsid w:val="00E1139A"/>
    <w:rsid w:val="00E126EB"/>
    <w:rsid w:val="00E1539C"/>
    <w:rsid w:val="00E162B6"/>
    <w:rsid w:val="00E16E01"/>
    <w:rsid w:val="00E20FC8"/>
    <w:rsid w:val="00E24A50"/>
    <w:rsid w:val="00E25A69"/>
    <w:rsid w:val="00E31469"/>
    <w:rsid w:val="00E3296A"/>
    <w:rsid w:val="00E35639"/>
    <w:rsid w:val="00E4188A"/>
    <w:rsid w:val="00E420AA"/>
    <w:rsid w:val="00E432CC"/>
    <w:rsid w:val="00E47FF2"/>
    <w:rsid w:val="00E50711"/>
    <w:rsid w:val="00E52522"/>
    <w:rsid w:val="00E531C9"/>
    <w:rsid w:val="00E60AD3"/>
    <w:rsid w:val="00E60EDA"/>
    <w:rsid w:val="00E62BBC"/>
    <w:rsid w:val="00E67BAE"/>
    <w:rsid w:val="00E711AE"/>
    <w:rsid w:val="00E716F3"/>
    <w:rsid w:val="00E774F6"/>
    <w:rsid w:val="00E9503C"/>
    <w:rsid w:val="00E956D9"/>
    <w:rsid w:val="00EA10DA"/>
    <w:rsid w:val="00EA1958"/>
    <w:rsid w:val="00EA29F5"/>
    <w:rsid w:val="00EA482D"/>
    <w:rsid w:val="00EA52B3"/>
    <w:rsid w:val="00EA6938"/>
    <w:rsid w:val="00EB5FE6"/>
    <w:rsid w:val="00EB61A5"/>
    <w:rsid w:val="00EB6C1B"/>
    <w:rsid w:val="00EB7A09"/>
    <w:rsid w:val="00EC04A5"/>
    <w:rsid w:val="00EC0EDC"/>
    <w:rsid w:val="00EC5AF4"/>
    <w:rsid w:val="00EC6FA8"/>
    <w:rsid w:val="00EC7E0B"/>
    <w:rsid w:val="00ED4508"/>
    <w:rsid w:val="00ED661C"/>
    <w:rsid w:val="00ED7FB5"/>
    <w:rsid w:val="00EE1D6C"/>
    <w:rsid w:val="00EE41B5"/>
    <w:rsid w:val="00EE66C9"/>
    <w:rsid w:val="00EF10DB"/>
    <w:rsid w:val="00EF11A9"/>
    <w:rsid w:val="00EF38E1"/>
    <w:rsid w:val="00EF749A"/>
    <w:rsid w:val="00EF771E"/>
    <w:rsid w:val="00F012E0"/>
    <w:rsid w:val="00F02565"/>
    <w:rsid w:val="00F026EC"/>
    <w:rsid w:val="00F05542"/>
    <w:rsid w:val="00F060BB"/>
    <w:rsid w:val="00F06855"/>
    <w:rsid w:val="00F13A96"/>
    <w:rsid w:val="00F16D0F"/>
    <w:rsid w:val="00F17A2C"/>
    <w:rsid w:val="00F17E86"/>
    <w:rsid w:val="00F21A70"/>
    <w:rsid w:val="00F26708"/>
    <w:rsid w:val="00F30FF2"/>
    <w:rsid w:val="00F32CEC"/>
    <w:rsid w:val="00F37F29"/>
    <w:rsid w:val="00F42243"/>
    <w:rsid w:val="00F43793"/>
    <w:rsid w:val="00F45608"/>
    <w:rsid w:val="00F47E3B"/>
    <w:rsid w:val="00F511EE"/>
    <w:rsid w:val="00F52475"/>
    <w:rsid w:val="00F54576"/>
    <w:rsid w:val="00F55574"/>
    <w:rsid w:val="00F558E7"/>
    <w:rsid w:val="00F60363"/>
    <w:rsid w:val="00F62016"/>
    <w:rsid w:val="00F63F44"/>
    <w:rsid w:val="00F6401B"/>
    <w:rsid w:val="00F65243"/>
    <w:rsid w:val="00F6746D"/>
    <w:rsid w:val="00F675D5"/>
    <w:rsid w:val="00F753D1"/>
    <w:rsid w:val="00F7766D"/>
    <w:rsid w:val="00F811CD"/>
    <w:rsid w:val="00F82D8F"/>
    <w:rsid w:val="00F83F62"/>
    <w:rsid w:val="00F907EB"/>
    <w:rsid w:val="00F9711D"/>
    <w:rsid w:val="00FA011F"/>
    <w:rsid w:val="00FA1DCF"/>
    <w:rsid w:val="00FA3E3A"/>
    <w:rsid w:val="00FA7544"/>
    <w:rsid w:val="00FA75E0"/>
    <w:rsid w:val="00FA7771"/>
    <w:rsid w:val="00FB0DC9"/>
    <w:rsid w:val="00FB20B1"/>
    <w:rsid w:val="00FB3AB4"/>
    <w:rsid w:val="00FB6188"/>
    <w:rsid w:val="00FC35EC"/>
    <w:rsid w:val="00FC56A4"/>
    <w:rsid w:val="00FC6872"/>
    <w:rsid w:val="00FD029A"/>
    <w:rsid w:val="00FD3D06"/>
    <w:rsid w:val="00FD5662"/>
    <w:rsid w:val="00FD642E"/>
    <w:rsid w:val="00FD72B6"/>
    <w:rsid w:val="00FE00AD"/>
    <w:rsid w:val="00FE206E"/>
    <w:rsid w:val="00FE421F"/>
    <w:rsid w:val="00FE499F"/>
    <w:rsid w:val="00FE4BA5"/>
    <w:rsid w:val="00FF03DC"/>
    <w:rsid w:val="00FF6DE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Body Text" w:unhideWhenUsed="0"/>
    <w:lsdException w:name="Body Text Indent" w:unhideWhenUsed="0"/>
    <w:lsdException w:name="Subtitle" w:semiHidden="0" w:uiPriority="11" w:unhideWhenUsed="0" w:qFormat="1"/>
    <w:lsdException w:name="Date" w:unhideWhenUsed="0"/>
    <w:lsdException w:name="Body Text 2" w:unhideWhenUsed="0"/>
    <w:lsdException w:name="Body Text 3" w:unhideWhenUsed="0"/>
    <w:lsdException w:name="Body Text Indent 2" w:unhideWhenUsed="0"/>
    <w:lsdException w:name="Hyperlink" w:unhideWhenUsed="0"/>
    <w:lsdException w:name="Strong" w:semiHidden="0" w:unhideWhenUsed="0" w:qFormat="1"/>
    <w:lsdException w:name="Emphasis" w:semiHidden="0" w:uiPriority="20" w:unhideWhenUsed="0" w:qFormat="1"/>
    <w:lsdException w:name="Normal (Web)" w:unhideWhenUsed="0"/>
    <w:lsdException w:name="HTML Preformatted"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pPr>
    <w:rPr>
      <w:rFonts w:ascii="Times New Roman" w:hAnsi="Times New Roman"/>
    </w:rPr>
  </w:style>
  <w:style w:type="paragraph" w:styleId="Ttulo1">
    <w:name w:val="heading 1"/>
    <w:basedOn w:val="Normal"/>
    <w:next w:val="Normal"/>
    <w:link w:val="Ttulo1Char"/>
    <w:uiPriority w:val="99"/>
    <w:qFormat/>
    <w:pPr>
      <w:keepNext/>
      <w:jc w:val="both"/>
      <w:outlineLvl w:val="0"/>
    </w:pPr>
    <w:rPr>
      <w:b/>
      <w:bCs/>
      <w:color w:val="0000FF"/>
    </w:rPr>
  </w:style>
  <w:style w:type="paragraph" w:styleId="Ttulo5">
    <w:name w:val="heading 5"/>
    <w:basedOn w:val="Normal"/>
    <w:next w:val="Normal"/>
    <w:link w:val="Ttulo5Char"/>
    <w:uiPriority w:val="99"/>
    <w:qFormat/>
    <w:pPr>
      <w:keepNext/>
      <w:jc w:val="both"/>
      <w:outlineLvl w:val="4"/>
    </w:pPr>
    <w:rPr>
      <w:u w:val="single"/>
    </w:rPr>
  </w:style>
  <w:style w:type="paragraph" w:styleId="Ttulo6">
    <w:name w:val="heading 6"/>
    <w:basedOn w:val="Normal"/>
    <w:next w:val="Normal"/>
    <w:link w:val="Ttulo6Char"/>
    <w:uiPriority w:val="99"/>
    <w:qFormat/>
    <w:pPr>
      <w:keepNext/>
      <w:jc w:val="center"/>
      <w:outlineLvl w:val="5"/>
    </w:pPr>
    <w:rPr>
      <w:sz w:val="28"/>
      <w:szCs w:val="28"/>
    </w:rPr>
  </w:style>
  <w:style w:type="character" w:default="1" w:styleId="Fontepargpadro">
    <w:name w:val="Default Paragraph Font"/>
    <w:uiPriority w:val="99"/>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9"/>
    <w:locked/>
    <w:rPr>
      <w:rFonts w:ascii="Cambria" w:hAnsi="Cambria" w:cs="Cambria"/>
      <w:b/>
      <w:bCs/>
      <w:kern w:val="32"/>
      <w:sz w:val="32"/>
      <w:szCs w:val="32"/>
    </w:rPr>
  </w:style>
  <w:style w:type="character" w:customStyle="1" w:styleId="Ttulo5Char">
    <w:name w:val="Título 5 Char"/>
    <w:link w:val="Ttulo5"/>
    <w:uiPriority w:val="99"/>
    <w:locked/>
    <w:rPr>
      <w:rFonts w:ascii="Calibri" w:hAnsi="Calibri" w:cs="Calibri"/>
      <w:b/>
      <w:bCs/>
      <w:i/>
      <w:iCs/>
      <w:sz w:val="26"/>
      <w:szCs w:val="26"/>
    </w:rPr>
  </w:style>
  <w:style w:type="character" w:customStyle="1" w:styleId="Ttulo6Char">
    <w:name w:val="Título 6 Char"/>
    <w:link w:val="Ttulo6"/>
    <w:uiPriority w:val="99"/>
    <w:locked/>
    <w:rPr>
      <w:rFonts w:ascii="Calibri" w:hAnsi="Calibri" w:cs="Calibri"/>
      <w:b/>
      <w:bCs/>
      <w:sz w:val="22"/>
      <w:szCs w:val="22"/>
    </w:rPr>
  </w:style>
  <w:style w:type="paragraph" w:styleId="Cabealho">
    <w:name w:val="header"/>
    <w:basedOn w:val="Normal"/>
    <w:link w:val="CabealhoChar"/>
    <w:uiPriority w:val="99"/>
    <w:pPr>
      <w:tabs>
        <w:tab w:val="center" w:pos="4419"/>
        <w:tab w:val="right" w:pos="8838"/>
      </w:tabs>
    </w:pPr>
  </w:style>
  <w:style w:type="character" w:customStyle="1" w:styleId="CabealhoChar">
    <w:name w:val="Cabeçalho Char"/>
    <w:link w:val="Cabealho"/>
    <w:uiPriority w:val="99"/>
    <w:locked/>
    <w:rPr>
      <w:rFonts w:cs="Times New Roman"/>
    </w:rPr>
  </w:style>
  <w:style w:type="paragraph" w:styleId="Rodap">
    <w:name w:val="footer"/>
    <w:basedOn w:val="Normal"/>
    <w:link w:val="RodapChar"/>
    <w:uiPriority w:val="99"/>
    <w:pPr>
      <w:tabs>
        <w:tab w:val="center" w:pos="4419"/>
        <w:tab w:val="right" w:pos="8838"/>
      </w:tabs>
    </w:pPr>
  </w:style>
  <w:style w:type="character" w:customStyle="1" w:styleId="RodapChar">
    <w:name w:val="Rodapé Char"/>
    <w:link w:val="Rodap"/>
    <w:uiPriority w:val="99"/>
    <w:locked/>
    <w:rPr>
      <w:rFonts w:cs="Times New Roman"/>
    </w:rPr>
  </w:style>
  <w:style w:type="paragraph" w:styleId="Corpodetexto">
    <w:name w:val="Body Text"/>
    <w:basedOn w:val="Normal"/>
    <w:link w:val="CorpodetextoChar"/>
    <w:uiPriority w:val="99"/>
    <w:pPr>
      <w:jc w:val="center"/>
    </w:pPr>
    <w:rPr>
      <w:b/>
      <w:bCs/>
      <w:sz w:val="26"/>
      <w:szCs w:val="26"/>
    </w:rPr>
  </w:style>
  <w:style w:type="character" w:customStyle="1" w:styleId="CorpodetextoChar">
    <w:name w:val="Corpo de texto Char"/>
    <w:link w:val="Corpodetexto"/>
    <w:uiPriority w:val="99"/>
    <w:locked/>
    <w:rPr>
      <w:rFonts w:cs="Times New Roman"/>
    </w:rPr>
  </w:style>
  <w:style w:type="paragraph" w:customStyle="1" w:styleId="coletanea">
    <w:name w:val="coletanea"/>
    <w:basedOn w:val="Normal"/>
    <w:pPr>
      <w:jc w:val="both"/>
    </w:pPr>
  </w:style>
  <w:style w:type="paragraph" w:customStyle="1" w:styleId="Ementa">
    <w:name w:val="Ementa"/>
    <w:basedOn w:val="Normal"/>
    <w:uiPriority w:val="99"/>
    <w:qFormat/>
    <w:pPr>
      <w:ind w:left="4536"/>
      <w:jc w:val="both"/>
    </w:pPr>
    <w:rPr>
      <w:rFonts w:ascii="Courier New" w:hAnsi="Courier New" w:cs="Courier New"/>
      <w:color w:val="808000"/>
      <w:sz w:val="24"/>
      <w:szCs w:val="24"/>
      <w:lang w:val="en-US"/>
    </w:rPr>
  </w:style>
  <w:style w:type="paragraph" w:styleId="Corpodetexto3">
    <w:name w:val="Body Text 3"/>
    <w:basedOn w:val="Normal"/>
    <w:link w:val="Corpodetexto3Char"/>
    <w:uiPriority w:val="99"/>
    <w:pPr>
      <w:jc w:val="both"/>
    </w:pPr>
    <w:rPr>
      <w:b/>
      <w:bCs/>
      <w:i/>
      <w:iCs/>
      <w:sz w:val="24"/>
      <w:szCs w:val="24"/>
    </w:rPr>
  </w:style>
  <w:style w:type="character" w:customStyle="1" w:styleId="Corpodetexto3Char">
    <w:name w:val="Corpo de texto 3 Char"/>
    <w:link w:val="Corpodetexto3"/>
    <w:uiPriority w:val="99"/>
    <w:locked/>
    <w:rPr>
      <w:rFonts w:cs="Times New Roman"/>
      <w:sz w:val="16"/>
      <w:szCs w:val="16"/>
    </w:rPr>
  </w:style>
  <w:style w:type="character" w:styleId="Nmerodepgina">
    <w:name w:val="page number"/>
    <w:uiPriority w:val="99"/>
    <w:rPr>
      <w:rFonts w:cs="Times New Roman"/>
    </w:rPr>
  </w:style>
  <w:style w:type="character" w:styleId="Hyperlink">
    <w:name w:val="Hyperlink"/>
    <w:uiPriority w:val="99"/>
    <w:rPr>
      <w:rFonts w:cs="Times New Roman"/>
      <w:color w:val="0000FF"/>
      <w:u w:val="single"/>
    </w:rPr>
  </w:style>
  <w:style w:type="paragraph" w:customStyle="1" w:styleId="Identificao">
    <w:name w:val="Identificação"/>
    <w:basedOn w:val="Normal"/>
    <w:uiPriority w:val="99"/>
    <w:pPr>
      <w:jc w:val="both"/>
    </w:pPr>
    <w:rPr>
      <w:rFonts w:ascii="Courier New" w:hAnsi="Courier New" w:cs="Courier New"/>
      <w:color w:val="000000"/>
      <w:sz w:val="24"/>
      <w:szCs w:val="24"/>
      <w:lang w:val="en-US"/>
    </w:rPr>
  </w:style>
  <w:style w:type="paragraph" w:customStyle="1" w:styleId="Corpo">
    <w:name w:val="Corpo"/>
    <w:aliases w:val="Relatório + Courier,Negrito"/>
    <w:link w:val="CorpoChar"/>
    <w:uiPriority w:val="99"/>
    <w:qFormat/>
    <w:pPr>
      <w:autoSpaceDE w:val="0"/>
      <w:autoSpaceDN w:val="0"/>
      <w:spacing w:line="360" w:lineRule="atLeast"/>
      <w:ind w:firstLine="2551"/>
      <w:jc w:val="both"/>
    </w:pPr>
    <w:rPr>
      <w:rFonts w:ascii="Courier New" w:hAnsi="Courier New" w:cs="Courier New"/>
      <w:color w:val="000000"/>
      <w:sz w:val="24"/>
      <w:szCs w:val="24"/>
      <w:lang w:val="en-US"/>
    </w:rPr>
  </w:style>
  <w:style w:type="character" w:customStyle="1" w:styleId="Hiperlink">
    <w:name w:val="Hiperlink"/>
    <w:uiPriority w:val="99"/>
    <w:rPr>
      <w:color w:val="0000FF"/>
      <w:u w:val="single"/>
    </w:rPr>
  </w:style>
  <w:style w:type="paragraph" w:styleId="Corpodetexto2">
    <w:name w:val="Body Text 2"/>
    <w:basedOn w:val="Normal"/>
    <w:link w:val="Corpodetexto2Char"/>
    <w:uiPriority w:val="99"/>
    <w:pPr>
      <w:jc w:val="both"/>
    </w:pPr>
    <w:rPr>
      <w:sz w:val="22"/>
      <w:szCs w:val="22"/>
    </w:rPr>
  </w:style>
  <w:style w:type="character" w:customStyle="1" w:styleId="Corpodetexto2Char">
    <w:name w:val="Corpo de texto 2 Char"/>
    <w:link w:val="Corpodetexto2"/>
    <w:uiPriority w:val="99"/>
    <w:locked/>
    <w:rPr>
      <w:rFonts w:cs="Times New Roman"/>
      <w:sz w:val="22"/>
      <w:szCs w:val="22"/>
    </w:rPr>
  </w:style>
  <w:style w:type="paragraph" w:customStyle="1" w:styleId="Voto">
    <w:name w:val="Voto"/>
    <w:basedOn w:val="Corpo"/>
    <w:next w:val="Corpo"/>
    <w:uiPriority w:val="99"/>
    <w:rPr>
      <w:color w:val="0000FF"/>
    </w:rPr>
  </w:style>
  <w:style w:type="paragraph" w:customStyle="1" w:styleId="Transcrio">
    <w:name w:val="Transcrição"/>
    <w:basedOn w:val="Corpo"/>
    <w:link w:val="TranscrioChar"/>
    <w:uiPriority w:val="99"/>
    <w:pPr>
      <w:ind w:left="2551" w:firstLine="567"/>
    </w:pPr>
    <w:rPr>
      <w:rFonts w:ascii="Times New Roman" w:hAnsi="Times New Roman" w:cs="Times New Roman"/>
    </w:rPr>
  </w:style>
  <w:style w:type="paragraph" w:customStyle="1" w:styleId="Transcrio2">
    <w:name w:val="Transcrição 2"/>
    <w:basedOn w:val="Corpo"/>
    <w:uiPriority w:val="99"/>
    <w:pPr>
      <w:spacing w:line="240" w:lineRule="auto"/>
      <w:ind w:left="3686" w:firstLine="567"/>
    </w:pPr>
    <w:rPr>
      <w:rFonts w:ascii="Times New Roman" w:hAnsi="Times New Roman" w:cs="Times New Roman"/>
    </w:rPr>
  </w:style>
  <w:style w:type="paragraph" w:styleId="Recuodecorpodetexto">
    <w:name w:val="Body Text Indent"/>
    <w:basedOn w:val="Normal"/>
    <w:link w:val="RecuodecorpodetextoChar"/>
    <w:uiPriority w:val="99"/>
    <w:pPr>
      <w:spacing w:line="360" w:lineRule="auto"/>
      <w:ind w:firstLine="2552"/>
      <w:jc w:val="both"/>
    </w:pPr>
    <w:rPr>
      <w:rFonts w:ascii="Courier New" w:hAnsi="Courier New" w:cs="Courier New"/>
      <w:sz w:val="24"/>
      <w:szCs w:val="24"/>
    </w:rPr>
  </w:style>
  <w:style w:type="character" w:customStyle="1" w:styleId="RecuodecorpodetextoChar">
    <w:name w:val="Recuo de corpo de texto Char"/>
    <w:link w:val="Recuodecorpodetexto"/>
    <w:uiPriority w:val="99"/>
    <w:locked/>
    <w:rPr>
      <w:rFonts w:cs="Times New Roman"/>
    </w:rPr>
  </w:style>
  <w:style w:type="paragraph" w:customStyle="1" w:styleId="CORPO0">
    <w:name w:val="CORPO"/>
    <w:uiPriority w:val="99"/>
    <w:pPr>
      <w:autoSpaceDE w:val="0"/>
      <w:autoSpaceDN w:val="0"/>
      <w:spacing w:line="360" w:lineRule="atLeast"/>
      <w:ind w:firstLine="2551"/>
      <w:jc w:val="both"/>
    </w:pPr>
    <w:rPr>
      <w:rFonts w:ascii="Courier New" w:hAnsi="Courier New" w:cs="Courier New"/>
      <w:color w:val="000000"/>
      <w:sz w:val="24"/>
      <w:szCs w:val="24"/>
    </w:rPr>
  </w:style>
  <w:style w:type="character" w:styleId="Forte">
    <w:name w:val="Strong"/>
    <w:uiPriority w:val="99"/>
    <w:qFormat/>
    <w:rPr>
      <w:rFonts w:cs="Times New Roman"/>
      <w:b/>
      <w:bCs/>
    </w:rPr>
  </w:style>
  <w:style w:type="paragraph" w:styleId="Recuodecorpodetexto2">
    <w:name w:val="Body Text Indent 2"/>
    <w:basedOn w:val="Normal"/>
    <w:link w:val="Recuodecorpodetexto2Char"/>
    <w:uiPriority w:val="99"/>
    <w:pPr>
      <w:ind w:left="214" w:hanging="142"/>
    </w:pPr>
  </w:style>
  <w:style w:type="character" w:customStyle="1" w:styleId="Recuodecorpodetexto2Char">
    <w:name w:val="Recuo de corpo de texto 2 Char"/>
    <w:link w:val="Recuodecorpodetexto2"/>
    <w:uiPriority w:val="99"/>
    <w:locked/>
    <w:rPr>
      <w:rFonts w:cs="Times New Roman"/>
    </w:rPr>
  </w:style>
  <w:style w:type="paragraph" w:customStyle="1" w:styleId="Funo">
    <w:name w:val="Função"/>
    <w:basedOn w:val="Corpo"/>
    <w:uiPriority w:val="99"/>
    <w:pPr>
      <w:spacing w:line="360" w:lineRule="auto"/>
      <w:ind w:left="1871" w:right="1871" w:firstLine="0"/>
      <w:jc w:val="center"/>
    </w:pPr>
    <w:rPr>
      <w:b/>
      <w:bCs/>
      <w:sz w:val="20"/>
      <w:szCs w:val="20"/>
    </w:rPr>
  </w:style>
  <w:style w:type="paragraph" w:customStyle="1" w:styleId="IstoPosto">
    <w:name w:val="Isto Posto"/>
    <w:basedOn w:val="Corpo"/>
    <w:next w:val="Corpo"/>
    <w:uiPriority w:val="99"/>
    <w:rPr>
      <w:color w:val="800080"/>
    </w:rPr>
  </w:style>
  <w:style w:type="paragraph" w:customStyle="1" w:styleId="body8sem">
    <w:name w:val="body8sem"/>
    <w:uiPriority w:val="99"/>
    <w:pPr>
      <w:autoSpaceDE w:val="0"/>
      <w:autoSpaceDN w:val="0"/>
      <w:spacing w:line="180" w:lineRule="atLeast"/>
      <w:jc w:val="both"/>
    </w:pPr>
    <w:rPr>
      <w:rFonts w:ascii="Times New Roman" w:hAnsi="Times New Roman"/>
      <w:color w:val="000000"/>
      <w:sz w:val="16"/>
      <w:szCs w:val="16"/>
    </w:rPr>
  </w:style>
  <w:style w:type="paragraph" w:customStyle="1" w:styleId="Relatrio">
    <w:name w:val="Relatório"/>
    <w:basedOn w:val="Corpo"/>
    <w:next w:val="Corpo"/>
    <w:uiPriority w:val="99"/>
    <w:rPr>
      <w:color w:val="008000"/>
    </w:rPr>
  </w:style>
  <w:style w:type="paragraph" w:styleId="Data">
    <w:name w:val="Date"/>
    <w:basedOn w:val="Corpo"/>
    <w:next w:val="Corpo"/>
    <w:link w:val="DataChar"/>
    <w:uiPriority w:val="99"/>
    <w:pPr>
      <w:ind w:firstLine="2552"/>
    </w:pPr>
    <w:rPr>
      <w:color w:val="FF00FF"/>
    </w:rPr>
  </w:style>
  <w:style w:type="character" w:customStyle="1" w:styleId="DataChar">
    <w:name w:val="Data Char"/>
    <w:link w:val="Data"/>
    <w:uiPriority w:val="99"/>
    <w:locked/>
    <w:rPr>
      <w:rFonts w:cs="Times New Roman"/>
    </w:rPr>
  </w:style>
  <w:style w:type="paragraph" w:customStyle="1" w:styleId="TemaPN">
    <w:name w:val="TemaPN"/>
    <w:next w:val="Normal"/>
    <w:autoRedefine/>
    <w:rsid w:val="007E53A4"/>
    <w:pPr>
      <w:keepNext/>
      <w:keepLines/>
      <w:tabs>
        <w:tab w:val="left" w:pos="284"/>
        <w:tab w:val="left" w:pos="567"/>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7088"/>
      </w:tabs>
      <w:autoSpaceDE w:val="0"/>
      <w:autoSpaceDN w:val="0"/>
      <w:spacing w:before="260"/>
      <w:jc w:val="both"/>
    </w:pPr>
    <w:rPr>
      <w:rFonts w:ascii="Times New Roman" w:hAnsi="Times New Roman"/>
      <w:b/>
      <w:bCs/>
      <w:color w:val="000000"/>
      <w:sz w:val="28"/>
      <w:szCs w:val="28"/>
    </w:rPr>
  </w:style>
  <w:style w:type="paragraph" w:styleId="Textodebalo">
    <w:name w:val="Balloon Text"/>
    <w:basedOn w:val="Normal"/>
    <w:link w:val="TextodebaloChar"/>
    <w:uiPriority w:val="99"/>
    <w:rPr>
      <w:rFonts w:ascii="Tahoma" w:hAnsi="Tahoma" w:cs="Tahoma"/>
      <w:sz w:val="16"/>
      <w:szCs w:val="16"/>
    </w:rPr>
  </w:style>
  <w:style w:type="character" w:customStyle="1" w:styleId="TextodebaloChar">
    <w:name w:val="Texto de balão Char"/>
    <w:link w:val="Textodebalo"/>
    <w:uiPriority w:val="99"/>
    <w:locked/>
    <w:rPr>
      <w:rFonts w:ascii="Tahoma" w:hAnsi="Tahoma" w:cs="Tahoma"/>
      <w:sz w:val="16"/>
      <w:szCs w:val="16"/>
    </w:rPr>
  </w:style>
  <w:style w:type="paragraph" w:customStyle="1" w:styleId="Textoenun">
    <w:name w:val="Textoenun"/>
    <w:basedOn w:val="Normal"/>
    <w:uiPriority w:val="99"/>
    <w:pPr>
      <w:keepNext/>
      <w:keepLines/>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s>
      <w:ind w:left="737"/>
      <w:jc w:val="both"/>
    </w:pPr>
    <w:rPr>
      <w:sz w:val="28"/>
      <w:szCs w:val="28"/>
    </w:rPr>
  </w:style>
  <w:style w:type="paragraph" w:customStyle="1" w:styleId="NumProcesso">
    <w:name w:val="Num.Processo"/>
    <w:uiPriority w:val="99"/>
    <w:pPr>
      <w:widowControl w:val="0"/>
      <w:autoSpaceDE w:val="0"/>
      <w:autoSpaceDN w:val="0"/>
      <w:spacing w:before="170" w:line="360" w:lineRule="atLeast"/>
      <w:jc w:val="right"/>
    </w:pPr>
    <w:rPr>
      <w:rFonts w:ascii="Courier New" w:hAnsi="Courier New" w:cs="Courier New"/>
      <w:b/>
      <w:bCs/>
      <w:color w:val="000000"/>
      <w:sz w:val="24"/>
      <w:szCs w:val="24"/>
    </w:rPr>
  </w:style>
  <w:style w:type="character" w:styleId="nfase">
    <w:name w:val="Emphasis"/>
    <w:uiPriority w:val="20"/>
    <w:qFormat/>
    <w:rPr>
      <w:rFonts w:cs="Times New Roman"/>
      <w:i/>
      <w:iCs/>
    </w:rPr>
  </w:style>
  <w:style w:type="paragraph" w:customStyle="1" w:styleId="tema">
    <w:name w:val="tema"/>
    <w:link w:val="temaChar"/>
    <w:qFormat/>
    <w:pPr>
      <w:widowControl w:val="0"/>
      <w:autoSpaceDE w:val="0"/>
      <w:autoSpaceDN w:val="0"/>
      <w:spacing w:line="200" w:lineRule="exact"/>
      <w:ind w:left="567"/>
      <w:jc w:val="both"/>
    </w:pPr>
    <w:rPr>
      <w:rFonts w:ascii="Courier New" w:hAnsi="Courier New" w:cs="Courier New"/>
      <w:b/>
      <w:bCs/>
      <w:caps/>
      <w:color w:val="000000"/>
      <w:sz w:val="24"/>
      <w:szCs w:val="24"/>
    </w:rPr>
  </w:style>
  <w:style w:type="paragraph" w:styleId="NormalWeb">
    <w:name w:val="Normal (Web)"/>
    <w:basedOn w:val="Normal"/>
    <w:uiPriority w:val="99"/>
    <w:pPr>
      <w:spacing w:before="100" w:after="100"/>
    </w:pPr>
    <w:rPr>
      <w:sz w:val="24"/>
      <w:szCs w:val="24"/>
    </w:rPr>
  </w:style>
  <w:style w:type="character" w:customStyle="1" w:styleId="moz-txt-tag">
    <w:name w:val="moz-txt-tag"/>
    <w:uiPriority w:val="99"/>
    <w:rPr>
      <w:rFonts w:cs="Times New Roman"/>
    </w:rPr>
  </w:style>
  <w:style w:type="paragraph" w:customStyle="1" w:styleId="EXPLICAO">
    <w:name w:val="EXPLICAÇÃO"/>
    <w:pPr>
      <w:widowControl w:val="0"/>
      <w:autoSpaceDE w:val="0"/>
      <w:autoSpaceDN w:val="0"/>
      <w:spacing w:line="230" w:lineRule="atLeast"/>
      <w:ind w:left="284"/>
      <w:jc w:val="both"/>
    </w:pPr>
    <w:rPr>
      <w:rFonts w:ascii="Courier New" w:hAnsi="Courier New" w:cs="Courier New"/>
      <w:i/>
      <w:iCs/>
      <w:color w:val="000000"/>
      <w:sz w:val="24"/>
      <w:szCs w:val="24"/>
    </w:rPr>
  </w:style>
  <w:style w:type="paragraph" w:styleId="Pr-formataoHTML">
    <w:name w:val="HTML Preformatted"/>
    <w:basedOn w:val="Normal"/>
    <w:link w:val="Pr-formataoHTML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Pr-formataoHTMLChar">
    <w:name w:val="Pré-formatação HTML Char"/>
    <w:link w:val="Pr-formataoHTML"/>
    <w:uiPriority w:val="99"/>
    <w:locked/>
    <w:rPr>
      <w:rFonts w:ascii="Courier New" w:hAnsi="Courier New" w:cs="Courier New"/>
      <w:sz w:val="20"/>
      <w:szCs w:val="20"/>
    </w:rPr>
  </w:style>
  <w:style w:type="paragraph" w:customStyle="1" w:styleId="Preformatted">
    <w:name w:val="Preformatted"/>
    <w:basedOn w:val="Normal"/>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rPr>
  </w:style>
  <w:style w:type="paragraph" w:customStyle="1" w:styleId="explicao0">
    <w:name w:val="explicação"/>
    <w:qFormat/>
    <w:rsid w:val="00553197"/>
    <w:pPr>
      <w:widowControl w:val="0"/>
      <w:tabs>
        <w:tab w:val="left" w:pos="5103"/>
        <w:tab w:val="left" w:pos="5245"/>
      </w:tabs>
      <w:spacing w:line="200" w:lineRule="exact"/>
      <w:ind w:left="284"/>
      <w:jc w:val="both"/>
    </w:pPr>
    <w:rPr>
      <w:rFonts w:ascii="Courier New" w:hAnsi="Courier New"/>
      <w:i/>
      <w:color w:val="000000"/>
      <w:sz w:val="24"/>
    </w:rPr>
  </w:style>
  <w:style w:type="paragraph" w:customStyle="1" w:styleId="Tabela">
    <w:name w:val="Tabela"/>
    <w:rsid w:val="00004C36"/>
    <w:pPr>
      <w:widowControl w:val="0"/>
      <w:spacing w:line="255" w:lineRule="atLeast"/>
      <w:jc w:val="both"/>
    </w:pPr>
    <w:rPr>
      <w:rFonts w:ascii="Courier New" w:hAnsi="Courier New"/>
      <w:caps/>
      <w:color w:val="000000"/>
      <w:sz w:val="24"/>
    </w:rPr>
  </w:style>
  <w:style w:type="character" w:customStyle="1" w:styleId="temaChar">
    <w:name w:val="tema Char"/>
    <w:link w:val="tema"/>
    <w:locked/>
    <w:rsid w:val="003908C5"/>
    <w:rPr>
      <w:rFonts w:ascii="Courier New" w:hAnsi="Courier New" w:cs="Courier New"/>
      <w:b/>
      <w:bCs/>
      <w:caps/>
      <w:color w:val="000000"/>
      <w:sz w:val="24"/>
      <w:szCs w:val="24"/>
      <w:lang w:val="pt-BR" w:eastAsia="pt-BR" w:bidi="ar-SA"/>
    </w:rPr>
  </w:style>
  <w:style w:type="character" w:customStyle="1" w:styleId="CorpoChar">
    <w:name w:val="Corpo Char"/>
    <w:link w:val="Corpo"/>
    <w:uiPriority w:val="99"/>
    <w:locked/>
    <w:rsid w:val="008D3C38"/>
    <w:rPr>
      <w:rFonts w:ascii="Courier New" w:hAnsi="Courier New" w:cs="Courier New"/>
      <w:color w:val="000000"/>
      <w:sz w:val="24"/>
      <w:szCs w:val="24"/>
      <w:lang w:val="en-US" w:eastAsia="pt-BR" w:bidi="ar-SA"/>
    </w:rPr>
  </w:style>
  <w:style w:type="character" w:customStyle="1" w:styleId="apple-converted-space">
    <w:name w:val="apple-converted-space"/>
    <w:rsid w:val="00766B7B"/>
    <w:rPr>
      <w:rFonts w:cs="Times New Roman"/>
    </w:rPr>
  </w:style>
  <w:style w:type="character" w:styleId="HiperlinkVisitado">
    <w:name w:val="FollowedHyperlink"/>
    <w:uiPriority w:val="99"/>
    <w:semiHidden/>
    <w:unhideWhenUsed/>
    <w:rsid w:val="008D3C4B"/>
    <w:rPr>
      <w:color w:val="800080"/>
      <w:u w:val="single"/>
    </w:rPr>
  </w:style>
  <w:style w:type="paragraph" w:customStyle="1" w:styleId="explicao1">
    <w:name w:val="explicao"/>
    <w:basedOn w:val="Normal"/>
    <w:rsid w:val="0005125E"/>
    <w:pPr>
      <w:autoSpaceDE/>
      <w:autoSpaceDN/>
      <w:spacing w:before="100" w:beforeAutospacing="1" w:after="100" w:afterAutospacing="1"/>
    </w:pPr>
    <w:rPr>
      <w:sz w:val="24"/>
      <w:szCs w:val="24"/>
    </w:rPr>
  </w:style>
  <w:style w:type="character" w:customStyle="1" w:styleId="f51">
    <w:name w:val="f51"/>
    <w:rsid w:val="0005125E"/>
    <w:rPr>
      <w:rFonts w:ascii="Times" w:hAnsi="Times" w:hint="default"/>
      <w:sz w:val="24"/>
      <w:szCs w:val="24"/>
    </w:rPr>
  </w:style>
  <w:style w:type="character" w:customStyle="1" w:styleId="TranscrioChar">
    <w:name w:val="Transcrição Char"/>
    <w:link w:val="Transcrio"/>
    <w:uiPriority w:val="99"/>
    <w:locked/>
    <w:rsid w:val="00BC209E"/>
    <w:rPr>
      <w:rFonts w:ascii="Times New Roman" w:hAnsi="Times New Roman"/>
      <w:color w:val="000000"/>
      <w:sz w:val="24"/>
      <w:szCs w:val="24"/>
      <w:lang w:val="en-US"/>
    </w:rPr>
  </w:style>
  <w:style w:type="paragraph" w:customStyle="1" w:styleId="OJDASBDI-1">
    <w:name w:val="OJ DA SBDI-1"/>
    <w:basedOn w:val="Normal"/>
    <w:qFormat/>
    <w:rsid w:val="00BC209E"/>
    <w:pPr>
      <w:tabs>
        <w:tab w:val="left" w:pos="1453"/>
      </w:tabs>
      <w:autoSpaceDE/>
      <w:autoSpaceDN/>
      <w:spacing w:after="200" w:line="276" w:lineRule="auto"/>
      <w:jc w:val="both"/>
    </w:pPr>
    <w:rPr>
      <w:rFonts w:eastAsia="Calibri"/>
      <w:b/>
      <w:caps/>
      <w:sz w:val="28"/>
      <w:szCs w:val="28"/>
      <w:lang w:eastAsia="en-US"/>
    </w:rPr>
  </w:style>
  <w:style w:type="paragraph" w:customStyle="1" w:styleId="CPCeproposta">
    <w:name w:val="CPC e proposta"/>
    <w:basedOn w:val="Normal"/>
    <w:autoRedefine/>
    <w:qFormat/>
    <w:rsid w:val="00BC209E"/>
    <w:pPr>
      <w:autoSpaceDE/>
      <w:autoSpaceDN/>
      <w:ind w:left="1134"/>
      <w:jc w:val="both"/>
    </w:pPr>
    <w:rPr>
      <w:rFonts w:ascii="Courier New" w:eastAsia="Calibri" w:hAnsi="Courier New" w:cs="Courier New"/>
      <w:b/>
      <w:color w:val="FF0000"/>
      <w:sz w:val="24"/>
      <w:szCs w:val="24"/>
      <w:u w:val="single"/>
      <w:lang w:eastAsia="en-US"/>
    </w:rPr>
  </w:style>
  <w:style w:type="paragraph" w:styleId="PargrafodaLista">
    <w:name w:val="List Paragraph"/>
    <w:basedOn w:val="Normal"/>
    <w:uiPriority w:val="34"/>
    <w:qFormat/>
    <w:rsid w:val="007029CF"/>
    <w:pPr>
      <w:autoSpaceDE/>
      <w:autoSpaceDN/>
      <w:spacing w:line="276" w:lineRule="auto"/>
      <w:ind w:left="720"/>
      <w:contextualSpacing/>
    </w:pPr>
    <w:rPr>
      <w:rFonts w:ascii="Calibri" w:eastAsia="Calibri" w:hAnsi="Calibri"/>
      <w:sz w:val="22"/>
      <w:szCs w:val="22"/>
      <w:lang w:eastAsia="en-US"/>
    </w:rPr>
  </w:style>
  <w:style w:type="character" w:customStyle="1" w:styleId="temaChar1">
    <w:name w:val="tema Char1"/>
    <w:locked/>
    <w:rsid w:val="00A81F5B"/>
    <w:rPr>
      <w:rFonts w:ascii="Times New Roman" w:eastAsia="Calibri" w:hAnsi="Times New Roman" w:cs="Times New Roman"/>
      <w:b/>
      <w:caps/>
      <w:sz w:val="24"/>
      <w:szCs w:val="24"/>
    </w:rPr>
  </w:style>
  <w:style w:type="paragraph" w:customStyle="1" w:styleId="textoenun0">
    <w:name w:val="textoenun"/>
    <w:basedOn w:val="Normal"/>
    <w:rsid w:val="00A81F5B"/>
    <w:pPr>
      <w:autoSpaceDE/>
      <w:autoSpaceDN/>
      <w:spacing w:before="100" w:beforeAutospacing="1" w:after="100" w:afterAutospacing="1"/>
    </w:pPr>
    <w:rPr>
      <w:sz w:val="24"/>
      <w:szCs w:val="24"/>
    </w:rPr>
  </w:style>
  <w:style w:type="paragraph" w:customStyle="1" w:styleId="TemaSDI2">
    <w:name w:val="TemaSDI2"/>
    <w:next w:val="Normal"/>
    <w:uiPriority w:val="99"/>
    <w:rsid w:val="00B55AB4"/>
    <w:pPr>
      <w:keepNext/>
      <w:keepLines/>
      <w:spacing w:before="260"/>
      <w:jc w:val="both"/>
    </w:pPr>
    <w:rPr>
      <w:rFonts w:ascii="Times New Roman" w:hAnsi="Times New Roman"/>
      <w:b/>
      <w:caps/>
      <w:sz w:val="28"/>
      <w:szCs w:val="26"/>
    </w:rPr>
  </w:style>
  <w:style w:type="paragraph" w:customStyle="1" w:styleId="ExplicaoSDI1">
    <w:name w:val="ExplicaçãoSDI1"/>
    <w:next w:val="Normal"/>
    <w:autoRedefine/>
    <w:rsid w:val="00B55AB4"/>
    <w:pPr>
      <w:keepNext/>
      <w:keepLines/>
      <w:spacing w:before="40"/>
      <w:ind w:left="851"/>
      <w:jc w:val="both"/>
    </w:pPr>
    <w:rPr>
      <w:rFonts w:ascii="Times New Roman" w:hAnsi="Times New Roman"/>
      <w:sz w:val="28"/>
      <w:szCs w:val="28"/>
    </w:rPr>
  </w:style>
  <w:style w:type="character" w:customStyle="1" w:styleId="CorpoChar1">
    <w:name w:val="Corpo Char1"/>
    <w:uiPriority w:val="99"/>
    <w:locked/>
    <w:rsid w:val="00971F6D"/>
    <w:rPr>
      <w:rFonts w:ascii="Courier New" w:eastAsia="Times New Roman" w:hAnsi="Courier New" w:cs="Courier New"/>
      <w:color w:val="000000"/>
      <w:sz w:val="24"/>
      <w:szCs w:val="24"/>
      <w:lang w:eastAsia="pt-BR"/>
    </w:rPr>
  </w:style>
  <w:style w:type="table" w:styleId="Tabelacomgrade">
    <w:name w:val="Table Grid"/>
    <w:basedOn w:val="Tabelanormal"/>
    <w:uiPriority w:val="59"/>
    <w:rsid w:val="00A32D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716F3"/>
    <w:pPr>
      <w:autoSpaceDE w:val="0"/>
      <w:autoSpaceDN w:val="0"/>
      <w:adjustRightInd w:val="0"/>
    </w:pPr>
    <w:rPr>
      <w:rFonts w:ascii="Times New Roman" w:eastAsia="Calibri" w:hAnsi="Times New Roman"/>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Body Text" w:unhideWhenUsed="0"/>
    <w:lsdException w:name="Body Text Indent" w:unhideWhenUsed="0"/>
    <w:lsdException w:name="Subtitle" w:semiHidden="0" w:uiPriority="11" w:unhideWhenUsed="0" w:qFormat="1"/>
    <w:lsdException w:name="Date" w:unhideWhenUsed="0"/>
    <w:lsdException w:name="Body Text 2" w:unhideWhenUsed="0"/>
    <w:lsdException w:name="Body Text 3" w:unhideWhenUsed="0"/>
    <w:lsdException w:name="Body Text Indent 2" w:unhideWhenUsed="0"/>
    <w:lsdException w:name="Hyperlink" w:unhideWhenUsed="0"/>
    <w:lsdException w:name="Strong" w:semiHidden="0" w:unhideWhenUsed="0" w:qFormat="1"/>
    <w:lsdException w:name="Emphasis" w:semiHidden="0" w:uiPriority="20" w:unhideWhenUsed="0" w:qFormat="1"/>
    <w:lsdException w:name="Normal (Web)" w:unhideWhenUsed="0"/>
    <w:lsdException w:name="HTML Preformatted"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pPr>
    <w:rPr>
      <w:rFonts w:ascii="Times New Roman" w:hAnsi="Times New Roman"/>
    </w:rPr>
  </w:style>
  <w:style w:type="paragraph" w:styleId="Ttulo1">
    <w:name w:val="heading 1"/>
    <w:basedOn w:val="Normal"/>
    <w:next w:val="Normal"/>
    <w:link w:val="Ttulo1Char"/>
    <w:uiPriority w:val="99"/>
    <w:qFormat/>
    <w:pPr>
      <w:keepNext/>
      <w:jc w:val="both"/>
      <w:outlineLvl w:val="0"/>
    </w:pPr>
    <w:rPr>
      <w:b/>
      <w:bCs/>
      <w:color w:val="0000FF"/>
    </w:rPr>
  </w:style>
  <w:style w:type="paragraph" w:styleId="Ttulo5">
    <w:name w:val="heading 5"/>
    <w:basedOn w:val="Normal"/>
    <w:next w:val="Normal"/>
    <w:link w:val="Ttulo5Char"/>
    <w:uiPriority w:val="99"/>
    <w:qFormat/>
    <w:pPr>
      <w:keepNext/>
      <w:jc w:val="both"/>
      <w:outlineLvl w:val="4"/>
    </w:pPr>
    <w:rPr>
      <w:u w:val="single"/>
    </w:rPr>
  </w:style>
  <w:style w:type="paragraph" w:styleId="Ttulo6">
    <w:name w:val="heading 6"/>
    <w:basedOn w:val="Normal"/>
    <w:next w:val="Normal"/>
    <w:link w:val="Ttulo6Char"/>
    <w:uiPriority w:val="99"/>
    <w:qFormat/>
    <w:pPr>
      <w:keepNext/>
      <w:jc w:val="center"/>
      <w:outlineLvl w:val="5"/>
    </w:pPr>
    <w:rPr>
      <w:sz w:val="28"/>
      <w:szCs w:val="28"/>
    </w:rPr>
  </w:style>
  <w:style w:type="character" w:default="1" w:styleId="Fontepargpadro">
    <w:name w:val="Default Paragraph Font"/>
    <w:uiPriority w:val="99"/>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9"/>
    <w:locked/>
    <w:rPr>
      <w:rFonts w:ascii="Cambria" w:hAnsi="Cambria" w:cs="Cambria"/>
      <w:b/>
      <w:bCs/>
      <w:kern w:val="32"/>
      <w:sz w:val="32"/>
      <w:szCs w:val="32"/>
    </w:rPr>
  </w:style>
  <w:style w:type="character" w:customStyle="1" w:styleId="Ttulo5Char">
    <w:name w:val="Título 5 Char"/>
    <w:link w:val="Ttulo5"/>
    <w:uiPriority w:val="99"/>
    <w:locked/>
    <w:rPr>
      <w:rFonts w:ascii="Calibri" w:hAnsi="Calibri" w:cs="Calibri"/>
      <w:b/>
      <w:bCs/>
      <w:i/>
      <w:iCs/>
      <w:sz w:val="26"/>
      <w:szCs w:val="26"/>
    </w:rPr>
  </w:style>
  <w:style w:type="character" w:customStyle="1" w:styleId="Ttulo6Char">
    <w:name w:val="Título 6 Char"/>
    <w:link w:val="Ttulo6"/>
    <w:uiPriority w:val="99"/>
    <w:locked/>
    <w:rPr>
      <w:rFonts w:ascii="Calibri" w:hAnsi="Calibri" w:cs="Calibri"/>
      <w:b/>
      <w:bCs/>
      <w:sz w:val="22"/>
      <w:szCs w:val="22"/>
    </w:rPr>
  </w:style>
  <w:style w:type="paragraph" w:styleId="Cabealho">
    <w:name w:val="header"/>
    <w:basedOn w:val="Normal"/>
    <w:link w:val="CabealhoChar"/>
    <w:uiPriority w:val="99"/>
    <w:pPr>
      <w:tabs>
        <w:tab w:val="center" w:pos="4419"/>
        <w:tab w:val="right" w:pos="8838"/>
      </w:tabs>
    </w:pPr>
  </w:style>
  <w:style w:type="character" w:customStyle="1" w:styleId="CabealhoChar">
    <w:name w:val="Cabeçalho Char"/>
    <w:link w:val="Cabealho"/>
    <w:uiPriority w:val="99"/>
    <w:locked/>
    <w:rPr>
      <w:rFonts w:cs="Times New Roman"/>
    </w:rPr>
  </w:style>
  <w:style w:type="paragraph" w:styleId="Rodap">
    <w:name w:val="footer"/>
    <w:basedOn w:val="Normal"/>
    <w:link w:val="RodapChar"/>
    <w:uiPriority w:val="99"/>
    <w:pPr>
      <w:tabs>
        <w:tab w:val="center" w:pos="4419"/>
        <w:tab w:val="right" w:pos="8838"/>
      </w:tabs>
    </w:pPr>
  </w:style>
  <w:style w:type="character" w:customStyle="1" w:styleId="RodapChar">
    <w:name w:val="Rodapé Char"/>
    <w:link w:val="Rodap"/>
    <w:uiPriority w:val="99"/>
    <w:locked/>
    <w:rPr>
      <w:rFonts w:cs="Times New Roman"/>
    </w:rPr>
  </w:style>
  <w:style w:type="paragraph" w:styleId="Corpodetexto">
    <w:name w:val="Body Text"/>
    <w:basedOn w:val="Normal"/>
    <w:link w:val="CorpodetextoChar"/>
    <w:uiPriority w:val="99"/>
    <w:pPr>
      <w:jc w:val="center"/>
    </w:pPr>
    <w:rPr>
      <w:b/>
      <w:bCs/>
      <w:sz w:val="26"/>
      <w:szCs w:val="26"/>
    </w:rPr>
  </w:style>
  <w:style w:type="character" w:customStyle="1" w:styleId="CorpodetextoChar">
    <w:name w:val="Corpo de texto Char"/>
    <w:link w:val="Corpodetexto"/>
    <w:uiPriority w:val="99"/>
    <w:locked/>
    <w:rPr>
      <w:rFonts w:cs="Times New Roman"/>
    </w:rPr>
  </w:style>
  <w:style w:type="paragraph" w:customStyle="1" w:styleId="coletanea">
    <w:name w:val="coletanea"/>
    <w:basedOn w:val="Normal"/>
    <w:pPr>
      <w:jc w:val="both"/>
    </w:pPr>
  </w:style>
  <w:style w:type="paragraph" w:customStyle="1" w:styleId="Ementa">
    <w:name w:val="Ementa"/>
    <w:basedOn w:val="Normal"/>
    <w:uiPriority w:val="99"/>
    <w:qFormat/>
    <w:pPr>
      <w:ind w:left="4536"/>
      <w:jc w:val="both"/>
    </w:pPr>
    <w:rPr>
      <w:rFonts w:ascii="Courier New" w:hAnsi="Courier New" w:cs="Courier New"/>
      <w:color w:val="808000"/>
      <w:sz w:val="24"/>
      <w:szCs w:val="24"/>
      <w:lang w:val="en-US"/>
    </w:rPr>
  </w:style>
  <w:style w:type="paragraph" w:styleId="Corpodetexto3">
    <w:name w:val="Body Text 3"/>
    <w:basedOn w:val="Normal"/>
    <w:link w:val="Corpodetexto3Char"/>
    <w:uiPriority w:val="99"/>
    <w:pPr>
      <w:jc w:val="both"/>
    </w:pPr>
    <w:rPr>
      <w:b/>
      <w:bCs/>
      <w:i/>
      <w:iCs/>
      <w:sz w:val="24"/>
      <w:szCs w:val="24"/>
    </w:rPr>
  </w:style>
  <w:style w:type="character" w:customStyle="1" w:styleId="Corpodetexto3Char">
    <w:name w:val="Corpo de texto 3 Char"/>
    <w:link w:val="Corpodetexto3"/>
    <w:uiPriority w:val="99"/>
    <w:locked/>
    <w:rPr>
      <w:rFonts w:cs="Times New Roman"/>
      <w:sz w:val="16"/>
      <w:szCs w:val="16"/>
    </w:rPr>
  </w:style>
  <w:style w:type="character" w:styleId="Nmerodepgina">
    <w:name w:val="page number"/>
    <w:uiPriority w:val="99"/>
    <w:rPr>
      <w:rFonts w:cs="Times New Roman"/>
    </w:rPr>
  </w:style>
  <w:style w:type="character" w:styleId="Hyperlink">
    <w:name w:val="Hyperlink"/>
    <w:uiPriority w:val="99"/>
    <w:rPr>
      <w:rFonts w:cs="Times New Roman"/>
      <w:color w:val="0000FF"/>
      <w:u w:val="single"/>
    </w:rPr>
  </w:style>
  <w:style w:type="paragraph" w:customStyle="1" w:styleId="Identificao">
    <w:name w:val="Identificação"/>
    <w:basedOn w:val="Normal"/>
    <w:uiPriority w:val="99"/>
    <w:pPr>
      <w:jc w:val="both"/>
    </w:pPr>
    <w:rPr>
      <w:rFonts w:ascii="Courier New" w:hAnsi="Courier New" w:cs="Courier New"/>
      <w:color w:val="000000"/>
      <w:sz w:val="24"/>
      <w:szCs w:val="24"/>
      <w:lang w:val="en-US"/>
    </w:rPr>
  </w:style>
  <w:style w:type="paragraph" w:customStyle="1" w:styleId="Corpo">
    <w:name w:val="Corpo"/>
    <w:aliases w:val="Relatório + Courier,Negrito"/>
    <w:link w:val="CorpoChar"/>
    <w:uiPriority w:val="99"/>
    <w:qFormat/>
    <w:pPr>
      <w:autoSpaceDE w:val="0"/>
      <w:autoSpaceDN w:val="0"/>
      <w:spacing w:line="360" w:lineRule="atLeast"/>
      <w:ind w:firstLine="2551"/>
      <w:jc w:val="both"/>
    </w:pPr>
    <w:rPr>
      <w:rFonts w:ascii="Courier New" w:hAnsi="Courier New" w:cs="Courier New"/>
      <w:color w:val="000000"/>
      <w:sz w:val="24"/>
      <w:szCs w:val="24"/>
      <w:lang w:val="en-US"/>
    </w:rPr>
  </w:style>
  <w:style w:type="character" w:customStyle="1" w:styleId="Hiperlink">
    <w:name w:val="Hiperlink"/>
    <w:uiPriority w:val="99"/>
    <w:rPr>
      <w:color w:val="0000FF"/>
      <w:u w:val="single"/>
    </w:rPr>
  </w:style>
  <w:style w:type="paragraph" w:styleId="Corpodetexto2">
    <w:name w:val="Body Text 2"/>
    <w:basedOn w:val="Normal"/>
    <w:link w:val="Corpodetexto2Char"/>
    <w:uiPriority w:val="99"/>
    <w:pPr>
      <w:jc w:val="both"/>
    </w:pPr>
    <w:rPr>
      <w:sz w:val="22"/>
      <w:szCs w:val="22"/>
    </w:rPr>
  </w:style>
  <w:style w:type="character" w:customStyle="1" w:styleId="Corpodetexto2Char">
    <w:name w:val="Corpo de texto 2 Char"/>
    <w:link w:val="Corpodetexto2"/>
    <w:uiPriority w:val="99"/>
    <w:locked/>
    <w:rPr>
      <w:rFonts w:cs="Times New Roman"/>
      <w:sz w:val="22"/>
      <w:szCs w:val="22"/>
    </w:rPr>
  </w:style>
  <w:style w:type="paragraph" w:customStyle="1" w:styleId="Voto">
    <w:name w:val="Voto"/>
    <w:basedOn w:val="Corpo"/>
    <w:next w:val="Corpo"/>
    <w:uiPriority w:val="99"/>
    <w:rPr>
      <w:color w:val="0000FF"/>
    </w:rPr>
  </w:style>
  <w:style w:type="paragraph" w:customStyle="1" w:styleId="Transcrio">
    <w:name w:val="Transcrição"/>
    <w:basedOn w:val="Corpo"/>
    <w:link w:val="TranscrioChar"/>
    <w:uiPriority w:val="99"/>
    <w:pPr>
      <w:ind w:left="2551" w:firstLine="567"/>
    </w:pPr>
    <w:rPr>
      <w:rFonts w:ascii="Times New Roman" w:hAnsi="Times New Roman" w:cs="Times New Roman"/>
    </w:rPr>
  </w:style>
  <w:style w:type="paragraph" w:customStyle="1" w:styleId="Transcrio2">
    <w:name w:val="Transcrição 2"/>
    <w:basedOn w:val="Corpo"/>
    <w:uiPriority w:val="99"/>
    <w:pPr>
      <w:spacing w:line="240" w:lineRule="auto"/>
      <w:ind w:left="3686" w:firstLine="567"/>
    </w:pPr>
    <w:rPr>
      <w:rFonts w:ascii="Times New Roman" w:hAnsi="Times New Roman" w:cs="Times New Roman"/>
    </w:rPr>
  </w:style>
  <w:style w:type="paragraph" w:styleId="Recuodecorpodetexto">
    <w:name w:val="Body Text Indent"/>
    <w:basedOn w:val="Normal"/>
    <w:link w:val="RecuodecorpodetextoChar"/>
    <w:uiPriority w:val="99"/>
    <w:pPr>
      <w:spacing w:line="360" w:lineRule="auto"/>
      <w:ind w:firstLine="2552"/>
      <w:jc w:val="both"/>
    </w:pPr>
    <w:rPr>
      <w:rFonts w:ascii="Courier New" w:hAnsi="Courier New" w:cs="Courier New"/>
      <w:sz w:val="24"/>
      <w:szCs w:val="24"/>
    </w:rPr>
  </w:style>
  <w:style w:type="character" w:customStyle="1" w:styleId="RecuodecorpodetextoChar">
    <w:name w:val="Recuo de corpo de texto Char"/>
    <w:link w:val="Recuodecorpodetexto"/>
    <w:uiPriority w:val="99"/>
    <w:locked/>
    <w:rPr>
      <w:rFonts w:cs="Times New Roman"/>
    </w:rPr>
  </w:style>
  <w:style w:type="paragraph" w:customStyle="1" w:styleId="CORPO0">
    <w:name w:val="CORPO"/>
    <w:uiPriority w:val="99"/>
    <w:pPr>
      <w:autoSpaceDE w:val="0"/>
      <w:autoSpaceDN w:val="0"/>
      <w:spacing w:line="360" w:lineRule="atLeast"/>
      <w:ind w:firstLine="2551"/>
      <w:jc w:val="both"/>
    </w:pPr>
    <w:rPr>
      <w:rFonts w:ascii="Courier New" w:hAnsi="Courier New" w:cs="Courier New"/>
      <w:color w:val="000000"/>
      <w:sz w:val="24"/>
      <w:szCs w:val="24"/>
    </w:rPr>
  </w:style>
  <w:style w:type="character" w:styleId="Forte">
    <w:name w:val="Strong"/>
    <w:uiPriority w:val="99"/>
    <w:qFormat/>
    <w:rPr>
      <w:rFonts w:cs="Times New Roman"/>
      <w:b/>
      <w:bCs/>
    </w:rPr>
  </w:style>
  <w:style w:type="paragraph" w:styleId="Recuodecorpodetexto2">
    <w:name w:val="Body Text Indent 2"/>
    <w:basedOn w:val="Normal"/>
    <w:link w:val="Recuodecorpodetexto2Char"/>
    <w:uiPriority w:val="99"/>
    <w:pPr>
      <w:ind w:left="214" w:hanging="142"/>
    </w:pPr>
  </w:style>
  <w:style w:type="character" w:customStyle="1" w:styleId="Recuodecorpodetexto2Char">
    <w:name w:val="Recuo de corpo de texto 2 Char"/>
    <w:link w:val="Recuodecorpodetexto2"/>
    <w:uiPriority w:val="99"/>
    <w:locked/>
    <w:rPr>
      <w:rFonts w:cs="Times New Roman"/>
    </w:rPr>
  </w:style>
  <w:style w:type="paragraph" w:customStyle="1" w:styleId="Funo">
    <w:name w:val="Função"/>
    <w:basedOn w:val="Corpo"/>
    <w:uiPriority w:val="99"/>
    <w:pPr>
      <w:spacing w:line="360" w:lineRule="auto"/>
      <w:ind w:left="1871" w:right="1871" w:firstLine="0"/>
      <w:jc w:val="center"/>
    </w:pPr>
    <w:rPr>
      <w:b/>
      <w:bCs/>
      <w:sz w:val="20"/>
      <w:szCs w:val="20"/>
    </w:rPr>
  </w:style>
  <w:style w:type="paragraph" w:customStyle="1" w:styleId="IstoPosto">
    <w:name w:val="Isto Posto"/>
    <w:basedOn w:val="Corpo"/>
    <w:next w:val="Corpo"/>
    <w:uiPriority w:val="99"/>
    <w:rPr>
      <w:color w:val="800080"/>
    </w:rPr>
  </w:style>
  <w:style w:type="paragraph" w:customStyle="1" w:styleId="body8sem">
    <w:name w:val="body8sem"/>
    <w:uiPriority w:val="99"/>
    <w:pPr>
      <w:autoSpaceDE w:val="0"/>
      <w:autoSpaceDN w:val="0"/>
      <w:spacing w:line="180" w:lineRule="atLeast"/>
      <w:jc w:val="both"/>
    </w:pPr>
    <w:rPr>
      <w:rFonts w:ascii="Times New Roman" w:hAnsi="Times New Roman"/>
      <w:color w:val="000000"/>
      <w:sz w:val="16"/>
      <w:szCs w:val="16"/>
    </w:rPr>
  </w:style>
  <w:style w:type="paragraph" w:customStyle="1" w:styleId="Relatrio">
    <w:name w:val="Relatório"/>
    <w:basedOn w:val="Corpo"/>
    <w:next w:val="Corpo"/>
    <w:uiPriority w:val="99"/>
    <w:rPr>
      <w:color w:val="008000"/>
    </w:rPr>
  </w:style>
  <w:style w:type="paragraph" w:styleId="Data">
    <w:name w:val="Date"/>
    <w:basedOn w:val="Corpo"/>
    <w:next w:val="Corpo"/>
    <w:link w:val="DataChar"/>
    <w:uiPriority w:val="99"/>
    <w:pPr>
      <w:ind w:firstLine="2552"/>
    </w:pPr>
    <w:rPr>
      <w:color w:val="FF00FF"/>
    </w:rPr>
  </w:style>
  <w:style w:type="character" w:customStyle="1" w:styleId="DataChar">
    <w:name w:val="Data Char"/>
    <w:link w:val="Data"/>
    <w:uiPriority w:val="99"/>
    <w:locked/>
    <w:rPr>
      <w:rFonts w:cs="Times New Roman"/>
    </w:rPr>
  </w:style>
  <w:style w:type="paragraph" w:customStyle="1" w:styleId="TemaPN">
    <w:name w:val="TemaPN"/>
    <w:next w:val="Normal"/>
    <w:autoRedefine/>
    <w:rsid w:val="007E53A4"/>
    <w:pPr>
      <w:keepNext/>
      <w:keepLines/>
      <w:tabs>
        <w:tab w:val="left" w:pos="284"/>
        <w:tab w:val="left" w:pos="567"/>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7088"/>
      </w:tabs>
      <w:autoSpaceDE w:val="0"/>
      <w:autoSpaceDN w:val="0"/>
      <w:spacing w:before="260"/>
      <w:jc w:val="both"/>
    </w:pPr>
    <w:rPr>
      <w:rFonts w:ascii="Times New Roman" w:hAnsi="Times New Roman"/>
      <w:b/>
      <w:bCs/>
      <w:color w:val="000000"/>
      <w:sz w:val="28"/>
      <w:szCs w:val="28"/>
    </w:rPr>
  </w:style>
  <w:style w:type="paragraph" w:styleId="Textodebalo">
    <w:name w:val="Balloon Text"/>
    <w:basedOn w:val="Normal"/>
    <w:link w:val="TextodebaloChar"/>
    <w:uiPriority w:val="99"/>
    <w:rPr>
      <w:rFonts w:ascii="Tahoma" w:hAnsi="Tahoma" w:cs="Tahoma"/>
      <w:sz w:val="16"/>
      <w:szCs w:val="16"/>
    </w:rPr>
  </w:style>
  <w:style w:type="character" w:customStyle="1" w:styleId="TextodebaloChar">
    <w:name w:val="Texto de balão Char"/>
    <w:link w:val="Textodebalo"/>
    <w:uiPriority w:val="99"/>
    <w:locked/>
    <w:rPr>
      <w:rFonts w:ascii="Tahoma" w:hAnsi="Tahoma" w:cs="Tahoma"/>
      <w:sz w:val="16"/>
      <w:szCs w:val="16"/>
    </w:rPr>
  </w:style>
  <w:style w:type="paragraph" w:customStyle="1" w:styleId="Textoenun">
    <w:name w:val="Textoenun"/>
    <w:basedOn w:val="Normal"/>
    <w:uiPriority w:val="99"/>
    <w:pPr>
      <w:keepNext/>
      <w:keepLines/>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s>
      <w:ind w:left="737"/>
      <w:jc w:val="both"/>
    </w:pPr>
    <w:rPr>
      <w:sz w:val="28"/>
      <w:szCs w:val="28"/>
    </w:rPr>
  </w:style>
  <w:style w:type="paragraph" w:customStyle="1" w:styleId="NumProcesso">
    <w:name w:val="Num.Processo"/>
    <w:uiPriority w:val="99"/>
    <w:pPr>
      <w:widowControl w:val="0"/>
      <w:autoSpaceDE w:val="0"/>
      <w:autoSpaceDN w:val="0"/>
      <w:spacing w:before="170" w:line="360" w:lineRule="atLeast"/>
      <w:jc w:val="right"/>
    </w:pPr>
    <w:rPr>
      <w:rFonts w:ascii="Courier New" w:hAnsi="Courier New" w:cs="Courier New"/>
      <w:b/>
      <w:bCs/>
      <w:color w:val="000000"/>
      <w:sz w:val="24"/>
      <w:szCs w:val="24"/>
    </w:rPr>
  </w:style>
  <w:style w:type="character" w:styleId="nfase">
    <w:name w:val="Emphasis"/>
    <w:uiPriority w:val="20"/>
    <w:qFormat/>
    <w:rPr>
      <w:rFonts w:cs="Times New Roman"/>
      <w:i/>
      <w:iCs/>
    </w:rPr>
  </w:style>
  <w:style w:type="paragraph" w:customStyle="1" w:styleId="tema">
    <w:name w:val="tema"/>
    <w:link w:val="temaChar"/>
    <w:qFormat/>
    <w:pPr>
      <w:widowControl w:val="0"/>
      <w:autoSpaceDE w:val="0"/>
      <w:autoSpaceDN w:val="0"/>
      <w:spacing w:line="200" w:lineRule="exact"/>
      <w:ind w:left="567"/>
      <w:jc w:val="both"/>
    </w:pPr>
    <w:rPr>
      <w:rFonts w:ascii="Courier New" w:hAnsi="Courier New" w:cs="Courier New"/>
      <w:b/>
      <w:bCs/>
      <w:caps/>
      <w:color w:val="000000"/>
      <w:sz w:val="24"/>
      <w:szCs w:val="24"/>
    </w:rPr>
  </w:style>
  <w:style w:type="paragraph" w:styleId="NormalWeb">
    <w:name w:val="Normal (Web)"/>
    <w:basedOn w:val="Normal"/>
    <w:uiPriority w:val="99"/>
    <w:pPr>
      <w:spacing w:before="100" w:after="100"/>
    </w:pPr>
    <w:rPr>
      <w:sz w:val="24"/>
      <w:szCs w:val="24"/>
    </w:rPr>
  </w:style>
  <w:style w:type="character" w:customStyle="1" w:styleId="moz-txt-tag">
    <w:name w:val="moz-txt-tag"/>
    <w:uiPriority w:val="99"/>
    <w:rPr>
      <w:rFonts w:cs="Times New Roman"/>
    </w:rPr>
  </w:style>
  <w:style w:type="paragraph" w:customStyle="1" w:styleId="EXPLICAO">
    <w:name w:val="EXPLICAÇÃO"/>
    <w:pPr>
      <w:widowControl w:val="0"/>
      <w:autoSpaceDE w:val="0"/>
      <w:autoSpaceDN w:val="0"/>
      <w:spacing w:line="230" w:lineRule="atLeast"/>
      <w:ind w:left="284"/>
      <w:jc w:val="both"/>
    </w:pPr>
    <w:rPr>
      <w:rFonts w:ascii="Courier New" w:hAnsi="Courier New" w:cs="Courier New"/>
      <w:i/>
      <w:iCs/>
      <w:color w:val="000000"/>
      <w:sz w:val="24"/>
      <w:szCs w:val="24"/>
    </w:rPr>
  </w:style>
  <w:style w:type="paragraph" w:styleId="Pr-formataoHTML">
    <w:name w:val="HTML Preformatted"/>
    <w:basedOn w:val="Normal"/>
    <w:link w:val="Pr-formataoHTML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Pr-formataoHTMLChar">
    <w:name w:val="Pré-formatação HTML Char"/>
    <w:link w:val="Pr-formataoHTML"/>
    <w:uiPriority w:val="99"/>
    <w:locked/>
    <w:rPr>
      <w:rFonts w:ascii="Courier New" w:hAnsi="Courier New" w:cs="Courier New"/>
      <w:sz w:val="20"/>
      <w:szCs w:val="20"/>
    </w:rPr>
  </w:style>
  <w:style w:type="paragraph" w:customStyle="1" w:styleId="Preformatted">
    <w:name w:val="Preformatted"/>
    <w:basedOn w:val="Normal"/>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rPr>
  </w:style>
  <w:style w:type="paragraph" w:customStyle="1" w:styleId="explicao0">
    <w:name w:val="explicação"/>
    <w:qFormat/>
    <w:rsid w:val="00553197"/>
    <w:pPr>
      <w:widowControl w:val="0"/>
      <w:tabs>
        <w:tab w:val="left" w:pos="5103"/>
        <w:tab w:val="left" w:pos="5245"/>
      </w:tabs>
      <w:spacing w:line="200" w:lineRule="exact"/>
      <w:ind w:left="284"/>
      <w:jc w:val="both"/>
    </w:pPr>
    <w:rPr>
      <w:rFonts w:ascii="Courier New" w:hAnsi="Courier New"/>
      <w:i/>
      <w:color w:val="000000"/>
      <w:sz w:val="24"/>
    </w:rPr>
  </w:style>
  <w:style w:type="paragraph" w:customStyle="1" w:styleId="Tabela">
    <w:name w:val="Tabela"/>
    <w:rsid w:val="00004C36"/>
    <w:pPr>
      <w:widowControl w:val="0"/>
      <w:spacing w:line="255" w:lineRule="atLeast"/>
      <w:jc w:val="both"/>
    </w:pPr>
    <w:rPr>
      <w:rFonts w:ascii="Courier New" w:hAnsi="Courier New"/>
      <w:caps/>
      <w:color w:val="000000"/>
      <w:sz w:val="24"/>
    </w:rPr>
  </w:style>
  <w:style w:type="character" w:customStyle="1" w:styleId="temaChar">
    <w:name w:val="tema Char"/>
    <w:link w:val="tema"/>
    <w:locked/>
    <w:rsid w:val="003908C5"/>
    <w:rPr>
      <w:rFonts w:ascii="Courier New" w:hAnsi="Courier New" w:cs="Courier New"/>
      <w:b/>
      <w:bCs/>
      <w:caps/>
      <w:color w:val="000000"/>
      <w:sz w:val="24"/>
      <w:szCs w:val="24"/>
      <w:lang w:val="pt-BR" w:eastAsia="pt-BR" w:bidi="ar-SA"/>
    </w:rPr>
  </w:style>
  <w:style w:type="character" w:customStyle="1" w:styleId="CorpoChar">
    <w:name w:val="Corpo Char"/>
    <w:link w:val="Corpo"/>
    <w:uiPriority w:val="99"/>
    <w:locked/>
    <w:rsid w:val="008D3C38"/>
    <w:rPr>
      <w:rFonts w:ascii="Courier New" w:hAnsi="Courier New" w:cs="Courier New"/>
      <w:color w:val="000000"/>
      <w:sz w:val="24"/>
      <w:szCs w:val="24"/>
      <w:lang w:val="en-US" w:eastAsia="pt-BR" w:bidi="ar-SA"/>
    </w:rPr>
  </w:style>
  <w:style w:type="character" w:customStyle="1" w:styleId="apple-converted-space">
    <w:name w:val="apple-converted-space"/>
    <w:rsid w:val="00766B7B"/>
    <w:rPr>
      <w:rFonts w:cs="Times New Roman"/>
    </w:rPr>
  </w:style>
  <w:style w:type="character" w:styleId="HiperlinkVisitado">
    <w:name w:val="FollowedHyperlink"/>
    <w:uiPriority w:val="99"/>
    <w:semiHidden/>
    <w:unhideWhenUsed/>
    <w:rsid w:val="008D3C4B"/>
    <w:rPr>
      <w:color w:val="800080"/>
      <w:u w:val="single"/>
    </w:rPr>
  </w:style>
  <w:style w:type="paragraph" w:customStyle="1" w:styleId="explicao1">
    <w:name w:val="explicao"/>
    <w:basedOn w:val="Normal"/>
    <w:rsid w:val="0005125E"/>
    <w:pPr>
      <w:autoSpaceDE/>
      <w:autoSpaceDN/>
      <w:spacing w:before="100" w:beforeAutospacing="1" w:after="100" w:afterAutospacing="1"/>
    </w:pPr>
    <w:rPr>
      <w:sz w:val="24"/>
      <w:szCs w:val="24"/>
    </w:rPr>
  </w:style>
  <w:style w:type="character" w:customStyle="1" w:styleId="f51">
    <w:name w:val="f51"/>
    <w:rsid w:val="0005125E"/>
    <w:rPr>
      <w:rFonts w:ascii="Times" w:hAnsi="Times" w:hint="default"/>
      <w:sz w:val="24"/>
      <w:szCs w:val="24"/>
    </w:rPr>
  </w:style>
  <w:style w:type="character" w:customStyle="1" w:styleId="TranscrioChar">
    <w:name w:val="Transcrição Char"/>
    <w:link w:val="Transcrio"/>
    <w:uiPriority w:val="99"/>
    <w:locked/>
    <w:rsid w:val="00BC209E"/>
    <w:rPr>
      <w:rFonts w:ascii="Times New Roman" w:hAnsi="Times New Roman"/>
      <w:color w:val="000000"/>
      <w:sz w:val="24"/>
      <w:szCs w:val="24"/>
      <w:lang w:val="en-US"/>
    </w:rPr>
  </w:style>
  <w:style w:type="paragraph" w:customStyle="1" w:styleId="OJDASBDI-1">
    <w:name w:val="OJ DA SBDI-1"/>
    <w:basedOn w:val="Normal"/>
    <w:qFormat/>
    <w:rsid w:val="00BC209E"/>
    <w:pPr>
      <w:tabs>
        <w:tab w:val="left" w:pos="1453"/>
      </w:tabs>
      <w:autoSpaceDE/>
      <w:autoSpaceDN/>
      <w:spacing w:after="200" w:line="276" w:lineRule="auto"/>
      <w:jc w:val="both"/>
    </w:pPr>
    <w:rPr>
      <w:rFonts w:eastAsia="Calibri"/>
      <w:b/>
      <w:caps/>
      <w:sz w:val="28"/>
      <w:szCs w:val="28"/>
      <w:lang w:eastAsia="en-US"/>
    </w:rPr>
  </w:style>
  <w:style w:type="paragraph" w:customStyle="1" w:styleId="CPCeproposta">
    <w:name w:val="CPC e proposta"/>
    <w:basedOn w:val="Normal"/>
    <w:autoRedefine/>
    <w:qFormat/>
    <w:rsid w:val="00BC209E"/>
    <w:pPr>
      <w:autoSpaceDE/>
      <w:autoSpaceDN/>
      <w:ind w:left="1134"/>
      <w:jc w:val="both"/>
    </w:pPr>
    <w:rPr>
      <w:rFonts w:ascii="Courier New" w:eastAsia="Calibri" w:hAnsi="Courier New" w:cs="Courier New"/>
      <w:b/>
      <w:color w:val="FF0000"/>
      <w:sz w:val="24"/>
      <w:szCs w:val="24"/>
      <w:u w:val="single"/>
      <w:lang w:eastAsia="en-US"/>
    </w:rPr>
  </w:style>
  <w:style w:type="paragraph" w:styleId="PargrafodaLista">
    <w:name w:val="List Paragraph"/>
    <w:basedOn w:val="Normal"/>
    <w:uiPriority w:val="34"/>
    <w:qFormat/>
    <w:rsid w:val="007029CF"/>
    <w:pPr>
      <w:autoSpaceDE/>
      <w:autoSpaceDN/>
      <w:spacing w:line="276" w:lineRule="auto"/>
      <w:ind w:left="720"/>
      <w:contextualSpacing/>
    </w:pPr>
    <w:rPr>
      <w:rFonts w:ascii="Calibri" w:eastAsia="Calibri" w:hAnsi="Calibri"/>
      <w:sz w:val="22"/>
      <w:szCs w:val="22"/>
      <w:lang w:eastAsia="en-US"/>
    </w:rPr>
  </w:style>
  <w:style w:type="character" w:customStyle="1" w:styleId="temaChar1">
    <w:name w:val="tema Char1"/>
    <w:locked/>
    <w:rsid w:val="00A81F5B"/>
    <w:rPr>
      <w:rFonts w:ascii="Times New Roman" w:eastAsia="Calibri" w:hAnsi="Times New Roman" w:cs="Times New Roman"/>
      <w:b/>
      <w:caps/>
      <w:sz w:val="24"/>
      <w:szCs w:val="24"/>
    </w:rPr>
  </w:style>
  <w:style w:type="paragraph" w:customStyle="1" w:styleId="textoenun0">
    <w:name w:val="textoenun"/>
    <w:basedOn w:val="Normal"/>
    <w:rsid w:val="00A81F5B"/>
    <w:pPr>
      <w:autoSpaceDE/>
      <w:autoSpaceDN/>
      <w:spacing w:before="100" w:beforeAutospacing="1" w:after="100" w:afterAutospacing="1"/>
    </w:pPr>
    <w:rPr>
      <w:sz w:val="24"/>
      <w:szCs w:val="24"/>
    </w:rPr>
  </w:style>
  <w:style w:type="paragraph" w:customStyle="1" w:styleId="TemaSDI2">
    <w:name w:val="TemaSDI2"/>
    <w:next w:val="Normal"/>
    <w:uiPriority w:val="99"/>
    <w:rsid w:val="00B55AB4"/>
    <w:pPr>
      <w:keepNext/>
      <w:keepLines/>
      <w:spacing w:before="260"/>
      <w:jc w:val="both"/>
    </w:pPr>
    <w:rPr>
      <w:rFonts w:ascii="Times New Roman" w:hAnsi="Times New Roman"/>
      <w:b/>
      <w:caps/>
      <w:sz w:val="28"/>
      <w:szCs w:val="26"/>
    </w:rPr>
  </w:style>
  <w:style w:type="paragraph" w:customStyle="1" w:styleId="ExplicaoSDI1">
    <w:name w:val="ExplicaçãoSDI1"/>
    <w:next w:val="Normal"/>
    <w:autoRedefine/>
    <w:rsid w:val="00B55AB4"/>
    <w:pPr>
      <w:keepNext/>
      <w:keepLines/>
      <w:spacing w:before="40"/>
      <w:ind w:left="851"/>
      <w:jc w:val="both"/>
    </w:pPr>
    <w:rPr>
      <w:rFonts w:ascii="Times New Roman" w:hAnsi="Times New Roman"/>
      <w:sz w:val="28"/>
      <w:szCs w:val="28"/>
    </w:rPr>
  </w:style>
  <w:style w:type="character" w:customStyle="1" w:styleId="CorpoChar1">
    <w:name w:val="Corpo Char1"/>
    <w:uiPriority w:val="99"/>
    <w:locked/>
    <w:rsid w:val="00971F6D"/>
    <w:rPr>
      <w:rFonts w:ascii="Courier New" w:eastAsia="Times New Roman" w:hAnsi="Courier New" w:cs="Courier New"/>
      <w:color w:val="000000"/>
      <w:sz w:val="24"/>
      <w:szCs w:val="24"/>
      <w:lang w:eastAsia="pt-BR"/>
    </w:rPr>
  </w:style>
  <w:style w:type="table" w:styleId="Tabelacomgrade">
    <w:name w:val="Table Grid"/>
    <w:basedOn w:val="Tabelanormal"/>
    <w:uiPriority w:val="59"/>
    <w:rsid w:val="00A32D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716F3"/>
    <w:pPr>
      <w:autoSpaceDE w:val="0"/>
      <w:autoSpaceDN w:val="0"/>
      <w:adjustRightInd w:val="0"/>
    </w:pPr>
    <w:rPr>
      <w:rFonts w:ascii="Times New Roman" w:eastAsia="Calibri" w:hAnsi="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493279">
      <w:bodyDiv w:val="1"/>
      <w:marLeft w:val="0"/>
      <w:marRight w:val="0"/>
      <w:marTop w:val="0"/>
      <w:marBottom w:val="0"/>
      <w:divBdr>
        <w:top w:val="none" w:sz="0" w:space="0" w:color="auto"/>
        <w:left w:val="none" w:sz="0" w:space="0" w:color="auto"/>
        <w:bottom w:val="none" w:sz="0" w:space="0" w:color="auto"/>
        <w:right w:val="none" w:sz="0" w:space="0" w:color="auto"/>
      </w:divBdr>
    </w:div>
    <w:div w:id="251092764">
      <w:bodyDiv w:val="1"/>
      <w:marLeft w:val="0"/>
      <w:marRight w:val="0"/>
      <w:marTop w:val="0"/>
      <w:marBottom w:val="0"/>
      <w:divBdr>
        <w:top w:val="none" w:sz="0" w:space="0" w:color="auto"/>
        <w:left w:val="none" w:sz="0" w:space="0" w:color="auto"/>
        <w:bottom w:val="none" w:sz="0" w:space="0" w:color="auto"/>
        <w:right w:val="none" w:sz="0" w:space="0" w:color="auto"/>
      </w:divBdr>
    </w:div>
    <w:div w:id="489447207">
      <w:bodyDiv w:val="1"/>
      <w:marLeft w:val="0"/>
      <w:marRight w:val="0"/>
      <w:marTop w:val="0"/>
      <w:marBottom w:val="0"/>
      <w:divBdr>
        <w:top w:val="none" w:sz="0" w:space="0" w:color="auto"/>
        <w:left w:val="none" w:sz="0" w:space="0" w:color="auto"/>
        <w:bottom w:val="none" w:sz="0" w:space="0" w:color="auto"/>
        <w:right w:val="none" w:sz="0" w:space="0" w:color="auto"/>
      </w:divBdr>
    </w:div>
    <w:div w:id="1321731398">
      <w:marLeft w:val="0"/>
      <w:marRight w:val="0"/>
      <w:marTop w:val="0"/>
      <w:marBottom w:val="0"/>
      <w:divBdr>
        <w:top w:val="none" w:sz="0" w:space="0" w:color="auto"/>
        <w:left w:val="none" w:sz="0" w:space="0" w:color="auto"/>
        <w:bottom w:val="none" w:sz="0" w:space="0" w:color="auto"/>
        <w:right w:val="none" w:sz="0" w:space="0" w:color="auto"/>
      </w:divBdr>
    </w:div>
    <w:div w:id="1321731399">
      <w:marLeft w:val="0"/>
      <w:marRight w:val="0"/>
      <w:marTop w:val="0"/>
      <w:marBottom w:val="0"/>
      <w:divBdr>
        <w:top w:val="none" w:sz="0" w:space="0" w:color="auto"/>
        <w:left w:val="none" w:sz="0" w:space="0" w:color="auto"/>
        <w:bottom w:val="none" w:sz="0" w:space="0" w:color="auto"/>
        <w:right w:val="none" w:sz="0" w:space="0" w:color="auto"/>
      </w:divBdr>
    </w:div>
    <w:div w:id="1321731400">
      <w:marLeft w:val="0"/>
      <w:marRight w:val="0"/>
      <w:marTop w:val="0"/>
      <w:marBottom w:val="0"/>
      <w:divBdr>
        <w:top w:val="none" w:sz="0" w:space="0" w:color="auto"/>
        <w:left w:val="none" w:sz="0" w:space="0" w:color="auto"/>
        <w:bottom w:val="none" w:sz="0" w:space="0" w:color="auto"/>
        <w:right w:val="none" w:sz="0" w:space="0" w:color="auto"/>
      </w:divBdr>
    </w:div>
    <w:div w:id="1321731401">
      <w:marLeft w:val="0"/>
      <w:marRight w:val="0"/>
      <w:marTop w:val="0"/>
      <w:marBottom w:val="0"/>
      <w:divBdr>
        <w:top w:val="none" w:sz="0" w:space="0" w:color="auto"/>
        <w:left w:val="none" w:sz="0" w:space="0" w:color="auto"/>
        <w:bottom w:val="none" w:sz="0" w:space="0" w:color="auto"/>
        <w:right w:val="none" w:sz="0" w:space="0" w:color="auto"/>
      </w:divBdr>
    </w:div>
    <w:div w:id="1321731402">
      <w:marLeft w:val="0"/>
      <w:marRight w:val="0"/>
      <w:marTop w:val="0"/>
      <w:marBottom w:val="0"/>
      <w:divBdr>
        <w:top w:val="none" w:sz="0" w:space="0" w:color="auto"/>
        <w:left w:val="none" w:sz="0" w:space="0" w:color="auto"/>
        <w:bottom w:val="none" w:sz="0" w:space="0" w:color="auto"/>
        <w:right w:val="none" w:sz="0" w:space="0" w:color="auto"/>
      </w:divBdr>
    </w:div>
    <w:div w:id="1321731403">
      <w:marLeft w:val="0"/>
      <w:marRight w:val="0"/>
      <w:marTop w:val="0"/>
      <w:marBottom w:val="0"/>
      <w:divBdr>
        <w:top w:val="none" w:sz="0" w:space="0" w:color="auto"/>
        <w:left w:val="none" w:sz="0" w:space="0" w:color="auto"/>
        <w:bottom w:val="none" w:sz="0" w:space="0" w:color="auto"/>
        <w:right w:val="none" w:sz="0" w:space="0" w:color="auto"/>
      </w:divBdr>
    </w:div>
    <w:div w:id="1321731404">
      <w:marLeft w:val="0"/>
      <w:marRight w:val="0"/>
      <w:marTop w:val="0"/>
      <w:marBottom w:val="0"/>
      <w:divBdr>
        <w:top w:val="none" w:sz="0" w:space="0" w:color="auto"/>
        <w:left w:val="none" w:sz="0" w:space="0" w:color="auto"/>
        <w:bottom w:val="none" w:sz="0" w:space="0" w:color="auto"/>
        <w:right w:val="none" w:sz="0" w:space="0" w:color="auto"/>
      </w:divBdr>
    </w:div>
    <w:div w:id="1321731405">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aplicacao4.tst.jus.br/consultaProcessual/consultaTstNumUnica.do?consulta=Consultar&amp;conscsjt=&amp;numeroTst=41900&amp;digitoTst=77&amp;anoTst=2006&amp;orgaoTst=5&amp;tribunalTst=23&amp;varaTst=0004" TargetMode="External"/><Relationship Id="rId18" Type="http://schemas.openxmlformats.org/officeDocument/2006/relationships/hyperlink" Target="http://aplicacao4.tst.jus.br/consultaProcessual/consultaTstNumUnica.do?consulta=Consultar&amp;conscsjt=&amp;numeroTst=941&amp;digitoTst=95&amp;anoTst=2010&amp;orgaoTst=5&amp;tribunalTst=01&amp;varaTst=0017"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aplicacao4.tst.jus.br/consultaProcessual/consultaTstNumUnica.do?consulta=Consultar&amp;conscsjt=&amp;numeroTst=8573&amp;digitoTst=11&amp;anoTst=2011&amp;orgaoTst=5&amp;tribunalTst=04&amp;varaTst=0000" TargetMode="External"/><Relationship Id="rId7" Type="http://schemas.openxmlformats.org/officeDocument/2006/relationships/footnotes" Target="footnotes.xml"/><Relationship Id="rId12" Type="http://schemas.openxmlformats.org/officeDocument/2006/relationships/hyperlink" Target="https://juslaboris.tst.jus.br/handle/20.500.12178/128389?search-result=true&amp;query=&amp;current-scope=&amp;filtertype_0=author&amp;filter_relational_operator_3=notcontains&amp;filtertype_1=title&amp;filter_relational_operator_2=equals&amp;filtertype_2=type&amp;filtertype_3=title&amp;filter_0=Brasil.+Tribunal+Superior+do+Trabalho+%28TST%29.+Coordenadoria+de+Jurisprud%C3%AAncia+%28CJUR%29&amp;filter_2=Peri%C3%B3dico&amp;filter_relational_operator_1=contains&amp;filter_1=Informativo&amp;filter_relational_operator_0=equals&amp;filter_3=N%C3%A3o+Execu%C3%A7%C3%A3o&amp;rpp=10&amp;sort_by=dc.date.issued_dt&amp;order=desc" TargetMode="External"/><Relationship Id="rId17" Type="http://schemas.openxmlformats.org/officeDocument/2006/relationships/hyperlink" Target="http://aplicacao4.tst.jus.br/consultaProcessual/consultaTstNumUnica.do?consulta=Consultar&amp;conscsjt=&amp;numeroTst=3020&amp;digitoTst=79&amp;anoTst=2014&amp;orgaoTst=5&amp;tribunalTst=17&amp;varaTst=0011"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aplicacao4.tst.jus.br/consultaProcessual/consultaTstNumUnica.do?consulta=Consultar&amp;conscsjt=&amp;numeroTst=10248&amp;digitoTst=50&amp;anoTst=2016&amp;orgaoTst=5&amp;tribunalTst=03&amp;varaTst=0165" TargetMode="External"/><Relationship Id="rId20" Type="http://schemas.openxmlformats.org/officeDocument/2006/relationships/hyperlink" Target="http://aplicacao4.tst.jus.br/consultaProcessual/consultaTstNumUnica.do?consulta=Consultar&amp;conscsjt=&amp;numeroTst=101134&amp;digitoTst=62&amp;anoTst=2016&amp;orgaoTst=5&amp;tribunalTst=01&amp;varaTst=000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aplicacao4.tst.jus.br/consultaProcessual/consultaTstNumUnica.do?consulta=Consultar&amp;conscsjt=&amp;numeroTst=332&amp;digitoTst=46&amp;anoTst=2012&amp;orgaoTst=5&amp;tribunalTst=10&amp;varaTst=0000"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aplicacao4.tst.jus.br/consultaProcessual/consultaTstNumUnica.do?consulta=Consultar&amp;conscsjt=&amp;numeroTst=10673&amp;digitoTst=87&amp;anoTst=2014&amp;orgaoTst=5&amp;tribunalTst=15&amp;varaTst=0141"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http://aplicacao4.tst.jus.br/consultaProcessual/consultaTstNumUnica.do?consulta=Consultar&amp;conscsjt=&amp;numeroTst=5902&amp;digitoTst=33&amp;anoTst=2016&amp;orgaoTst=5&amp;tribunalTst=15&amp;varaTst=0000" TargetMode="External"/><Relationship Id="rId19" Type="http://schemas.openxmlformats.org/officeDocument/2006/relationships/hyperlink" Target="http://aplicacao4.tst.jus.br/consultaProcessual/consultaTstNumUnica.do?consulta=Consultar&amp;conscsjt=&amp;numeroTst=736&amp;digitoTst=21&amp;anoTst=2012&amp;orgaoTst=5&amp;tribunalTst=09&amp;varaTst=0002" TargetMode="External"/><Relationship Id="rId4" Type="http://schemas.microsoft.com/office/2007/relationships/stylesWithEffects" Target="stylesWithEffects.xml"/><Relationship Id="rId9" Type="http://schemas.openxmlformats.org/officeDocument/2006/relationships/hyperlink" Target="http://aplicacao4.tst.jus.br/consultaProcessual/consultaTstNumUnica.do?consulta=Consultar&amp;conscsjt=&amp;numeroTst=21900&amp;digitoTst=13&amp;anoTst=2011&amp;orgaoTst=5&amp;tribunalTst=21&amp;varaTst=0012" TargetMode="External"/><Relationship Id="rId14" Type="http://schemas.openxmlformats.org/officeDocument/2006/relationships/hyperlink" Target="http://aplicacao4.tst.jus.br/consultaProcessual/consultaTstNumUnica.do?consulta=Consultar&amp;conscsjt=&amp;numeroTst=11693&amp;digitoTst=79&amp;anoTst=2015&amp;orgaoTst=5&amp;tribunalTst=18&amp;varaTst=0017" TargetMode="External"/><Relationship Id="rId22" Type="http://schemas.openxmlformats.org/officeDocument/2006/relationships/hyperlink" Target="http://aplicacao4.tst.jus.br/consultaProcessual/consultaTstNumUnica.do?consulta=Consultar&amp;conscsjt=&amp;numeroTst=884&amp;digitoTst=55&amp;anoTst=2015&amp;orgaoTst=5&amp;tribunalTst=01&amp;varaTst=0000" TargetMode="Externa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859BC1-5C4D-4546-A667-952CF2DEED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3629</Words>
  <Characters>19601</Characters>
  <Application>Microsoft Office Word</Application>
  <DocSecurity>4</DocSecurity>
  <Lines>163</Lines>
  <Paragraphs>46</Paragraphs>
  <ScaleCrop>false</ScaleCrop>
  <HeadingPairs>
    <vt:vector size="2" baseType="variant">
      <vt:variant>
        <vt:lpstr>Título</vt:lpstr>
      </vt:variant>
      <vt:variant>
        <vt:i4>1</vt:i4>
      </vt:variant>
    </vt:vector>
  </HeadingPairs>
  <TitlesOfParts>
    <vt:vector size="1" baseType="lpstr">
      <vt:lpstr>Este Informativo, elaborado a partir de notas tomadas nas sessões de julgamentos, contém resumos não-oficiais de decisões proferidas pelo Tribunal</vt:lpstr>
    </vt:vector>
  </TitlesOfParts>
  <Company>Tribunal Superior do Trabalho</Company>
  <LinksUpToDate>false</LinksUpToDate>
  <CharactersWithSpaces>23184</CharactersWithSpaces>
  <SharedDoc>false</SharedDoc>
  <HLinks>
    <vt:vector size="84" baseType="variant">
      <vt:variant>
        <vt:i4>5636102</vt:i4>
      </vt:variant>
      <vt:variant>
        <vt:i4>39</vt:i4>
      </vt:variant>
      <vt:variant>
        <vt:i4>0</vt:i4>
      </vt:variant>
      <vt:variant>
        <vt:i4>5</vt:i4>
      </vt:variant>
      <vt:variant>
        <vt:lpwstr>http://aplicacao4.tst.jus.br/consultaProcessual/consultaTstNumUnica.do?consulta=Consultar&amp;conscsjt=&amp;numeroTst=884&amp;digitoTst=55&amp;anoTst=2015&amp;orgaoTst=5&amp;tribunalTst=01&amp;varaTst=0000</vt:lpwstr>
      </vt:variant>
      <vt:variant>
        <vt:lpwstr/>
      </vt:variant>
      <vt:variant>
        <vt:i4>2424953</vt:i4>
      </vt:variant>
      <vt:variant>
        <vt:i4>36</vt:i4>
      </vt:variant>
      <vt:variant>
        <vt:i4>0</vt:i4>
      </vt:variant>
      <vt:variant>
        <vt:i4>5</vt:i4>
      </vt:variant>
      <vt:variant>
        <vt:lpwstr>http://aplicacao4.tst.jus.br/consultaProcessual/consultaTstNumUnica.do?consulta=Consultar&amp;conscsjt=&amp;numeroTst=8573&amp;digitoTst=11&amp;anoTst=2011&amp;orgaoTst=5&amp;tribunalTst=04&amp;varaTst=0000</vt:lpwstr>
      </vt:variant>
      <vt:variant>
        <vt:lpwstr/>
      </vt:variant>
      <vt:variant>
        <vt:i4>1114180</vt:i4>
      </vt:variant>
      <vt:variant>
        <vt:i4>33</vt:i4>
      </vt:variant>
      <vt:variant>
        <vt:i4>0</vt:i4>
      </vt:variant>
      <vt:variant>
        <vt:i4>5</vt:i4>
      </vt:variant>
      <vt:variant>
        <vt:lpwstr>http://aplicacao4.tst.jus.br/consultaProcessual/consultaTstNumUnica.do?consulta=Consultar&amp;conscsjt=&amp;numeroTst=101134&amp;digitoTst=62&amp;anoTst=2016&amp;orgaoTst=5&amp;tribunalTst=01&amp;varaTst=0000</vt:lpwstr>
      </vt:variant>
      <vt:variant>
        <vt:lpwstr/>
      </vt:variant>
      <vt:variant>
        <vt:i4>5636108</vt:i4>
      </vt:variant>
      <vt:variant>
        <vt:i4>30</vt:i4>
      </vt:variant>
      <vt:variant>
        <vt:i4>0</vt:i4>
      </vt:variant>
      <vt:variant>
        <vt:i4>5</vt:i4>
      </vt:variant>
      <vt:variant>
        <vt:lpwstr>http://aplicacao4.tst.jus.br/consultaProcessual/consultaTstNumUnica.do?consulta=Consultar&amp;conscsjt=&amp;numeroTst=736&amp;digitoTst=21&amp;anoTst=2012&amp;orgaoTst=5&amp;tribunalTst=09&amp;varaTst=0002</vt:lpwstr>
      </vt:variant>
      <vt:variant>
        <vt:lpwstr/>
      </vt:variant>
      <vt:variant>
        <vt:i4>6160398</vt:i4>
      </vt:variant>
      <vt:variant>
        <vt:i4>27</vt:i4>
      </vt:variant>
      <vt:variant>
        <vt:i4>0</vt:i4>
      </vt:variant>
      <vt:variant>
        <vt:i4>5</vt:i4>
      </vt:variant>
      <vt:variant>
        <vt:lpwstr>http://aplicacao4.tst.jus.br/consultaProcessual/consultaTstNumUnica.do?consulta=Consultar&amp;conscsjt=&amp;numeroTst=941&amp;digitoTst=95&amp;anoTst=2010&amp;orgaoTst=5&amp;tribunalTst=01&amp;varaTst=0017</vt:lpwstr>
      </vt:variant>
      <vt:variant>
        <vt:lpwstr/>
      </vt:variant>
      <vt:variant>
        <vt:i4>2424952</vt:i4>
      </vt:variant>
      <vt:variant>
        <vt:i4>24</vt:i4>
      </vt:variant>
      <vt:variant>
        <vt:i4>0</vt:i4>
      </vt:variant>
      <vt:variant>
        <vt:i4>5</vt:i4>
      </vt:variant>
      <vt:variant>
        <vt:lpwstr>http://aplicacao4.tst.jus.br/consultaProcessual/consultaTstNumUnica.do?consulta=Consultar&amp;conscsjt=&amp;numeroTst=3020&amp;digitoTst=79&amp;anoTst=2014&amp;orgaoTst=5&amp;tribunalTst=17&amp;varaTst=0011</vt:lpwstr>
      </vt:variant>
      <vt:variant>
        <vt:lpwstr/>
      </vt:variant>
      <vt:variant>
        <vt:i4>6815792</vt:i4>
      </vt:variant>
      <vt:variant>
        <vt:i4>21</vt:i4>
      </vt:variant>
      <vt:variant>
        <vt:i4>0</vt:i4>
      </vt:variant>
      <vt:variant>
        <vt:i4>5</vt:i4>
      </vt:variant>
      <vt:variant>
        <vt:lpwstr>http://aplicacao4.tst.jus.br/consultaProcessual/consultaTstNumUnica.do?consulta=Consultar&amp;conscsjt=&amp;numeroTst=10248&amp;digitoTst=50&amp;anoTst=2016&amp;orgaoTst=5&amp;tribunalTst=03&amp;varaTst=0165</vt:lpwstr>
      </vt:variant>
      <vt:variant>
        <vt:lpwstr/>
      </vt:variant>
      <vt:variant>
        <vt:i4>6946867</vt:i4>
      </vt:variant>
      <vt:variant>
        <vt:i4>18</vt:i4>
      </vt:variant>
      <vt:variant>
        <vt:i4>0</vt:i4>
      </vt:variant>
      <vt:variant>
        <vt:i4>5</vt:i4>
      </vt:variant>
      <vt:variant>
        <vt:lpwstr>http://aplicacao4.tst.jus.br/consultaProcessual/consultaTstNumUnica.do?consulta=Consultar&amp;conscsjt=&amp;numeroTst=10673&amp;digitoTst=87&amp;anoTst=2014&amp;orgaoTst=5&amp;tribunalTst=15&amp;varaTst=0141</vt:lpwstr>
      </vt:variant>
      <vt:variant>
        <vt:lpwstr/>
      </vt:variant>
      <vt:variant>
        <vt:i4>6422589</vt:i4>
      </vt:variant>
      <vt:variant>
        <vt:i4>15</vt:i4>
      </vt:variant>
      <vt:variant>
        <vt:i4>0</vt:i4>
      </vt:variant>
      <vt:variant>
        <vt:i4>5</vt:i4>
      </vt:variant>
      <vt:variant>
        <vt:lpwstr>http://aplicacao4.tst.jus.br/consultaProcessual/consultaTstNumUnica.do?consulta=Consultar&amp;conscsjt=&amp;numeroTst=11693&amp;digitoTst=79&amp;anoTst=2015&amp;orgaoTst=5&amp;tribunalTst=18&amp;varaTst=0017</vt:lpwstr>
      </vt:variant>
      <vt:variant>
        <vt:lpwstr/>
      </vt:variant>
      <vt:variant>
        <vt:i4>7077942</vt:i4>
      </vt:variant>
      <vt:variant>
        <vt:i4>12</vt:i4>
      </vt:variant>
      <vt:variant>
        <vt:i4>0</vt:i4>
      </vt:variant>
      <vt:variant>
        <vt:i4>5</vt:i4>
      </vt:variant>
      <vt:variant>
        <vt:lpwstr>http://aplicacao4.tst.jus.br/consultaProcessual/consultaTstNumUnica.do?consulta=Consultar&amp;conscsjt=&amp;numeroTst=41900&amp;digitoTst=77&amp;anoTst=2006&amp;orgaoTst=5&amp;tribunalTst=23&amp;varaTst=0004</vt:lpwstr>
      </vt:variant>
      <vt:variant>
        <vt:lpwstr/>
      </vt:variant>
      <vt:variant>
        <vt:i4>786436</vt:i4>
      </vt:variant>
      <vt:variant>
        <vt:i4>9</vt:i4>
      </vt:variant>
      <vt:variant>
        <vt:i4>0</vt:i4>
      </vt:variant>
      <vt:variant>
        <vt:i4>5</vt:i4>
      </vt:variant>
      <vt:variant>
        <vt:lpwstr>https://juslaboris.tst.jus.br/handle/20.500.12178/128389?search-result=true&amp;query=&amp;current-scope=&amp;filtertype_0=author&amp;filter_relational_operator_3=notcontains&amp;filtertype_1=title&amp;filter_relational_operator_2=equals&amp;filtertype_2=type&amp;filtertype_3=title&amp;filter_0=Brasil.+Tribunal+Superior+do+Trabalho+%28TST%29.+Coordenadoria+de+Jurisprud%C3%AAncia+%28CJUR%29&amp;filter_2=Peri%C3%B3dico&amp;filter_relational_operator_1=contains&amp;filter_1=Informativo&amp;filter_relational_operator_0=equals&amp;filter_3=N%C3%A3o+Execu%C3%A7%C3%A3o&amp;rpp=10&amp;sort_by=dc.date.issued_dt&amp;order=desc</vt:lpwstr>
      </vt:variant>
      <vt:variant>
        <vt:lpwstr/>
      </vt:variant>
      <vt:variant>
        <vt:i4>5767179</vt:i4>
      </vt:variant>
      <vt:variant>
        <vt:i4>6</vt:i4>
      </vt:variant>
      <vt:variant>
        <vt:i4>0</vt:i4>
      </vt:variant>
      <vt:variant>
        <vt:i4>5</vt:i4>
      </vt:variant>
      <vt:variant>
        <vt:lpwstr>http://aplicacao4.tst.jus.br/consultaProcessual/consultaTstNumUnica.do?consulta=Consultar&amp;conscsjt=&amp;numeroTst=332&amp;digitoTst=46&amp;anoTst=2012&amp;orgaoTst=5&amp;tribunalTst=10&amp;varaTst=0000</vt:lpwstr>
      </vt:variant>
      <vt:variant>
        <vt:lpwstr/>
      </vt:variant>
      <vt:variant>
        <vt:i4>2818167</vt:i4>
      </vt:variant>
      <vt:variant>
        <vt:i4>3</vt:i4>
      </vt:variant>
      <vt:variant>
        <vt:i4>0</vt:i4>
      </vt:variant>
      <vt:variant>
        <vt:i4>5</vt:i4>
      </vt:variant>
      <vt:variant>
        <vt:lpwstr>http://aplicacao4.tst.jus.br/consultaProcessual/consultaTstNumUnica.do?consulta=Consultar&amp;conscsjt=&amp;numeroTst=5902&amp;digitoTst=33&amp;anoTst=2016&amp;orgaoTst=5&amp;tribunalTst=15&amp;varaTst=0000</vt:lpwstr>
      </vt:variant>
      <vt:variant>
        <vt:lpwstr/>
      </vt:variant>
      <vt:variant>
        <vt:i4>7077943</vt:i4>
      </vt:variant>
      <vt:variant>
        <vt:i4>0</vt:i4>
      </vt:variant>
      <vt:variant>
        <vt:i4>0</vt:i4>
      </vt:variant>
      <vt:variant>
        <vt:i4>5</vt:i4>
      </vt:variant>
      <vt:variant>
        <vt:lpwstr>http://aplicacao4.tst.jus.br/consultaProcessual/consultaTstNumUnica.do?consulta=Consultar&amp;conscsjt=&amp;numeroTst=21900&amp;digitoTst=13&amp;anoTst=2011&amp;orgaoTst=5&amp;tribunalTst=21&amp;varaTst=0012</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Este Informativo, elaborado a partir de notas tomadas nas sessões de julgamentos, contém resumos não-oficiais de decisões proferidas pelo Tribunal</dc:title>
  <dc:creator>C037163</dc:creator>
  <cp:lastModifiedBy>C050719</cp:lastModifiedBy>
  <cp:revision>2</cp:revision>
  <cp:lastPrinted>2017-03-06T19:28:00Z</cp:lastPrinted>
  <dcterms:created xsi:type="dcterms:W3CDTF">2018-06-28T21:33:00Z</dcterms:created>
  <dcterms:modified xsi:type="dcterms:W3CDTF">2018-06-28T21:33:00Z</dcterms:modified>
</cp:coreProperties>
</file>