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CB7D7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  <w:tcBorders>
              <w:top w:val="single" w:sz="4" w:space="0" w:color="auto"/>
            </w:tcBorders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730CC7" w:rsidRPr="00E531C9" w:rsidRDefault="00730CC7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95741E" w:rsidRPr="00695BB0" w:rsidRDefault="00207D1D" w:rsidP="0095741E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BB0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 ESPECIAL</w:t>
      </w:r>
    </w:p>
    <w:p w:rsidR="0095741E" w:rsidRPr="0095741E" w:rsidRDefault="0095741E" w:rsidP="0095741E">
      <w:pPr>
        <w:jc w:val="both"/>
        <w:rPr>
          <w:b/>
          <w:i/>
        </w:rPr>
      </w:pPr>
    </w:p>
    <w:p w:rsidR="00207D1D" w:rsidRPr="00207D1D" w:rsidRDefault="00207D1D" w:rsidP="00207D1D">
      <w:pPr>
        <w:autoSpaceDE/>
        <w:autoSpaceDN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207D1D">
        <w:rPr>
          <w:rFonts w:eastAsia="Calibri"/>
          <w:b/>
          <w:i/>
          <w:sz w:val="24"/>
          <w:szCs w:val="24"/>
          <w:lang w:eastAsia="en-US"/>
        </w:rPr>
        <w:t xml:space="preserve">Magistrado. Ajuda de custo. Despesas de transporte e mudança de dependentes. Deslocamento para localidade diversa daquela para a qual o magistrado foi removido. Ausência de previsão legal. </w:t>
      </w:r>
    </w:p>
    <w:p w:rsidR="00207D1D" w:rsidRPr="00207D1D" w:rsidRDefault="00207D1D" w:rsidP="00207D1D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207D1D">
        <w:rPr>
          <w:rFonts w:eastAsia="Calibri"/>
          <w:sz w:val="24"/>
          <w:szCs w:val="24"/>
          <w:lang w:eastAsia="en-US"/>
        </w:rPr>
        <w:t xml:space="preserve">As normas que regem a concessão de ajuda de custo para atender às despesas de mudança e transporte do magistrado e de seus dependentes (art. 65, I, da Loman, Decreto nº 4.004/2001, arts. 53 a 57 da Lei nº 8.112/90 e Resolução CSJT nº 112/2012) vinculam esse direito à mudança de domicílio para a nova sede (ou nova localidade de exercício), de forma que não há, na legislação, nenhuma previsão de concessão de ajuda de custo para cobrir despesas com mudança e transporte dos dependentes do magistrado para localidade diversa daquela para a qual fora removido. Sob esse entendimento, o Órgão Especial, por maioria, deu provimento ao recurso ordinário da União para indeferir a segurança pleiteada por magistrada que teve negado administrativamente o pedido de pagamento de duas cotas de ajuda de custo referentes à mudança de domicílio de seu cônjuge e de sua filha menor para cidade distinta daquela em que passou a residir em razão de remoção. Vencida a Ministra Maria Helena Mallmann. </w:t>
      </w:r>
      <w:hyperlink r:id="rId9" w:history="1">
        <w:r w:rsidRPr="00207D1D">
          <w:rPr>
            <w:rStyle w:val="Hyperlink"/>
            <w:rFonts w:eastAsia="Calibri"/>
            <w:sz w:val="24"/>
            <w:szCs w:val="24"/>
            <w:lang w:eastAsia="en-US"/>
          </w:rPr>
          <w:t>TST-RO-102-63.2015.5.22.0000</w:t>
        </w:r>
      </w:hyperlink>
      <w:r w:rsidRPr="00207D1D">
        <w:rPr>
          <w:rFonts w:eastAsia="Calibri"/>
          <w:sz w:val="24"/>
          <w:szCs w:val="24"/>
          <w:u w:val="single"/>
          <w:lang w:eastAsia="en-US"/>
        </w:rPr>
        <w:t xml:space="preserve">, Órgão Especial, rel. Min. Brito Pereira, 2.4.2018 </w:t>
      </w:r>
    </w:p>
    <w:p w:rsidR="00A32D95" w:rsidRPr="00EC04A5" w:rsidRDefault="00A32D95" w:rsidP="00A32D95">
      <w:pPr>
        <w:autoSpaceDE/>
        <w:autoSpaceDN/>
        <w:jc w:val="both"/>
        <w:rPr>
          <w:rFonts w:eastAsia="Calibri"/>
          <w:u w:val="single"/>
          <w:lang w:eastAsia="en-US"/>
        </w:rPr>
      </w:pPr>
    </w:p>
    <w:p w:rsidR="00EC04A5" w:rsidRPr="00695BB0" w:rsidRDefault="00EC04A5" w:rsidP="00EC04A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BB0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 ESPECIALIZADA EM DISSÍDIOS INDIVIDUAIS</w:t>
      </w:r>
    </w:p>
    <w:p w:rsidR="00623D44" w:rsidRPr="00E716F3" w:rsidRDefault="00623D44" w:rsidP="0095741E">
      <w:pPr>
        <w:jc w:val="both"/>
        <w:rPr>
          <w:u w:val="single"/>
        </w:rPr>
      </w:pPr>
    </w:p>
    <w:p w:rsidR="00207D1D" w:rsidRDefault="00207D1D" w:rsidP="00207D1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Ação civil pública. Multa coercitiva. </w:t>
      </w:r>
      <w:r w:rsidRPr="00DD5B5D">
        <w:rPr>
          <w:i/>
          <w:sz w:val="24"/>
          <w:szCs w:val="24"/>
        </w:rPr>
        <w:t>Astreinte</w:t>
      </w:r>
      <w:r w:rsidRPr="00292C9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Limitação temporal. Impossibilidade. </w:t>
      </w:r>
    </w:p>
    <w:p w:rsidR="00207D1D" w:rsidRDefault="00207D1D" w:rsidP="00207D1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SBDI-I, por maioria, conheceu de embargos, por divergência jurisprudencial, e, no mérito, deu-lhes provimento para restabelecer a sentença proferida em ação civil pública na parte em que fixou </w:t>
      </w:r>
      <w:r w:rsidRPr="00DD5A42">
        <w:rPr>
          <w:i/>
          <w:sz w:val="24"/>
          <w:szCs w:val="24"/>
        </w:rPr>
        <w:t>astreinte</w:t>
      </w:r>
      <w:r>
        <w:rPr>
          <w:sz w:val="24"/>
          <w:szCs w:val="24"/>
        </w:rPr>
        <w:t xml:space="preserve"> sem a limitação temporal de sessenta dias, caso haja descumprimento da obrigação de fazer reconhecida em juízo. </w:t>
      </w:r>
      <w:r w:rsidRPr="003F47F1">
        <w:rPr>
          <w:sz w:val="24"/>
          <w:szCs w:val="24"/>
        </w:rPr>
        <w:t>A cominação de multa coercitiva pelo descumprimento da obrigação de fazer tem como propósito compelir o devedor a realizar a prestação devida</w:t>
      </w:r>
      <w:r>
        <w:rPr>
          <w:sz w:val="24"/>
          <w:szCs w:val="24"/>
        </w:rPr>
        <w:t xml:space="preserve">, configurando-se </w:t>
      </w:r>
      <w:r w:rsidRPr="003F47F1">
        <w:rPr>
          <w:sz w:val="24"/>
          <w:szCs w:val="24"/>
        </w:rPr>
        <w:t xml:space="preserve">meio indireto de execução. </w:t>
      </w:r>
      <w:r>
        <w:rPr>
          <w:sz w:val="24"/>
          <w:szCs w:val="24"/>
        </w:rPr>
        <w:t xml:space="preserve">Nos termos do art. 537 do CPC de 2015, a </w:t>
      </w:r>
      <w:r w:rsidRPr="00F17131">
        <w:rPr>
          <w:i/>
          <w:sz w:val="24"/>
          <w:szCs w:val="24"/>
        </w:rPr>
        <w:t>astreinte</w:t>
      </w:r>
      <w:r>
        <w:rPr>
          <w:sz w:val="24"/>
          <w:szCs w:val="24"/>
        </w:rPr>
        <w:t xml:space="preserve"> pode ser concedida tanto na fase de conhecimento quanto na fase de execução, sendo possível, também, aumentar-lhe ou reduzir-lhe o valor, a qualquer momento, desde que necessário à efetividade da determinação judicial. Assim, não se pode admitir que o juiz da fase de conhecimento fixe um limite temporal para a aplicação da multa coercitiva, sob pena de retirar do Juízo da execução, responsável pelo cumprimento do julgado, instrumento imprescindível à efetividade da determinação judicial, e de esvaziamento do disposto no § 4º do art. 537 do CPC de 2015, no que determina a incidência da multa enquanto não cumprida a decisão que a tiver cominado. No caso concreto, a sentença julgou parcialmente procedente a ação civil pública ajuizada pelo Ministério Público do Trabalho contra o Município de Bodoquena/MS para estabelecer a obrigação de fazer, de natureza continuada, consistente no fornecimento de Equipamento de Proteção Individual – EPI, treinamento adequado, água potável e veículo apropriado à coleta de lixo aos trabalhadores do serviço público de limpeza urbana municipal, sob pena de multa diária em caso de descumprimento. Todavia, o acórdão do Tribunal Regional, mantido pelo acórdão turmário, julgou parcialmente procedente o pedido </w:t>
      </w:r>
      <w:r w:rsidRPr="00E13191">
        <w:rPr>
          <w:sz w:val="24"/>
          <w:szCs w:val="24"/>
        </w:rPr>
        <w:t xml:space="preserve">para reduzir o valor da multa aplicada e limitá-la ao período de sessenta dias. </w:t>
      </w:r>
      <w:r>
        <w:rPr>
          <w:sz w:val="24"/>
          <w:szCs w:val="24"/>
        </w:rPr>
        <w:t xml:space="preserve">Vencidos os Ministros Maria Cristina Irigoyen Peduzzi, Brito Pereira, Márcio Eurico Vitral Amaro e Breno Medeiros. </w:t>
      </w:r>
      <w:hyperlink r:id="rId10" w:history="1">
        <w:r w:rsidRPr="00207D1D">
          <w:rPr>
            <w:rStyle w:val="Hyperlink"/>
            <w:sz w:val="24"/>
            <w:szCs w:val="24"/>
          </w:rPr>
          <w:t>TST-E-ED-RR-747-09.2013.5.24.0031</w:t>
        </w:r>
      </w:hyperlink>
      <w:r w:rsidRPr="00DD5B5D">
        <w:rPr>
          <w:sz w:val="24"/>
          <w:szCs w:val="24"/>
          <w:u w:val="single"/>
        </w:rPr>
        <w:t>, SBDI-I, rel. Min.</w:t>
      </w:r>
      <w:r w:rsidRPr="00DD5B5D">
        <w:rPr>
          <w:u w:val="single"/>
        </w:rPr>
        <w:t xml:space="preserve"> </w:t>
      </w:r>
      <w:r w:rsidRPr="00DD5B5D">
        <w:rPr>
          <w:sz w:val="24"/>
          <w:szCs w:val="24"/>
          <w:u w:val="single"/>
        </w:rPr>
        <w:t>Augusto César Leite de Carvalho, 5.4.2018</w:t>
      </w:r>
    </w:p>
    <w:p w:rsidR="00E716F3" w:rsidRPr="00207D1D" w:rsidRDefault="00E716F3" w:rsidP="00623D44">
      <w:pPr>
        <w:jc w:val="both"/>
      </w:pPr>
    </w:p>
    <w:p w:rsidR="00207D1D" w:rsidRPr="00207D1D" w:rsidRDefault="00207D1D" w:rsidP="00207D1D">
      <w:pPr>
        <w:autoSpaceDE/>
        <w:autoSpaceDN/>
        <w:jc w:val="both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207D1D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Ação civil pública. Obrigação de fazer. Cumprimento de normas relativas à jornada de trabalho. Ajustamento da conduta após o ajuizamento da ação. Tutela inibitória. Manutenção. </w:t>
      </w:r>
    </w:p>
    <w:p w:rsidR="00207D1D" w:rsidRPr="00207D1D" w:rsidRDefault="00207D1D" w:rsidP="00207D1D">
      <w:pPr>
        <w:autoSpaceDE/>
        <w:autoSpaceDN/>
        <w:jc w:val="both"/>
        <w:rPr>
          <w:rFonts w:eastAsia="Calibri"/>
          <w:sz w:val="24"/>
          <w:szCs w:val="24"/>
          <w:u w:val="single"/>
          <w:lang w:eastAsia="en-US"/>
        </w:rPr>
      </w:pPr>
      <w:r w:rsidRPr="00207D1D">
        <w:rPr>
          <w:rFonts w:eastAsia="Calibri"/>
          <w:sz w:val="24"/>
          <w:szCs w:val="24"/>
          <w:lang w:eastAsia="en-US"/>
        </w:rPr>
        <w:t xml:space="preserve">Deve ser mantida a tutela inibitória concedida pelo descumprimento das normas relativas à jornada de trabalho, ainda que constatada a posterior regularização da situação no curso da ação civil pública. A conduta da ré de ajustar seu procedimento às normas referidas não afasta o interesse processual do Ministério Público do Trabalho de formular tutela inibitória para prevenir a futura lesão de direitos fundamentais trabalhistas. É evidente a necessidade de se admitir a tutela de natureza preventiva, destinada a inibir a repetição pela empresa ré de ato contrário ao direito ao meio ambiente de trabalho equilibrado, seguro e saudável, também no que tange à jornada de trabalho e aos respectivos intervalos para descanso, sob pena de se admitir que as normas que proclamam esse direito ou objetivam protegê-lo não teriam nenhuma significação prática, pois poderiam ser violadas a qualquer momento, restando somente o ressarcimento do dano causado. Sob esse fundamento, a SBDI-I, por unanimidade, conheceu dos embargos, no tópico, por divergência jurisprudencial, e, no mérito, negou-lhes provimento, mantendo incólume a decisão turmária mediante a qual não se conheceu do recurso de revista interposto pela ré. </w:t>
      </w:r>
      <w:hyperlink r:id="rId11" w:history="1">
        <w:r w:rsidRPr="00207D1D">
          <w:rPr>
            <w:rStyle w:val="Hyperlink"/>
            <w:rFonts w:eastAsia="Calibri"/>
            <w:sz w:val="24"/>
            <w:szCs w:val="24"/>
            <w:lang w:eastAsia="en-US"/>
          </w:rPr>
          <w:t>TST-E-ED-RR-43300-54.2002.5.03.0027</w:t>
        </w:r>
      </w:hyperlink>
      <w:r w:rsidRPr="00207D1D">
        <w:rPr>
          <w:rFonts w:eastAsia="Calibri"/>
          <w:sz w:val="24"/>
          <w:szCs w:val="24"/>
          <w:u w:val="single"/>
          <w:lang w:eastAsia="en-US"/>
        </w:rPr>
        <w:t>, SBDI-I, rel. Min. José Roberto Freire Pimenta, 5.4.2018.</w:t>
      </w:r>
      <w:r w:rsidRPr="00207D1D">
        <w:rPr>
          <w:rFonts w:eastAsia="Calibri"/>
          <w:sz w:val="24"/>
          <w:szCs w:val="24"/>
          <w:lang w:eastAsia="en-US"/>
        </w:rPr>
        <w:t xml:space="preserve"> </w:t>
      </w:r>
      <w:r w:rsidRPr="00207D1D">
        <w:rPr>
          <w:rFonts w:eastAsia="Calibri"/>
          <w:sz w:val="22"/>
          <w:szCs w:val="22"/>
          <w:lang w:eastAsia="en-US"/>
        </w:rPr>
        <w:t>(*</w:t>
      </w:r>
      <w:hyperlink r:id="rId12" w:history="1">
        <w:r w:rsidRPr="00207D1D">
          <w:rPr>
            <w:rFonts w:eastAsia="Calibri"/>
            <w:color w:val="0000FF"/>
            <w:sz w:val="22"/>
            <w:szCs w:val="22"/>
            <w:u w:val="single"/>
            <w:lang w:eastAsia="en-US"/>
          </w:rPr>
          <w:t>Cf. Informativo nº 82</w:t>
        </w:r>
      </w:hyperlink>
      <w:r w:rsidRPr="00207D1D">
        <w:rPr>
          <w:rFonts w:eastAsia="Calibri"/>
          <w:sz w:val="22"/>
          <w:szCs w:val="22"/>
          <w:lang w:eastAsia="en-US"/>
        </w:rPr>
        <w:t>)</w:t>
      </w:r>
    </w:p>
    <w:p w:rsidR="00207D1D" w:rsidRPr="00207D1D" w:rsidRDefault="00207D1D" w:rsidP="00623D44">
      <w:pPr>
        <w:jc w:val="both"/>
      </w:pPr>
    </w:p>
    <w:p w:rsidR="00207D1D" w:rsidRPr="00207D1D" w:rsidRDefault="00207D1D" w:rsidP="00207D1D">
      <w:pPr>
        <w:autoSpaceDE/>
        <w:autoSpaceDN/>
        <w:jc w:val="both"/>
        <w:rPr>
          <w:rFonts w:ascii="Times" w:eastAsia="Calibri" w:hAnsi="Times"/>
          <w:b/>
          <w:bCs/>
          <w:i/>
          <w:iCs/>
          <w:sz w:val="24"/>
          <w:szCs w:val="24"/>
          <w:lang w:eastAsia="en-US"/>
        </w:rPr>
      </w:pPr>
      <w:r w:rsidRPr="00207D1D">
        <w:rPr>
          <w:rFonts w:ascii="Times" w:eastAsia="Calibri" w:hAnsi="Times"/>
          <w:b/>
          <w:bCs/>
          <w:i/>
          <w:iCs/>
          <w:sz w:val="24"/>
          <w:szCs w:val="24"/>
          <w:lang w:eastAsia="en-US"/>
        </w:rPr>
        <w:t xml:space="preserve">Contrato de estágio. Lei nº 11.788/2008. Não incidência aos contratos em curso firmados sob a égide da Lei nº 6.494/1977. </w:t>
      </w:r>
    </w:p>
    <w:p w:rsidR="00207D1D" w:rsidRPr="00207D1D" w:rsidRDefault="00207D1D" w:rsidP="00207D1D">
      <w:pPr>
        <w:autoSpaceDE/>
        <w:autoSpaceDN/>
        <w:jc w:val="both"/>
        <w:rPr>
          <w:rFonts w:ascii="Times" w:eastAsia="Calibri" w:hAnsi="Times"/>
          <w:bCs/>
          <w:iCs/>
          <w:sz w:val="24"/>
          <w:szCs w:val="24"/>
          <w:lang w:eastAsia="en-US"/>
        </w:rPr>
      </w:pPr>
      <w:r w:rsidRPr="00207D1D">
        <w:rPr>
          <w:rFonts w:ascii="Times" w:eastAsia="Calibri" w:hAnsi="Times"/>
          <w:bCs/>
          <w:iCs/>
          <w:sz w:val="24"/>
          <w:szCs w:val="24"/>
          <w:lang w:eastAsia="en-US"/>
        </w:rPr>
        <w:t xml:space="preserve">Com base no art. 5º, XXXVI, da CF e no art. 6º da LINDB, a Lei nº 11.788/2008 não se aplica aos contratos de estágio que, embora estivessem em execução quando de sua entrada em vigor, foram firmados sob a égide da Lei nº 6.494/1977. Para que a lei retroagisse, seria necessário haver disposição expressa nesse sentido. Ocorre que, ao contrário, a nova Lei do Estágio limita sua incidência apenas à prorrogação dos contratos em curso (art. 18), mantendo-se, portanto, a aplicação da Lei nº 6.494/1977 aos ajustes entabulados durante a sua vigência. </w:t>
      </w:r>
      <w:r w:rsidRPr="00207D1D">
        <w:rPr>
          <w:rFonts w:eastAsia="Calibri"/>
          <w:sz w:val="24"/>
          <w:szCs w:val="24"/>
          <w:lang w:eastAsia="en-US"/>
        </w:rPr>
        <w:t xml:space="preserve">Sob esses fundamentos, a SBDI-I, por unanimidade, conheceu dos embargos, por divergência jurisprudencial, e, no mérito, deu-lhes provimento para, restabelecendo a sentença, julgar improcedente a reclamação trabalhista. </w:t>
      </w:r>
      <w:hyperlink r:id="rId13" w:history="1">
        <w:r w:rsidRPr="00207D1D">
          <w:rPr>
            <w:rFonts w:eastAsia="Calibri"/>
            <w:color w:val="0000FF"/>
            <w:sz w:val="24"/>
            <w:szCs w:val="24"/>
            <w:u w:val="single"/>
            <w:lang w:eastAsia="en-US"/>
          </w:rPr>
          <w:t>TST-</w:t>
        </w:r>
        <w:r w:rsidRPr="00207D1D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E-RR-40000-68.2009.5.07.0014</w:t>
        </w:r>
      </w:hyperlink>
      <w:r w:rsidRPr="00207D1D">
        <w:rPr>
          <w:rFonts w:eastAsia="Calibri"/>
          <w:sz w:val="24"/>
          <w:szCs w:val="24"/>
          <w:u w:val="single"/>
          <w:lang w:eastAsia="en-US"/>
        </w:rPr>
        <w:t>, SBDI-I, rel.</w:t>
      </w:r>
      <w:r w:rsidRPr="00207D1D">
        <w:rPr>
          <w:rFonts w:eastAsia="Calibri"/>
          <w:bCs/>
          <w:sz w:val="24"/>
          <w:szCs w:val="24"/>
          <w:u w:val="single"/>
          <w:lang w:eastAsia="en-US"/>
        </w:rPr>
        <w:t xml:space="preserve"> Min. Alberto Luiz Bresciani de Fontan Pereira, 5.4.2018</w:t>
      </w:r>
    </w:p>
    <w:p w:rsidR="00207D1D" w:rsidRDefault="00207D1D" w:rsidP="00623D44">
      <w:pPr>
        <w:jc w:val="both"/>
        <w:rPr>
          <w:sz w:val="24"/>
        </w:rPr>
      </w:pPr>
    </w:p>
    <w:p w:rsidR="00207D1D" w:rsidRDefault="00207D1D" w:rsidP="00623D44">
      <w:pPr>
        <w:jc w:val="both"/>
        <w:rPr>
          <w:sz w:val="24"/>
        </w:rPr>
      </w:pPr>
    </w:p>
    <w:p w:rsidR="00207D1D" w:rsidRDefault="00207D1D" w:rsidP="00623D44">
      <w:pPr>
        <w:jc w:val="both"/>
        <w:rPr>
          <w:sz w:val="24"/>
        </w:rPr>
      </w:pPr>
    </w:p>
    <w:p w:rsidR="00207D1D" w:rsidRDefault="00207D1D" w:rsidP="00623D44">
      <w:pPr>
        <w:jc w:val="both"/>
        <w:rPr>
          <w:sz w:val="24"/>
        </w:rPr>
      </w:pPr>
    </w:p>
    <w:p w:rsidR="00207D1D" w:rsidRDefault="00207D1D" w:rsidP="00623D44">
      <w:pPr>
        <w:jc w:val="both"/>
        <w:rPr>
          <w:sz w:val="24"/>
        </w:rPr>
      </w:pPr>
    </w:p>
    <w:p w:rsidR="00207D1D" w:rsidRDefault="00207D1D" w:rsidP="00623D44">
      <w:pPr>
        <w:jc w:val="both"/>
        <w:rPr>
          <w:sz w:val="24"/>
        </w:rPr>
      </w:pPr>
    </w:p>
    <w:p w:rsidR="00623D44" w:rsidRPr="00A12420" w:rsidRDefault="00623D44" w:rsidP="00EC04A5">
      <w:pPr>
        <w:jc w:val="both"/>
        <w:rPr>
          <w:sz w:val="24"/>
          <w:szCs w:val="24"/>
          <w:u w:val="single"/>
        </w:rPr>
      </w:pPr>
    </w:p>
    <w:p w:rsidR="006D0B48" w:rsidRPr="001D6AC9" w:rsidRDefault="006D0B48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9F" w:rsidRDefault="002E3B9F">
      <w:r>
        <w:separator/>
      </w:r>
    </w:p>
  </w:endnote>
  <w:endnote w:type="continuationSeparator" w:id="0">
    <w:p w:rsidR="002E3B9F" w:rsidRDefault="002E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9A" w:rsidRDefault="00DF729A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5BB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F729A" w:rsidRDefault="00695BB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C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" o:allowincell="f" strokecolor="#969696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9A" w:rsidRDefault="00695BB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190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" o:allowincell="f" strokecolor="#969696"/>
          </w:pict>
        </mc:Fallback>
      </mc:AlternateContent>
    </w:r>
    <w:r w:rsidR="00DF729A">
      <w:rPr>
        <w:rStyle w:val="Nmerodepgina"/>
      </w:rPr>
      <w:fldChar w:fldCharType="begin"/>
    </w:r>
    <w:r w:rsidR="00DF729A">
      <w:rPr>
        <w:rStyle w:val="Nmerodepgina"/>
      </w:rPr>
      <w:instrText xml:space="preserve"> PAGE </w:instrText>
    </w:r>
    <w:r w:rsidR="00DF729A">
      <w:rPr>
        <w:rStyle w:val="Nmerodepgina"/>
      </w:rPr>
      <w:fldChar w:fldCharType="separate"/>
    </w:r>
    <w:r>
      <w:rPr>
        <w:rStyle w:val="Nmerodepgina"/>
        <w:noProof/>
      </w:rPr>
      <w:t>1</w:t>
    </w:r>
    <w:r w:rsidR="00DF729A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9F" w:rsidRDefault="002E3B9F">
      <w:r>
        <w:separator/>
      </w:r>
    </w:p>
  </w:footnote>
  <w:footnote w:type="continuationSeparator" w:id="0">
    <w:p w:rsidR="002E3B9F" w:rsidRDefault="002E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9A" w:rsidRPr="00695BB0" w:rsidRDefault="00DF729A">
    <w:pPr>
      <w:pStyle w:val="Corpodetexto"/>
      <w:jc w:val="righ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95BB0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Informativo TST - nº 17</w:t>
    </w:r>
    <w:r w:rsidR="00207D1D" w:rsidRPr="00695BB0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</w:p>
  <w:p w:rsidR="00DF729A" w:rsidRPr="005D1DE4" w:rsidRDefault="00695BB0" w:rsidP="00CE7555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128905</wp:posOffset>
              </wp:positionV>
              <wp:extent cx="630936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5pt" to="49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" o:allowincell="f" strokecolor="#969696"/>
          </w:pict>
        </mc:Fallback>
      </mc:AlternateContent>
    </w:r>
    <w:r w:rsidR="00DF729A" w:rsidRPr="003C0554">
      <w:rPr>
        <w:iCs/>
      </w:rPr>
      <w:t xml:space="preserve"> </w:t>
    </w:r>
    <w:r w:rsidR="00DF729A">
      <w:rPr>
        <w:i/>
        <w:iCs/>
      </w:rPr>
      <w:t>Período: 2 a</w:t>
    </w:r>
    <w:r w:rsidR="00207D1D">
      <w:rPr>
        <w:i/>
        <w:iCs/>
      </w:rPr>
      <w:t xml:space="preserve"> 9</w:t>
    </w:r>
    <w:r w:rsidR="00DF729A">
      <w:rPr>
        <w:i/>
        <w:iCs/>
      </w:rPr>
      <w:t xml:space="preserve"> de </w:t>
    </w:r>
    <w:r w:rsidR="00207D1D">
      <w:rPr>
        <w:i/>
        <w:iCs/>
      </w:rPr>
      <w:t xml:space="preserve">abril </w:t>
    </w:r>
    <w:r w:rsidR="00DF729A">
      <w:rPr>
        <w:i/>
        <w:iCs/>
      </w:rPr>
      <w:t>de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9A" w:rsidRDefault="00DF72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 w:rsidR="00695BB0">
      <w:rPr>
        <w:noProof/>
      </w:rPr>
      <w:drawing>
        <wp:inline distT="0" distB="0" distL="0" distR="0">
          <wp:extent cx="1219200" cy="981075"/>
          <wp:effectExtent l="0" t="0" r="0" b="9525"/>
          <wp:docPr id="1" name="Imagem 1" descr="T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29A" w:rsidRPr="002168DE" w:rsidRDefault="00DF729A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>
      <w:rPr>
        <w:b/>
        <w:sz w:val="40"/>
        <w:szCs w:val="40"/>
      </w:rPr>
      <w:t xml:space="preserve">175 </w:t>
    </w:r>
  </w:p>
  <w:p w:rsidR="00DF729A" w:rsidRPr="005D1DE4" w:rsidRDefault="00DF729A">
    <w:pPr>
      <w:pStyle w:val="Cabealho"/>
      <w:jc w:val="right"/>
      <w:rPr>
        <w:i/>
        <w:iCs/>
        <w:sz w:val="10"/>
        <w:szCs w:val="10"/>
      </w:rPr>
    </w:pPr>
  </w:p>
  <w:p w:rsidR="00DF729A" w:rsidRDefault="00DF729A" w:rsidP="009A16E8">
    <w:pPr>
      <w:pStyle w:val="Cabealho"/>
      <w:jc w:val="right"/>
      <w:rPr>
        <w:i/>
        <w:iCs/>
      </w:rPr>
    </w:pPr>
    <w:r>
      <w:rPr>
        <w:i/>
        <w:iCs/>
      </w:rPr>
      <w:t xml:space="preserve">Período: 2 a </w:t>
    </w:r>
    <w:r w:rsidR="00207D1D">
      <w:rPr>
        <w:i/>
        <w:iCs/>
      </w:rPr>
      <w:t xml:space="preserve">9 de abril </w:t>
    </w:r>
    <w:r>
      <w:rPr>
        <w:i/>
        <w:iCs/>
      </w:rPr>
      <w:t>de 2018</w:t>
    </w:r>
  </w:p>
  <w:p w:rsidR="00DF729A" w:rsidRDefault="00DF729A" w:rsidP="009A16E8">
    <w:pPr>
      <w:pStyle w:val="Cabealho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04C36"/>
    <w:rsid w:val="00004EF8"/>
    <w:rsid w:val="00021967"/>
    <w:rsid w:val="000228E6"/>
    <w:rsid w:val="000249BA"/>
    <w:rsid w:val="00024CE9"/>
    <w:rsid w:val="00032056"/>
    <w:rsid w:val="000322FB"/>
    <w:rsid w:val="000332F1"/>
    <w:rsid w:val="00034034"/>
    <w:rsid w:val="000425F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733B4"/>
    <w:rsid w:val="00073643"/>
    <w:rsid w:val="00073880"/>
    <w:rsid w:val="00075BDB"/>
    <w:rsid w:val="00076E4F"/>
    <w:rsid w:val="00077A5F"/>
    <w:rsid w:val="00077EAD"/>
    <w:rsid w:val="00080C40"/>
    <w:rsid w:val="00080F10"/>
    <w:rsid w:val="000858FB"/>
    <w:rsid w:val="0009237D"/>
    <w:rsid w:val="00093AE9"/>
    <w:rsid w:val="00093BA8"/>
    <w:rsid w:val="00094103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0F0A8E"/>
    <w:rsid w:val="0011575C"/>
    <w:rsid w:val="0011692E"/>
    <w:rsid w:val="00122C2A"/>
    <w:rsid w:val="001257D7"/>
    <w:rsid w:val="00137564"/>
    <w:rsid w:val="00137DC1"/>
    <w:rsid w:val="00141630"/>
    <w:rsid w:val="00142C28"/>
    <w:rsid w:val="00152238"/>
    <w:rsid w:val="0015612D"/>
    <w:rsid w:val="00161CDE"/>
    <w:rsid w:val="00161E91"/>
    <w:rsid w:val="00163142"/>
    <w:rsid w:val="001648F5"/>
    <w:rsid w:val="00167E80"/>
    <w:rsid w:val="00176D15"/>
    <w:rsid w:val="0018296E"/>
    <w:rsid w:val="00183803"/>
    <w:rsid w:val="00184590"/>
    <w:rsid w:val="00187A37"/>
    <w:rsid w:val="00187BEF"/>
    <w:rsid w:val="0019151D"/>
    <w:rsid w:val="001920CD"/>
    <w:rsid w:val="00193208"/>
    <w:rsid w:val="001932B7"/>
    <w:rsid w:val="00194264"/>
    <w:rsid w:val="00197B15"/>
    <w:rsid w:val="001B025A"/>
    <w:rsid w:val="001B2C08"/>
    <w:rsid w:val="001C04D2"/>
    <w:rsid w:val="001C21FB"/>
    <w:rsid w:val="001C271F"/>
    <w:rsid w:val="001C5885"/>
    <w:rsid w:val="001C6C93"/>
    <w:rsid w:val="001D4CF9"/>
    <w:rsid w:val="001D4E17"/>
    <w:rsid w:val="001D550B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2F34"/>
    <w:rsid w:val="001F45E0"/>
    <w:rsid w:val="00200A8C"/>
    <w:rsid w:val="00204C97"/>
    <w:rsid w:val="00206810"/>
    <w:rsid w:val="00207D1D"/>
    <w:rsid w:val="002156DC"/>
    <w:rsid w:val="002168DE"/>
    <w:rsid w:val="00223F6E"/>
    <w:rsid w:val="00224AC2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84A"/>
    <w:rsid w:val="00276EA0"/>
    <w:rsid w:val="00280594"/>
    <w:rsid w:val="00282620"/>
    <w:rsid w:val="00285064"/>
    <w:rsid w:val="00287D4A"/>
    <w:rsid w:val="002A219D"/>
    <w:rsid w:val="002A22C6"/>
    <w:rsid w:val="002A521A"/>
    <w:rsid w:val="002A546D"/>
    <w:rsid w:val="002B0750"/>
    <w:rsid w:val="002B4738"/>
    <w:rsid w:val="002B6377"/>
    <w:rsid w:val="002C2904"/>
    <w:rsid w:val="002C6261"/>
    <w:rsid w:val="002E3B9F"/>
    <w:rsid w:val="002E78CB"/>
    <w:rsid w:val="002F28E5"/>
    <w:rsid w:val="002F71BF"/>
    <w:rsid w:val="003070C9"/>
    <w:rsid w:val="003074FC"/>
    <w:rsid w:val="0031207D"/>
    <w:rsid w:val="003200A0"/>
    <w:rsid w:val="00322F7A"/>
    <w:rsid w:val="0033397A"/>
    <w:rsid w:val="00340D16"/>
    <w:rsid w:val="00340E8D"/>
    <w:rsid w:val="00342846"/>
    <w:rsid w:val="003503FC"/>
    <w:rsid w:val="00352B27"/>
    <w:rsid w:val="0035374D"/>
    <w:rsid w:val="00355A95"/>
    <w:rsid w:val="00363255"/>
    <w:rsid w:val="0036325E"/>
    <w:rsid w:val="003671FE"/>
    <w:rsid w:val="0037018B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326C"/>
    <w:rsid w:val="00396053"/>
    <w:rsid w:val="003A0E52"/>
    <w:rsid w:val="003A1F0A"/>
    <w:rsid w:val="003A4086"/>
    <w:rsid w:val="003A5E5B"/>
    <w:rsid w:val="003B045C"/>
    <w:rsid w:val="003B0538"/>
    <w:rsid w:val="003B0A59"/>
    <w:rsid w:val="003B3EB5"/>
    <w:rsid w:val="003B4E23"/>
    <w:rsid w:val="003B6246"/>
    <w:rsid w:val="003B6B09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3F5EA7"/>
    <w:rsid w:val="004034A8"/>
    <w:rsid w:val="0040506F"/>
    <w:rsid w:val="004163E7"/>
    <w:rsid w:val="004166C3"/>
    <w:rsid w:val="00416D9A"/>
    <w:rsid w:val="00420228"/>
    <w:rsid w:val="00423641"/>
    <w:rsid w:val="0042772A"/>
    <w:rsid w:val="004323B0"/>
    <w:rsid w:val="00437995"/>
    <w:rsid w:val="0044014F"/>
    <w:rsid w:val="00444E88"/>
    <w:rsid w:val="004477EC"/>
    <w:rsid w:val="00450BAD"/>
    <w:rsid w:val="0045657C"/>
    <w:rsid w:val="00457A40"/>
    <w:rsid w:val="004655CC"/>
    <w:rsid w:val="00466DB9"/>
    <w:rsid w:val="004672FC"/>
    <w:rsid w:val="00470EF8"/>
    <w:rsid w:val="004731B7"/>
    <w:rsid w:val="0047749E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0CD"/>
    <w:rsid w:val="004D6415"/>
    <w:rsid w:val="004D71E8"/>
    <w:rsid w:val="004E393E"/>
    <w:rsid w:val="004E4507"/>
    <w:rsid w:val="004E4619"/>
    <w:rsid w:val="004F0A7D"/>
    <w:rsid w:val="004F5040"/>
    <w:rsid w:val="005059F5"/>
    <w:rsid w:val="00513789"/>
    <w:rsid w:val="0051538E"/>
    <w:rsid w:val="00517E01"/>
    <w:rsid w:val="00521EEC"/>
    <w:rsid w:val="00530B90"/>
    <w:rsid w:val="00543B94"/>
    <w:rsid w:val="005460BD"/>
    <w:rsid w:val="005521C8"/>
    <w:rsid w:val="00552D4A"/>
    <w:rsid w:val="00553197"/>
    <w:rsid w:val="0055409E"/>
    <w:rsid w:val="00554139"/>
    <w:rsid w:val="005543D8"/>
    <w:rsid w:val="00556367"/>
    <w:rsid w:val="00556B35"/>
    <w:rsid w:val="005703D6"/>
    <w:rsid w:val="00572803"/>
    <w:rsid w:val="00573E13"/>
    <w:rsid w:val="005767AA"/>
    <w:rsid w:val="005811A4"/>
    <w:rsid w:val="00584496"/>
    <w:rsid w:val="00584F82"/>
    <w:rsid w:val="00591DFA"/>
    <w:rsid w:val="005A30AA"/>
    <w:rsid w:val="005A5695"/>
    <w:rsid w:val="005B031E"/>
    <w:rsid w:val="005B0A1C"/>
    <w:rsid w:val="005B22CE"/>
    <w:rsid w:val="005B2F00"/>
    <w:rsid w:val="005B3792"/>
    <w:rsid w:val="005B523B"/>
    <w:rsid w:val="005B57DE"/>
    <w:rsid w:val="005C1886"/>
    <w:rsid w:val="005C761E"/>
    <w:rsid w:val="005D0E5F"/>
    <w:rsid w:val="005D1DE4"/>
    <w:rsid w:val="005E35BD"/>
    <w:rsid w:val="005E3D4D"/>
    <w:rsid w:val="005E3F64"/>
    <w:rsid w:val="005E7FD1"/>
    <w:rsid w:val="005F0545"/>
    <w:rsid w:val="005F2858"/>
    <w:rsid w:val="005F52AB"/>
    <w:rsid w:val="006002E3"/>
    <w:rsid w:val="00602FF7"/>
    <w:rsid w:val="006145AC"/>
    <w:rsid w:val="00615F98"/>
    <w:rsid w:val="006207F5"/>
    <w:rsid w:val="00621F9C"/>
    <w:rsid w:val="00623D44"/>
    <w:rsid w:val="00631166"/>
    <w:rsid w:val="00631F1C"/>
    <w:rsid w:val="00636289"/>
    <w:rsid w:val="006366A4"/>
    <w:rsid w:val="00640D6E"/>
    <w:rsid w:val="006425DD"/>
    <w:rsid w:val="00643B60"/>
    <w:rsid w:val="006456B1"/>
    <w:rsid w:val="006564EC"/>
    <w:rsid w:val="0066084C"/>
    <w:rsid w:val="00661B23"/>
    <w:rsid w:val="00665CCF"/>
    <w:rsid w:val="00672CF9"/>
    <w:rsid w:val="00672E11"/>
    <w:rsid w:val="0068273B"/>
    <w:rsid w:val="006847A0"/>
    <w:rsid w:val="00691234"/>
    <w:rsid w:val="00692202"/>
    <w:rsid w:val="006931CC"/>
    <w:rsid w:val="006947F2"/>
    <w:rsid w:val="00695BB0"/>
    <w:rsid w:val="00696523"/>
    <w:rsid w:val="00697919"/>
    <w:rsid w:val="006B3FCF"/>
    <w:rsid w:val="006B46CA"/>
    <w:rsid w:val="006B549E"/>
    <w:rsid w:val="006C0391"/>
    <w:rsid w:val="006C28B3"/>
    <w:rsid w:val="006D0B48"/>
    <w:rsid w:val="006D1F66"/>
    <w:rsid w:val="006D306E"/>
    <w:rsid w:val="006D4497"/>
    <w:rsid w:val="006D7C49"/>
    <w:rsid w:val="006E1A9C"/>
    <w:rsid w:val="006E3B5C"/>
    <w:rsid w:val="006E5D21"/>
    <w:rsid w:val="006F1AAE"/>
    <w:rsid w:val="006F6C15"/>
    <w:rsid w:val="00700B1B"/>
    <w:rsid w:val="007023BC"/>
    <w:rsid w:val="007029CF"/>
    <w:rsid w:val="0070727E"/>
    <w:rsid w:val="007101D6"/>
    <w:rsid w:val="00710D3A"/>
    <w:rsid w:val="0071315F"/>
    <w:rsid w:val="00720057"/>
    <w:rsid w:val="00721942"/>
    <w:rsid w:val="00722BE7"/>
    <w:rsid w:val="00723134"/>
    <w:rsid w:val="00730CC7"/>
    <w:rsid w:val="00732DF2"/>
    <w:rsid w:val="007403B3"/>
    <w:rsid w:val="00750B85"/>
    <w:rsid w:val="007614F1"/>
    <w:rsid w:val="007618C5"/>
    <w:rsid w:val="00764066"/>
    <w:rsid w:val="00766B7B"/>
    <w:rsid w:val="0077600F"/>
    <w:rsid w:val="00776118"/>
    <w:rsid w:val="00781C77"/>
    <w:rsid w:val="00796745"/>
    <w:rsid w:val="007A28FF"/>
    <w:rsid w:val="007A4F78"/>
    <w:rsid w:val="007A7125"/>
    <w:rsid w:val="007B0F83"/>
    <w:rsid w:val="007C0A4F"/>
    <w:rsid w:val="007D0081"/>
    <w:rsid w:val="007D29A1"/>
    <w:rsid w:val="007D2B4E"/>
    <w:rsid w:val="007D2EE9"/>
    <w:rsid w:val="007D469A"/>
    <w:rsid w:val="007D6D94"/>
    <w:rsid w:val="007D6F8C"/>
    <w:rsid w:val="007E094E"/>
    <w:rsid w:val="007E0EA7"/>
    <w:rsid w:val="007E26A1"/>
    <w:rsid w:val="007E37B1"/>
    <w:rsid w:val="007E3F23"/>
    <w:rsid w:val="007E53A4"/>
    <w:rsid w:val="007F142E"/>
    <w:rsid w:val="007F2BBE"/>
    <w:rsid w:val="007F66BC"/>
    <w:rsid w:val="007F7B5E"/>
    <w:rsid w:val="00800B97"/>
    <w:rsid w:val="00801246"/>
    <w:rsid w:val="00801F11"/>
    <w:rsid w:val="00802B1A"/>
    <w:rsid w:val="00805CD2"/>
    <w:rsid w:val="0080615C"/>
    <w:rsid w:val="0081027F"/>
    <w:rsid w:val="0081742D"/>
    <w:rsid w:val="00817AB1"/>
    <w:rsid w:val="00820419"/>
    <w:rsid w:val="00820817"/>
    <w:rsid w:val="00821F4D"/>
    <w:rsid w:val="00823906"/>
    <w:rsid w:val="008409D3"/>
    <w:rsid w:val="0084319F"/>
    <w:rsid w:val="00843F5F"/>
    <w:rsid w:val="00844374"/>
    <w:rsid w:val="00844FEB"/>
    <w:rsid w:val="00845559"/>
    <w:rsid w:val="0084797B"/>
    <w:rsid w:val="008532E4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722F9"/>
    <w:rsid w:val="008813FA"/>
    <w:rsid w:val="008842D0"/>
    <w:rsid w:val="00884AC4"/>
    <w:rsid w:val="0088579D"/>
    <w:rsid w:val="00892883"/>
    <w:rsid w:val="0089707B"/>
    <w:rsid w:val="008A1A58"/>
    <w:rsid w:val="008A4233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12B6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10EEF"/>
    <w:rsid w:val="00922D1B"/>
    <w:rsid w:val="0093467A"/>
    <w:rsid w:val="009353F1"/>
    <w:rsid w:val="009376D6"/>
    <w:rsid w:val="0094155C"/>
    <w:rsid w:val="00951531"/>
    <w:rsid w:val="00953B29"/>
    <w:rsid w:val="0095741E"/>
    <w:rsid w:val="009609CB"/>
    <w:rsid w:val="00960A3B"/>
    <w:rsid w:val="0096375C"/>
    <w:rsid w:val="00963D6F"/>
    <w:rsid w:val="00967DE0"/>
    <w:rsid w:val="00971E07"/>
    <w:rsid w:val="00971E5F"/>
    <w:rsid w:val="00971F6D"/>
    <w:rsid w:val="009802D2"/>
    <w:rsid w:val="00980944"/>
    <w:rsid w:val="00986D77"/>
    <w:rsid w:val="00993A6E"/>
    <w:rsid w:val="009943EC"/>
    <w:rsid w:val="009A16E8"/>
    <w:rsid w:val="009A1BAD"/>
    <w:rsid w:val="009A32D5"/>
    <w:rsid w:val="009A5D37"/>
    <w:rsid w:val="009A610E"/>
    <w:rsid w:val="009A6BD9"/>
    <w:rsid w:val="009B320F"/>
    <w:rsid w:val="009B6012"/>
    <w:rsid w:val="009B6455"/>
    <w:rsid w:val="009C0EBA"/>
    <w:rsid w:val="009C102D"/>
    <w:rsid w:val="009C2A4F"/>
    <w:rsid w:val="009C4834"/>
    <w:rsid w:val="009D10FB"/>
    <w:rsid w:val="009D1BDE"/>
    <w:rsid w:val="009D312C"/>
    <w:rsid w:val="009D4C59"/>
    <w:rsid w:val="009D7F91"/>
    <w:rsid w:val="009E20EF"/>
    <w:rsid w:val="009E26EE"/>
    <w:rsid w:val="009E6646"/>
    <w:rsid w:val="009F1C7B"/>
    <w:rsid w:val="009F21A2"/>
    <w:rsid w:val="00A00D70"/>
    <w:rsid w:val="00A00DEE"/>
    <w:rsid w:val="00A02580"/>
    <w:rsid w:val="00A0468E"/>
    <w:rsid w:val="00A201D9"/>
    <w:rsid w:val="00A27889"/>
    <w:rsid w:val="00A32D95"/>
    <w:rsid w:val="00A32FBF"/>
    <w:rsid w:val="00A3307E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87756"/>
    <w:rsid w:val="00A903E4"/>
    <w:rsid w:val="00A91181"/>
    <w:rsid w:val="00A935AC"/>
    <w:rsid w:val="00A96424"/>
    <w:rsid w:val="00AA3D5D"/>
    <w:rsid w:val="00AA3DE0"/>
    <w:rsid w:val="00AB04BD"/>
    <w:rsid w:val="00AB299E"/>
    <w:rsid w:val="00AB3847"/>
    <w:rsid w:val="00AB395A"/>
    <w:rsid w:val="00AB507C"/>
    <w:rsid w:val="00AB606E"/>
    <w:rsid w:val="00AC096E"/>
    <w:rsid w:val="00AC4F6C"/>
    <w:rsid w:val="00AD1400"/>
    <w:rsid w:val="00AD6E76"/>
    <w:rsid w:val="00AE3EAA"/>
    <w:rsid w:val="00AE5EDF"/>
    <w:rsid w:val="00AE758A"/>
    <w:rsid w:val="00B03BC8"/>
    <w:rsid w:val="00B06261"/>
    <w:rsid w:val="00B06914"/>
    <w:rsid w:val="00B108BA"/>
    <w:rsid w:val="00B108E6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645E4"/>
    <w:rsid w:val="00B73FFA"/>
    <w:rsid w:val="00B74A6E"/>
    <w:rsid w:val="00B82CC4"/>
    <w:rsid w:val="00B838C3"/>
    <w:rsid w:val="00B86218"/>
    <w:rsid w:val="00B874F1"/>
    <w:rsid w:val="00B877E0"/>
    <w:rsid w:val="00B91001"/>
    <w:rsid w:val="00B95963"/>
    <w:rsid w:val="00BC1DE7"/>
    <w:rsid w:val="00BC1FE2"/>
    <w:rsid w:val="00BC209E"/>
    <w:rsid w:val="00BC292A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BF6308"/>
    <w:rsid w:val="00C028BC"/>
    <w:rsid w:val="00C070DE"/>
    <w:rsid w:val="00C15175"/>
    <w:rsid w:val="00C15EC0"/>
    <w:rsid w:val="00C1742B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1DAD"/>
    <w:rsid w:val="00C65BDB"/>
    <w:rsid w:val="00C66C95"/>
    <w:rsid w:val="00C6738C"/>
    <w:rsid w:val="00C71A3B"/>
    <w:rsid w:val="00C757CC"/>
    <w:rsid w:val="00C76CFA"/>
    <w:rsid w:val="00C819C8"/>
    <w:rsid w:val="00C84A53"/>
    <w:rsid w:val="00C8747B"/>
    <w:rsid w:val="00C87D5B"/>
    <w:rsid w:val="00C92A5A"/>
    <w:rsid w:val="00C94FF6"/>
    <w:rsid w:val="00C963F8"/>
    <w:rsid w:val="00C96BB1"/>
    <w:rsid w:val="00CA2F80"/>
    <w:rsid w:val="00CA3ECF"/>
    <w:rsid w:val="00CB0C2A"/>
    <w:rsid w:val="00CB3B98"/>
    <w:rsid w:val="00CB7D7E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D9D"/>
    <w:rsid w:val="00CF6B77"/>
    <w:rsid w:val="00D00018"/>
    <w:rsid w:val="00D01C50"/>
    <w:rsid w:val="00D03659"/>
    <w:rsid w:val="00D11B24"/>
    <w:rsid w:val="00D11C18"/>
    <w:rsid w:val="00D12FFF"/>
    <w:rsid w:val="00D133C8"/>
    <w:rsid w:val="00D14DB8"/>
    <w:rsid w:val="00D17339"/>
    <w:rsid w:val="00D244D5"/>
    <w:rsid w:val="00D2639E"/>
    <w:rsid w:val="00D2776A"/>
    <w:rsid w:val="00D4021B"/>
    <w:rsid w:val="00D4059E"/>
    <w:rsid w:val="00D413DB"/>
    <w:rsid w:val="00D41D4E"/>
    <w:rsid w:val="00D420E2"/>
    <w:rsid w:val="00D4459D"/>
    <w:rsid w:val="00D44B24"/>
    <w:rsid w:val="00D570E4"/>
    <w:rsid w:val="00D573F9"/>
    <w:rsid w:val="00D60532"/>
    <w:rsid w:val="00D6058B"/>
    <w:rsid w:val="00D608E5"/>
    <w:rsid w:val="00D62D9E"/>
    <w:rsid w:val="00D63EC5"/>
    <w:rsid w:val="00D64BC3"/>
    <w:rsid w:val="00D66C46"/>
    <w:rsid w:val="00D72C05"/>
    <w:rsid w:val="00D73575"/>
    <w:rsid w:val="00D735BF"/>
    <w:rsid w:val="00D737B6"/>
    <w:rsid w:val="00D77672"/>
    <w:rsid w:val="00D80222"/>
    <w:rsid w:val="00D847CF"/>
    <w:rsid w:val="00D87489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0DD"/>
    <w:rsid w:val="00DC3451"/>
    <w:rsid w:val="00DC50EB"/>
    <w:rsid w:val="00DC7F71"/>
    <w:rsid w:val="00DD19F4"/>
    <w:rsid w:val="00DD3FA0"/>
    <w:rsid w:val="00DE24D5"/>
    <w:rsid w:val="00DE5B2D"/>
    <w:rsid w:val="00DE5C3E"/>
    <w:rsid w:val="00DE5CE9"/>
    <w:rsid w:val="00DF45BB"/>
    <w:rsid w:val="00DF729A"/>
    <w:rsid w:val="00E006DC"/>
    <w:rsid w:val="00E03064"/>
    <w:rsid w:val="00E03F9C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67BAE"/>
    <w:rsid w:val="00E711AE"/>
    <w:rsid w:val="00E716F3"/>
    <w:rsid w:val="00E774F6"/>
    <w:rsid w:val="00E9503C"/>
    <w:rsid w:val="00E956D9"/>
    <w:rsid w:val="00EA10DA"/>
    <w:rsid w:val="00EA1958"/>
    <w:rsid w:val="00EA29F5"/>
    <w:rsid w:val="00EA482D"/>
    <w:rsid w:val="00EA52B3"/>
    <w:rsid w:val="00EA6938"/>
    <w:rsid w:val="00EB5FE6"/>
    <w:rsid w:val="00EB61A5"/>
    <w:rsid w:val="00EB6C1B"/>
    <w:rsid w:val="00EB7A09"/>
    <w:rsid w:val="00EC04A5"/>
    <w:rsid w:val="00EC0EDC"/>
    <w:rsid w:val="00EC5AF4"/>
    <w:rsid w:val="00EC6FA8"/>
    <w:rsid w:val="00EC7E0B"/>
    <w:rsid w:val="00ED4508"/>
    <w:rsid w:val="00ED661C"/>
    <w:rsid w:val="00EE1D6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0BB"/>
    <w:rsid w:val="00F06855"/>
    <w:rsid w:val="00F13A96"/>
    <w:rsid w:val="00F16D0F"/>
    <w:rsid w:val="00F17A2C"/>
    <w:rsid w:val="00F17E86"/>
    <w:rsid w:val="00F21A70"/>
    <w:rsid w:val="00F26708"/>
    <w:rsid w:val="00F30FF2"/>
    <w:rsid w:val="00F32CEC"/>
    <w:rsid w:val="00F37F29"/>
    <w:rsid w:val="00F42243"/>
    <w:rsid w:val="00F45608"/>
    <w:rsid w:val="00F47E3B"/>
    <w:rsid w:val="00F511EE"/>
    <w:rsid w:val="00F52475"/>
    <w:rsid w:val="00F55574"/>
    <w:rsid w:val="00F558E7"/>
    <w:rsid w:val="00F60363"/>
    <w:rsid w:val="00F62016"/>
    <w:rsid w:val="00F63F44"/>
    <w:rsid w:val="00F6401B"/>
    <w:rsid w:val="00F65243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1DC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C6872"/>
    <w:rsid w:val="00FD029A"/>
    <w:rsid w:val="00FD3D06"/>
    <w:rsid w:val="00FD5662"/>
    <w:rsid w:val="00FD642E"/>
    <w:rsid w:val="00FD72B6"/>
    <w:rsid w:val="00FE00AD"/>
    <w:rsid w:val="00FE206E"/>
    <w:rsid w:val="00FE421F"/>
    <w:rsid w:val="00FE499F"/>
    <w:rsid w:val="00FE4BA5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licacao4.tst.jus.br/consultaProcessual/consultaTstNumUnica.do?consulta=Consultar&amp;conscsjt=&amp;numeroTst=40000&amp;digitoTst=68&amp;anoTst=2009&amp;orgaoTst=5&amp;tribunalTst=07&amp;varaTst=001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uslaboris.tst.jus.br/bitstream/handle/20.500.12178/95782/2014_informativo_tst_cjur_n0082.pdf?sequence=1&amp;isAllowed=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licacao4.tst.jus.br/consultaProcessual/consultaTstNumUnica.do?consulta=Consultar&amp;conscsjt=&amp;numeroTst=43300&amp;digitoTst=54&amp;anoTst=2002&amp;orgaoTst=5&amp;tribunalTst=03&amp;varaTst=0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aplicacao4.tst.jus.br/consultaProcessual/consultaTstNumUnica.do?consulta=Consultar&amp;conscsjt=&amp;numeroTst=747&amp;digitoTst=09&amp;anoTst=2013&amp;orgaoTst=5&amp;tribunalTst=24&amp;varaTst=003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plicacao4.tst.jus.br/consultaProcessual/consultaTstNumUnica.do?consulta=Consultar&amp;conscsjt=&amp;numeroTst=102&amp;digitoTst=63&amp;anoTst=2015&amp;orgaoTst=5&amp;tribunalTst=22&amp;varaTst=000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89DE-D215-4024-ACCB-A1CF4D19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1162</Words>
  <Characters>6276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7424</CharactersWithSpaces>
  <SharedDoc>false</SharedDoc>
  <HLinks>
    <vt:vector size="30" baseType="variant">
      <vt:variant>
        <vt:i4>6815804</vt:i4>
      </vt:variant>
      <vt:variant>
        <vt:i4>12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http://aplicacao4.tst.jus.br/consultaProcessual/consultaTstNumUnica.do?consulta=Consultar&amp;conscsjt=&amp;numeroTst=40000&amp;digitoTst=68&amp;anoTst=2009&amp;orgaoTst=5&amp;tribunalTst=07&amp;varaTst=0014</vt:lpwstr>
      </vt:variant>
      <vt:variant>
        <vt:lpwstr/>
      </vt:variant>
      <vt:variant>
        <vt:i4>8192110</vt:i4>
      </vt:variant>
      <vt:variant>
        <vt:i4>9</vt:i4>
      </vt:variant>
      <vt:variant>
        <vt:i4>0</vt:i4>
      </vt:variant>
      <vt:variant>
        <vt:i4>5</vt:i4>
      </vt:variant>
      <vt:variant>
        <vt:lpwstr>https://juslaboris.tst.jus.br/bitstream/handle/20.500.12178/95782/2014_informativo_tst_cjur_n0082.pdf?sequence=1&amp;isAllowed=y</vt:lpwstr>
      </vt:variant>
      <vt:variant>
        <vt:lpwstr/>
      </vt:variant>
      <vt:variant>
        <vt:i4>7012412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http://aplicacao4.tst.jus.br/consultaProcessual/consultaTstNumUnica.do?consulta=Consultar&amp;conscsjt=&amp;numeroTst=43300&amp;digitoTst=54&amp;anoTst=2002&amp;orgaoTst=5&amp;tribunalTst=03&amp;varaTst=0027</vt:lpwstr>
      </vt:variant>
      <vt:variant>
        <vt:lpwstr/>
      </vt:variant>
      <vt:variant>
        <vt:i4>5636109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http://aplicacao4.tst.jus.br/consultaProcessual/consultaTstNumUnica.do?consulta=Consultar&amp;conscsjt=&amp;numeroTst=747&amp;digitoTst=09&amp;anoTst=2013&amp;orgaoTst=5&amp;tribunalTst=24&amp;varaTst=0031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http://aplicacao4.tst.jus.br/consultaProcessual/consultaTstNumUnica.do?consulta=Consultar&amp;conscsjt=&amp;numeroTst=102&amp;digitoTst=63&amp;anoTst=2015&amp;orgaoTst=5&amp;tribunalTst=22&amp;varaTst=0000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c041658</cp:lastModifiedBy>
  <cp:revision>2</cp:revision>
  <cp:lastPrinted>2017-03-06T19:28:00Z</cp:lastPrinted>
  <dcterms:created xsi:type="dcterms:W3CDTF">2018-04-13T22:27:00Z</dcterms:created>
  <dcterms:modified xsi:type="dcterms:W3CDTF">2018-04-13T22:27:00Z</dcterms:modified>
</cp:coreProperties>
</file>