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730CC7" w:rsidRPr="00E531C9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95741E" w:rsidRPr="00B66D1B" w:rsidRDefault="0095741E" w:rsidP="0095741E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6D1B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95741E" w:rsidRPr="0095741E" w:rsidRDefault="0095741E" w:rsidP="00B645E4">
      <w:pPr>
        <w:jc w:val="both"/>
        <w:rPr>
          <w:u w:val="single"/>
        </w:rPr>
      </w:pPr>
    </w:p>
    <w:p w:rsidR="0095741E" w:rsidRPr="0095741E" w:rsidRDefault="0095741E" w:rsidP="0095741E">
      <w:pPr>
        <w:pStyle w:val="Ementa"/>
        <w:ind w:left="0"/>
        <w:rPr>
          <w:rFonts w:ascii="Times New Roman" w:hAnsi="Times New Roman" w:cs="Times New Roman"/>
          <w:b/>
          <w:i/>
          <w:color w:val="auto"/>
          <w:lang w:val="pt-BR"/>
        </w:rPr>
      </w:pPr>
      <w:r w:rsidRPr="0095741E">
        <w:rPr>
          <w:rFonts w:ascii="Times New Roman" w:hAnsi="Times New Roman" w:cs="Times New Roman"/>
          <w:b/>
          <w:i/>
          <w:color w:val="auto"/>
          <w:lang w:val="pt-BR"/>
        </w:rPr>
        <w:t xml:space="preserve">Plano de saúde. Suspensão após 180 dias de afastamento por auxílio-doença ou acidente de trabalho. Norma coletiva. Invalidade. </w:t>
      </w:r>
    </w:p>
    <w:p w:rsidR="0095741E" w:rsidRDefault="0095741E" w:rsidP="0095741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9212D">
        <w:rPr>
          <w:sz w:val="24"/>
          <w:szCs w:val="24"/>
        </w:rPr>
        <w:t xml:space="preserve">ão é válida norma coletiva que estabelece a suspensão do plano de saúde pago pela empresa </w:t>
      </w:r>
      <w:r>
        <w:rPr>
          <w:sz w:val="24"/>
          <w:szCs w:val="24"/>
        </w:rPr>
        <w:t xml:space="preserve">após 180 dias de afastamento do empregado em decorrência de auxílio-doença ou de acidente de trabalho. Embora a suspensão do contrato, a que se refere o art. 475 da CLT, importe na sustação temporária dos principais efeitos do pacto laboral, preserva-se o vínculo de emprego e o dever de cumprir as obrigações não vinculadas diretamente à prestação de serviços, a exemplo do plano de saúde, nos termos da Súmula nº 440 do TST. Ademais, embora se deva observar o princípio da autonomia das vontades coletivas (art. 7º, XXVI, da CF), este não pode prevalecer se violar o princípio da igualdade (art. 5º, II, da CF) e causar prejuízo ao trabalhador afastado, como ocorreu no caso em apreço, em que o empregado foi excluído do plano de saúde justamente no momento em que se encontrava incapacitado para o trabalho, em gozo de aposentadoria por invalidez decorrente de acidente de trabalho. Sob esses fundamentos, a SBDI-I, por unanimidade, conheceu do recurso de embargos, por divergência jurisprudencial, e, no mérito, por maioria, deu-lhe provimento para restabelecer o acórdão do TRT. Vencidos os Ministros Renato de Lacerda Paiva e Márcio Eurico Vitral Amaro. </w:t>
      </w:r>
      <w:hyperlink r:id="rId9" w:history="1">
        <w:r w:rsidRPr="0095741E">
          <w:rPr>
            <w:rStyle w:val="Hyperlink"/>
            <w:sz w:val="24"/>
            <w:szCs w:val="24"/>
          </w:rPr>
          <w:t>TST-E-ARR-1513-39.2012.5.02.0442</w:t>
        </w:r>
      </w:hyperlink>
      <w:r w:rsidRPr="00A9212D">
        <w:rPr>
          <w:sz w:val="24"/>
          <w:szCs w:val="24"/>
          <w:u w:val="single"/>
        </w:rPr>
        <w:t>, S</w:t>
      </w:r>
      <w:r>
        <w:rPr>
          <w:sz w:val="24"/>
          <w:szCs w:val="24"/>
          <w:u w:val="single"/>
        </w:rPr>
        <w:t>BDI-I</w:t>
      </w:r>
      <w:r w:rsidRPr="00A9212D">
        <w:rPr>
          <w:sz w:val="24"/>
          <w:szCs w:val="24"/>
          <w:u w:val="single"/>
        </w:rPr>
        <w:t xml:space="preserve">, rel. Min. Hugo Carlos Scheuermann, </w:t>
      </w:r>
      <w:r>
        <w:rPr>
          <w:sz w:val="24"/>
          <w:szCs w:val="24"/>
          <w:u w:val="single"/>
        </w:rPr>
        <w:t>8</w:t>
      </w:r>
      <w:r w:rsidRPr="00A9212D">
        <w:rPr>
          <w:sz w:val="24"/>
          <w:szCs w:val="24"/>
          <w:u w:val="single"/>
        </w:rPr>
        <w:t>.3.2018</w:t>
      </w:r>
    </w:p>
    <w:p w:rsidR="0095741E" w:rsidRPr="0095741E" w:rsidRDefault="0095741E" w:rsidP="0095741E">
      <w:pPr>
        <w:jc w:val="both"/>
        <w:rPr>
          <w:b/>
          <w:i/>
        </w:rPr>
      </w:pPr>
    </w:p>
    <w:p w:rsidR="0095741E" w:rsidRPr="00B4525E" w:rsidRDefault="0095741E" w:rsidP="009574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Participação nos Lucros e Resultados. Base de cálculo restrita ao salário base acrescido de verbas fixas de natureza salarial. Integração das horas extras. Impossibilidade. Verba de natureza variável.</w:t>
      </w:r>
    </w:p>
    <w:p w:rsidR="0095741E" w:rsidRPr="00756F6B" w:rsidRDefault="0095741E" w:rsidP="009574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hipótese em que a norma coletiva da categoria prevê como base de cálculo da Participação nos Lucros e Resultados - PLR “o salário base acrescido de verbas fixas de natureza salarial”, não é possível incluir as horas extras, ainda que tenham natureza salarial e sejam prestadas habitualmente, pois possuem caráter variável. Sob esse fundamento, a SBDI-I, por unanimidade, conheceu dos embargos, por divergência jurisprudencial, e, no mérito, deu-lhes provimento para restabelecer o acórdão do TRT quanto à exclusão das horas extras da base de cálculo da PLR. </w:t>
      </w:r>
      <w:hyperlink r:id="rId10" w:history="1">
        <w:r w:rsidRPr="0095741E">
          <w:rPr>
            <w:rStyle w:val="Hyperlink"/>
            <w:sz w:val="24"/>
            <w:szCs w:val="24"/>
          </w:rPr>
          <w:t>TST-E-RR-1088-24.2012.5.09.0084</w:t>
        </w:r>
      </w:hyperlink>
      <w:r w:rsidRPr="00B4525E">
        <w:rPr>
          <w:sz w:val="24"/>
          <w:szCs w:val="24"/>
          <w:u w:val="single"/>
        </w:rPr>
        <w:t xml:space="preserve">, SBDI-I, rel. Min. </w:t>
      </w:r>
      <w:r>
        <w:rPr>
          <w:sz w:val="24"/>
          <w:szCs w:val="24"/>
          <w:u w:val="single"/>
        </w:rPr>
        <w:t>Alberto Luiz Bresciani de Fontan Pereira</w:t>
      </w:r>
      <w:r w:rsidRPr="00B4525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8.3.2018</w:t>
      </w:r>
    </w:p>
    <w:p w:rsidR="00A32D95" w:rsidRPr="00EC04A5" w:rsidRDefault="00A32D95" w:rsidP="00A32D95">
      <w:pPr>
        <w:autoSpaceDE/>
        <w:autoSpaceDN/>
        <w:jc w:val="both"/>
        <w:rPr>
          <w:rFonts w:eastAsia="Calibri"/>
          <w:u w:val="single"/>
          <w:lang w:eastAsia="en-US"/>
        </w:rPr>
      </w:pPr>
    </w:p>
    <w:p w:rsidR="00EC04A5" w:rsidRPr="00B66D1B" w:rsidRDefault="00EC04A5" w:rsidP="00EC04A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6D1B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</w:t>
      </w:r>
      <w:r w:rsidR="0095741E" w:rsidRPr="00B66D1B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B66D1B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ESPECIALIZADA EM DISSÍDIOS INDIVIDUAIS</w:t>
      </w:r>
    </w:p>
    <w:p w:rsidR="00EC04A5" w:rsidRPr="00D03659" w:rsidRDefault="00EC04A5" w:rsidP="00EC04A5">
      <w:pPr>
        <w:jc w:val="both"/>
        <w:rPr>
          <w:u w:val="single"/>
        </w:rPr>
      </w:pPr>
    </w:p>
    <w:p w:rsidR="0095741E" w:rsidRDefault="0095741E" w:rsidP="009574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Justiça gratuita. Indeferimento. Hipossuficiência econômica afastada por circunstâncias reveladas nos autos. Presunção relativa.</w:t>
      </w:r>
    </w:p>
    <w:p w:rsidR="0095741E" w:rsidRPr="00B62E1B" w:rsidRDefault="0095741E" w:rsidP="0095741E">
      <w:pPr>
        <w:jc w:val="both"/>
        <w:rPr>
          <w:sz w:val="24"/>
          <w:szCs w:val="24"/>
        </w:rPr>
      </w:pPr>
      <w:r w:rsidRPr="00496C28">
        <w:rPr>
          <w:sz w:val="24"/>
          <w:szCs w:val="24"/>
        </w:rPr>
        <w:t>A presunção</w:t>
      </w:r>
      <w:r>
        <w:rPr>
          <w:sz w:val="24"/>
          <w:szCs w:val="24"/>
        </w:rPr>
        <w:t xml:space="preserve"> legal que decorre da declaração de hipossuficiência econômica </w:t>
      </w:r>
      <w:r w:rsidRPr="00496C28">
        <w:rPr>
          <w:sz w:val="24"/>
          <w:szCs w:val="24"/>
        </w:rPr>
        <w:t xml:space="preserve">é </w:t>
      </w:r>
      <w:r>
        <w:rPr>
          <w:sz w:val="24"/>
          <w:szCs w:val="24"/>
        </w:rPr>
        <w:t>relativa, de modo que pode ser afastada por elementos constantes dos autos ou por prova em sentido contrário.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No caso em apreço, o autor teve indeferido seu pedido de gratuidade de justiça pela Corte Regional ao fundamento de que, quem oferta o segundo maior lanço em hasta realizada no processo principal, destinada à alienação de imóvel de elevado valor, e, no próprio dia do leilão, deposita a quantia de R$ 1.340.000,00, não faz jus à referida benesse. Assim, ante o contexto desvelado nos próprios autos, e ausente prova da alegada miserabilidade jurídica, a SBDI-II, por unanimidade, conheceu do </w:t>
      </w:r>
      <w:r>
        <w:rPr>
          <w:sz w:val="24"/>
          <w:szCs w:val="24"/>
        </w:rPr>
        <w:lastRenderedPageBreak/>
        <w:t xml:space="preserve">recurso ordinário e, no mérito, por maioria, negou-lhes provimento, mantendo, portanto, a decisão do TRT que indeferira os benefícios da justiça gratuita. Vencidos os Ministros Delaíde Miranda Arantes e Alexandre Agra Belmonte. </w:t>
      </w:r>
      <w:hyperlink r:id="rId11" w:history="1">
        <w:r w:rsidRPr="0095741E">
          <w:rPr>
            <w:rStyle w:val="Hyperlink"/>
            <w:sz w:val="24"/>
            <w:szCs w:val="24"/>
          </w:rPr>
          <w:t>TST-RO-76-80.2013.5.06.0000</w:t>
        </w:r>
      </w:hyperlink>
      <w:r w:rsidRPr="00B62E1B">
        <w:rPr>
          <w:sz w:val="24"/>
          <w:szCs w:val="24"/>
          <w:u w:val="single"/>
        </w:rPr>
        <w:t>, SBDI-II, rel. Min. Douglas Alencar Rodrigues, 6.3.2018</w:t>
      </w:r>
    </w:p>
    <w:p w:rsidR="002156DC" w:rsidRPr="00D03659" w:rsidRDefault="002156DC" w:rsidP="00D03659">
      <w:pPr>
        <w:jc w:val="both"/>
        <w:outlineLvl w:val="0"/>
        <w:rPr>
          <w:b/>
          <w:bCs/>
          <w:i/>
          <w:color w:val="000000"/>
        </w:rPr>
      </w:pPr>
    </w:p>
    <w:p w:rsidR="00D03659" w:rsidRPr="00A12420" w:rsidRDefault="00D03659" w:rsidP="00EC04A5">
      <w:pPr>
        <w:jc w:val="both"/>
        <w:rPr>
          <w:sz w:val="24"/>
          <w:szCs w:val="24"/>
          <w:u w:val="single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7E" w:rsidRDefault="00A3307E">
      <w:r>
        <w:separator/>
      </w:r>
    </w:p>
  </w:endnote>
  <w:endnote w:type="continuationSeparator" w:id="0">
    <w:p w:rsidR="00A3307E" w:rsidRDefault="00A3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D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684A" w:rsidRDefault="00B66D1B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B66D1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27684A">
      <w:rPr>
        <w:rStyle w:val="Nmerodepgina"/>
      </w:rPr>
      <w:fldChar w:fldCharType="begin"/>
    </w:r>
    <w:r w:rsidR="0027684A">
      <w:rPr>
        <w:rStyle w:val="Nmerodepgina"/>
      </w:rPr>
      <w:instrText xml:space="preserve"> PAGE </w:instrText>
    </w:r>
    <w:r w:rsidR="0027684A">
      <w:rPr>
        <w:rStyle w:val="Nmerodepgina"/>
      </w:rPr>
      <w:fldChar w:fldCharType="separate"/>
    </w:r>
    <w:r>
      <w:rPr>
        <w:rStyle w:val="Nmerodepgina"/>
        <w:noProof/>
      </w:rPr>
      <w:t>1</w:t>
    </w:r>
    <w:r w:rsidR="0027684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7E" w:rsidRDefault="00A3307E">
      <w:r>
        <w:separator/>
      </w:r>
    </w:p>
  </w:footnote>
  <w:footnote w:type="continuationSeparator" w:id="0">
    <w:p w:rsidR="00A3307E" w:rsidRDefault="00A3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Pr="00B66D1B" w:rsidRDefault="0027684A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6D1B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Informativo TST - nº 1</w:t>
    </w:r>
    <w:r w:rsidR="002156DC" w:rsidRPr="00B66D1B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95741E" w:rsidRPr="00B66D1B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</w:p>
  <w:p w:rsidR="0027684A" w:rsidRPr="005D1DE4" w:rsidRDefault="00B66D1B" w:rsidP="00CE755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27684A" w:rsidRPr="003C0554">
      <w:rPr>
        <w:iCs/>
      </w:rPr>
      <w:t xml:space="preserve"> </w:t>
    </w:r>
    <w:r w:rsidR="0027684A">
      <w:rPr>
        <w:i/>
        <w:iCs/>
      </w:rPr>
      <w:t xml:space="preserve">Período: </w:t>
    </w:r>
    <w:r w:rsidR="0095741E">
      <w:rPr>
        <w:i/>
        <w:iCs/>
      </w:rPr>
      <w:t xml:space="preserve">6 a 9 de março </w:t>
    </w:r>
    <w:r w:rsidR="00B645E4">
      <w:rPr>
        <w:i/>
        <w:iCs/>
      </w:rPr>
      <w:t>de</w:t>
    </w:r>
    <w:r w:rsidR="008E12B6">
      <w:rPr>
        <w:i/>
        <w:iCs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B66D1B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84A" w:rsidRPr="002168DE" w:rsidRDefault="0027684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063834">
      <w:rPr>
        <w:b/>
        <w:sz w:val="40"/>
        <w:szCs w:val="40"/>
      </w:rPr>
      <w:t>1</w:t>
    </w:r>
    <w:r w:rsidR="002156DC">
      <w:rPr>
        <w:b/>
        <w:sz w:val="40"/>
        <w:szCs w:val="40"/>
      </w:rPr>
      <w:t>7</w:t>
    </w:r>
    <w:r w:rsidR="0095741E">
      <w:rPr>
        <w:b/>
        <w:sz w:val="40"/>
        <w:szCs w:val="40"/>
      </w:rPr>
      <w:t>3</w:t>
    </w:r>
    <w:r w:rsidR="00730CC7">
      <w:rPr>
        <w:b/>
        <w:sz w:val="40"/>
        <w:szCs w:val="40"/>
      </w:rPr>
      <w:t xml:space="preserve"> </w:t>
    </w:r>
  </w:p>
  <w:p w:rsidR="0027684A" w:rsidRPr="005D1DE4" w:rsidRDefault="0027684A">
    <w:pPr>
      <w:pStyle w:val="Cabealho"/>
      <w:jc w:val="right"/>
      <w:rPr>
        <w:i/>
        <w:iCs/>
        <w:sz w:val="10"/>
        <w:szCs w:val="10"/>
      </w:rPr>
    </w:pPr>
  </w:p>
  <w:p w:rsidR="0027684A" w:rsidRDefault="0027684A" w:rsidP="009A16E8">
    <w:pPr>
      <w:pStyle w:val="Cabealho"/>
      <w:jc w:val="right"/>
      <w:rPr>
        <w:i/>
        <w:iCs/>
      </w:rPr>
    </w:pPr>
    <w:r>
      <w:rPr>
        <w:i/>
        <w:iCs/>
      </w:rPr>
      <w:t xml:space="preserve">Período: </w:t>
    </w:r>
    <w:r w:rsidR="0095741E">
      <w:rPr>
        <w:i/>
        <w:iCs/>
      </w:rPr>
      <w:t>6</w:t>
    </w:r>
    <w:r w:rsidR="00B645E4">
      <w:rPr>
        <w:i/>
        <w:iCs/>
      </w:rPr>
      <w:t xml:space="preserve"> a </w:t>
    </w:r>
    <w:r w:rsidR="0095741E">
      <w:rPr>
        <w:i/>
        <w:iCs/>
      </w:rPr>
      <w:t xml:space="preserve">9 </w:t>
    </w:r>
    <w:r w:rsidR="00B645E4">
      <w:rPr>
        <w:i/>
        <w:iCs/>
      </w:rPr>
      <w:t>de março</w:t>
    </w:r>
    <w:r w:rsidR="009A16E8">
      <w:rPr>
        <w:i/>
        <w:iCs/>
      </w:rPr>
      <w:t xml:space="preserve"> de 2018</w:t>
    </w:r>
  </w:p>
  <w:p w:rsidR="009A16E8" w:rsidRDefault="009A16E8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0A8C"/>
    <w:rsid w:val="00204C97"/>
    <w:rsid w:val="00206810"/>
    <w:rsid w:val="002156DC"/>
    <w:rsid w:val="002168DE"/>
    <w:rsid w:val="00223F6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2620"/>
    <w:rsid w:val="00285064"/>
    <w:rsid w:val="00287D4A"/>
    <w:rsid w:val="002A219D"/>
    <w:rsid w:val="002A22C6"/>
    <w:rsid w:val="002A521A"/>
    <w:rsid w:val="002A546D"/>
    <w:rsid w:val="002B0750"/>
    <w:rsid w:val="002B4738"/>
    <w:rsid w:val="002B6377"/>
    <w:rsid w:val="002C2904"/>
    <w:rsid w:val="002C6261"/>
    <w:rsid w:val="002E78CB"/>
    <w:rsid w:val="002F28E5"/>
    <w:rsid w:val="002F71BF"/>
    <w:rsid w:val="003070C9"/>
    <w:rsid w:val="003074FC"/>
    <w:rsid w:val="0031207D"/>
    <w:rsid w:val="003200A0"/>
    <w:rsid w:val="00322F7A"/>
    <w:rsid w:val="0033397A"/>
    <w:rsid w:val="00340D16"/>
    <w:rsid w:val="00340E8D"/>
    <w:rsid w:val="00342846"/>
    <w:rsid w:val="003503FC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672FC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71E8"/>
    <w:rsid w:val="004E393E"/>
    <w:rsid w:val="004E4507"/>
    <w:rsid w:val="004E4619"/>
    <w:rsid w:val="004F0A7D"/>
    <w:rsid w:val="004F5040"/>
    <w:rsid w:val="005059F5"/>
    <w:rsid w:val="00513789"/>
    <w:rsid w:val="0051538E"/>
    <w:rsid w:val="00517E01"/>
    <w:rsid w:val="00521EEC"/>
    <w:rsid w:val="00530B90"/>
    <w:rsid w:val="00543B94"/>
    <w:rsid w:val="005460BD"/>
    <w:rsid w:val="005521C8"/>
    <w:rsid w:val="00552D4A"/>
    <w:rsid w:val="00553197"/>
    <w:rsid w:val="0055409E"/>
    <w:rsid w:val="00554139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5F52AB"/>
    <w:rsid w:val="006002E3"/>
    <w:rsid w:val="00602FF7"/>
    <w:rsid w:val="006145AC"/>
    <w:rsid w:val="00615F98"/>
    <w:rsid w:val="006207F5"/>
    <w:rsid w:val="00621F9C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6523"/>
    <w:rsid w:val="00697919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614F1"/>
    <w:rsid w:val="007618C5"/>
    <w:rsid w:val="00764066"/>
    <w:rsid w:val="00766B7B"/>
    <w:rsid w:val="0077600F"/>
    <w:rsid w:val="00776118"/>
    <w:rsid w:val="00781C77"/>
    <w:rsid w:val="00796745"/>
    <w:rsid w:val="007A28FF"/>
    <w:rsid w:val="007A4F78"/>
    <w:rsid w:val="007A7125"/>
    <w:rsid w:val="007B0F83"/>
    <w:rsid w:val="007C0A4F"/>
    <w:rsid w:val="007D0081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142E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742D"/>
    <w:rsid w:val="00817AB1"/>
    <w:rsid w:val="00820419"/>
    <w:rsid w:val="00820817"/>
    <w:rsid w:val="00821F4D"/>
    <w:rsid w:val="00823906"/>
    <w:rsid w:val="008409D3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2D1B"/>
    <w:rsid w:val="0093467A"/>
    <w:rsid w:val="009353F1"/>
    <w:rsid w:val="009376D6"/>
    <w:rsid w:val="0094155C"/>
    <w:rsid w:val="00951531"/>
    <w:rsid w:val="00953B29"/>
    <w:rsid w:val="0095741E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6E8"/>
    <w:rsid w:val="009A1BAD"/>
    <w:rsid w:val="009A32D5"/>
    <w:rsid w:val="009A5D37"/>
    <w:rsid w:val="009A610E"/>
    <w:rsid w:val="009A6BD9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312C"/>
    <w:rsid w:val="009D4C59"/>
    <w:rsid w:val="009D7F91"/>
    <w:rsid w:val="009E20EF"/>
    <w:rsid w:val="009E26EE"/>
    <w:rsid w:val="009E6646"/>
    <w:rsid w:val="009F1C7B"/>
    <w:rsid w:val="009F21A2"/>
    <w:rsid w:val="00A00D70"/>
    <w:rsid w:val="00A00DEE"/>
    <w:rsid w:val="00A02580"/>
    <w:rsid w:val="00A0468E"/>
    <w:rsid w:val="00A27889"/>
    <w:rsid w:val="00A32D95"/>
    <w:rsid w:val="00A32FBF"/>
    <w:rsid w:val="00A3307E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1400"/>
    <w:rsid w:val="00AD6E76"/>
    <w:rsid w:val="00AE3EAA"/>
    <w:rsid w:val="00AE5EDF"/>
    <w:rsid w:val="00AE758A"/>
    <w:rsid w:val="00B03BC8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66D1B"/>
    <w:rsid w:val="00B73FFA"/>
    <w:rsid w:val="00B74A6E"/>
    <w:rsid w:val="00B82CC4"/>
    <w:rsid w:val="00B838C3"/>
    <w:rsid w:val="00B86218"/>
    <w:rsid w:val="00B874F1"/>
    <w:rsid w:val="00B877E0"/>
    <w:rsid w:val="00B91001"/>
    <w:rsid w:val="00B95963"/>
    <w:rsid w:val="00BC1DE7"/>
    <w:rsid w:val="00BC1FE2"/>
    <w:rsid w:val="00BC209E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4021B"/>
    <w:rsid w:val="00D4059E"/>
    <w:rsid w:val="00D413DB"/>
    <w:rsid w:val="00D41D4E"/>
    <w:rsid w:val="00D420E2"/>
    <w:rsid w:val="00D4459D"/>
    <w:rsid w:val="00D44B24"/>
    <w:rsid w:val="00D573F9"/>
    <w:rsid w:val="00D60532"/>
    <w:rsid w:val="00D6058B"/>
    <w:rsid w:val="00D608E5"/>
    <w:rsid w:val="00D62D9E"/>
    <w:rsid w:val="00D63EC5"/>
    <w:rsid w:val="00D64BC3"/>
    <w:rsid w:val="00D66C46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0DD"/>
    <w:rsid w:val="00DC3451"/>
    <w:rsid w:val="00DC50EB"/>
    <w:rsid w:val="00DC7F71"/>
    <w:rsid w:val="00DD19F4"/>
    <w:rsid w:val="00DD3FA0"/>
    <w:rsid w:val="00DE24D5"/>
    <w:rsid w:val="00DE5B2D"/>
    <w:rsid w:val="00DE5C3E"/>
    <w:rsid w:val="00DE5CE9"/>
    <w:rsid w:val="00DF45BB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74F6"/>
    <w:rsid w:val="00E9503C"/>
    <w:rsid w:val="00E956D9"/>
    <w:rsid w:val="00EA10DA"/>
    <w:rsid w:val="00EA1958"/>
    <w:rsid w:val="00EA29F5"/>
    <w:rsid w:val="00EA482D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5608"/>
    <w:rsid w:val="00F47E3B"/>
    <w:rsid w:val="00F511EE"/>
    <w:rsid w:val="00F52475"/>
    <w:rsid w:val="00F55574"/>
    <w:rsid w:val="00F558E7"/>
    <w:rsid w:val="00F60363"/>
    <w:rsid w:val="00F62016"/>
    <w:rsid w:val="00F63F44"/>
    <w:rsid w:val="00F6401B"/>
    <w:rsid w:val="00F65243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642E"/>
    <w:rsid w:val="00FD72B6"/>
    <w:rsid w:val="00FE00AD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76&amp;digitoTst=80&amp;anoTst=2013&amp;orgaoTst=5&amp;tribunalTst=06&amp;varaTst=0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plicacao4.tst.jus.br/consultaProcessual/consultaTstNumUnica.do?consulta=Consultar&amp;conscsjt=&amp;numeroTst=1088&amp;digitoTst=24&amp;anoTst=2012&amp;orgaoTst=5&amp;tribunalTst=09&amp;varaTst=00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1513&amp;digitoTst=39&amp;anoTst=2012&amp;orgaoTst=5&amp;tribunalTst=02&amp;varaTst=044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4916-1E51-42B4-8AEA-DE1EFA9B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4623</CharactersWithSpaces>
  <SharedDoc>false</SharedDoc>
  <HLinks>
    <vt:vector size="18" baseType="variant"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http://aplicacao4.tst.jus.br/consultaProcessual/consultaTstNumUnica.do?consulta=Consultar&amp;conscsjt=&amp;numeroTst=76&amp;digitoTst=80&amp;anoTst=2013&amp;orgaoTst=5&amp;tribunalTst=06&amp;varaTst=0000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http://aplicacao4.tst.jus.br/consultaProcessual/consultaTstNumUnica.do?consulta=Consultar&amp;conscsjt=&amp;numeroTst=1088&amp;digitoTst=24&amp;anoTst=2012&amp;orgaoTst=5&amp;tribunalTst=09&amp;varaTst=0084</vt:lpwstr>
      </vt:variant>
      <vt:variant>
        <vt:lpwstr/>
      </vt:variant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http://aplicacao4.tst.jus.br/consultaProcessual/consultaTstNumUnica.do?consulta=Consultar&amp;conscsjt=&amp;numeroTst=1513&amp;digitoTst=39&amp;anoTst=2012&amp;orgaoTst=5&amp;tribunalTst=02&amp;varaTst=0442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c041658</cp:lastModifiedBy>
  <cp:revision>2</cp:revision>
  <cp:lastPrinted>2017-03-06T19:28:00Z</cp:lastPrinted>
  <dcterms:created xsi:type="dcterms:W3CDTF">2018-03-22T22:20:00Z</dcterms:created>
  <dcterms:modified xsi:type="dcterms:W3CDTF">2018-03-22T22:20:00Z</dcterms:modified>
</cp:coreProperties>
</file>