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552D4A" w:rsidRPr="00656063" w:rsidRDefault="00552D4A" w:rsidP="00552D4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063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552D4A" w:rsidRPr="00EC04A5" w:rsidRDefault="00552D4A" w:rsidP="00552D4A">
      <w:pPr>
        <w:jc w:val="both"/>
        <w:rPr>
          <w:sz w:val="10"/>
          <w:szCs w:val="10"/>
          <w:u w:val="single"/>
        </w:rPr>
      </w:pPr>
    </w:p>
    <w:p w:rsidR="00EC04A5" w:rsidRDefault="00EC04A5" w:rsidP="00EC04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Honorários advocatícios. Base de cálculo. Exclusão da cota-parte do empregador relativa aos descontos previdenciários. Crédito de natureza tributária.</w:t>
      </w:r>
    </w:p>
    <w:p w:rsidR="00EC04A5" w:rsidRDefault="00EC04A5" w:rsidP="00EC04A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cota-parte do empregador relativa aos descontos previdenciários resulta de imposição legal decorrente da prestação de serviço, não constituindo crédito de natureza trabalhista. A Justiça do Trabalho apenas perfaz o cálculo em razão da sua capacidade tributária para arrecadar o tributo do empregador e repassá-lo ao destinatário final, que é a União. Dessa forma, a cota-parte patronal da contribuição previdenciária não pode ser incluída na base de cálculo dos honorários advocatícios. Sob esses fundamentos, a SBDI-I, por unanimidade, conheceu do recurso de embargos do reclamante, por divergência jurisprudencial, e, no mérito, negou-lhe provimento. </w:t>
      </w:r>
      <w:hyperlink r:id="rId9" w:history="1">
        <w:r w:rsidRPr="007D6D94">
          <w:rPr>
            <w:rStyle w:val="Hyperlink"/>
            <w:sz w:val="24"/>
            <w:szCs w:val="24"/>
          </w:rPr>
          <w:t>TST-E-RR-779-35.2013.5.03.0019</w:t>
        </w:r>
      </w:hyperlink>
      <w:r w:rsidRPr="008E6F64">
        <w:rPr>
          <w:sz w:val="24"/>
          <w:szCs w:val="24"/>
          <w:u w:val="single"/>
        </w:rPr>
        <w:t>, SBDI-I,</w:t>
      </w:r>
      <w:r>
        <w:rPr>
          <w:sz w:val="24"/>
          <w:szCs w:val="24"/>
          <w:u w:val="single"/>
        </w:rPr>
        <w:t xml:space="preserve"> rel. </w:t>
      </w:r>
      <w:r w:rsidRPr="008E6F64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Augusto César Leite de Carvalho</w:t>
      </w:r>
      <w:r w:rsidRPr="008E6F64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19</w:t>
      </w:r>
      <w:r w:rsidRPr="008E6F6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8E6F64">
        <w:rPr>
          <w:sz w:val="24"/>
          <w:szCs w:val="24"/>
          <w:u w:val="single"/>
        </w:rPr>
        <w:t>.2017</w:t>
      </w:r>
    </w:p>
    <w:p w:rsidR="00EC04A5" w:rsidRPr="00EC04A5" w:rsidRDefault="00EC04A5" w:rsidP="00EC04A5">
      <w:pPr>
        <w:jc w:val="both"/>
        <w:rPr>
          <w:sz w:val="10"/>
          <w:szCs w:val="10"/>
          <w:u w:val="single"/>
        </w:rPr>
      </w:pPr>
    </w:p>
    <w:p w:rsidR="00EC04A5" w:rsidRPr="007C0BA2" w:rsidRDefault="00EC04A5" w:rsidP="00EC04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Pr="007C0BA2">
        <w:rPr>
          <w:b/>
          <w:i/>
          <w:sz w:val="24"/>
          <w:szCs w:val="24"/>
        </w:rPr>
        <w:t>ompensação orgânica.</w:t>
      </w:r>
      <w:r>
        <w:rPr>
          <w:b/>
          <w:i/>
          <w:sz w:val="24"/>
          <w:szCs w:val="24"/>
        </w:rPr>
        <w:t xml:space="preserve"> Forma de pagamento estipulada em norma coletiva.</w:t>
      </w:r>
      <w:r w:rsidRPr="007C0BA2">
        <w:rPr>
          <w:b/>
          <w:i/>
          <w:sz w:val="24"/>
          <w:szCs w:val="24"/>
        </w:rPr>
        <w:t xml:space="preserve"> Salário complessivo. Não configuração. Princípio da autonomia da vontade coletiva.</w:t>
      </w:r>
    </w:p>
    <w:p w:rsidR="00EC04A5" w:rsidRPr="007C0BA2" w:rsidRDefault="00EC04A5" w:rsidP="00EC04A5">
      <w:pPr>
        <w:jc w:val="both"/>
        <w:rPr>
          <w:sz w:val="24"/>
          <w:szCs w:val="24"/>
        </w:rPr>
      </w:pPr>
      <w:r>
        <w:rPr>
          <w:sz w:val="24"/>
          <w:szCs w:val="24"/>
        </w:rPr>
        <w:t>Não há falar em salário complessivo na hipótese em que a</w:t>
      </w:r>
      <w:r w:rsidRPr="001D735B">
        <w:rPr>
          <w:sz w:val="24"/>
          <w:szCs w:val="24"/>
        </w:rPr>
        <w:t xml:space="preserve"> forma de pagamento da </w:t>
      </w:r>
      <w:r>
        <w:rPr>
          <w:sz w:val="24"/>
          <w:szCs w:val="24"/>
        </w:rPr>
        <w:t>verba denominada</w:t>
      </w:r>
      <w:r w:rsidRPr="001D735B">
        <w:rPr>
          <w:sz w:val="24"/>
          <w:szCs w:val="24"/>
        </w:rPr>
        <w:t xml:space="preserve"> compensação orgânica</w:t>
      </w:r>
      <w:r>
        <w:rPr>
          <w:sz w:val="24"/>
          <w:szCs w:val="24"/>
        </w:rPr>
        <w:t xml:space="preserve"> (20% de toda a remuneração), </w:t>
      </w:r>
      <w:r w:rsidRPr="001D735B">
        <w:rPr>
          <w:sz w:val="24"/>
          <w:szCs w:val="24"/>
        </w:rPr>
        <w:t>prevista em norma coletiva</w:t>
      </w:r>
      <w:r>
        <w:rPr>
          <w:sz w:val="24"/>
          <w:szCs w:val="24"/>
        </w:rPr>
        <w:t>,</w:t>
      </w:r>
      <w:r w:rsidRPr="001D735B">
        <w:rPr>
          <w:sz w:val="24"/>
          <w:szCs w:val="24"/>
        </w:rPr>
        <w:t xml:space="preserve"> permite ao trabalhador identificar a parcela e o respectivo valor</w:t>
      </w:r>
      <w:r>
        <w:rPr>
          <w:sz w:val="24"/>
          <w:szCs w:val="24"/>
        </w:rPr>
        <w:t xml:space="preserve">. Ademais, se a cláusula não afronta norma de ordem pública, nem causa prejuízo ao trabalhador, deve-se prestigiar a negociação coletiva, em atenção ao princípio da autonomia da vontade coletiva (art. 7º, XXVI, da CF). </w:t>
      </w:r>
      <w:r w:rsidRPr="007C0BA2">
        <w:rPr>
          <w:sz w:val="24"/>
          <w:szCs w:val="24"/>
        </w:rPr>
        <w:t>Sob esses fundamentos, a SBDI-I, por unanimidade, conheceu do recurso de embargos, por divergência jurisprudencial, e, no mérito, por maioria, deu-lhe</w:t>
      </w:r>
      <w:r>
        <w:rPr>
          <w:sz w:val="24"/>
          <w:szCs w:val="24"/>
        </w:rPr>
        <w:t>s</w:t>
      </w:r>
      <w:r w:rsidRPr="007C0BA2">
        <w:rPr>
          <w:sz w:val="24"/>
          <w:szCs w:val="24"/>
        </w:rPr>
        <w:t xml:space="preserve"> provimento para</w:t>
      </w:r>
      <w:r>
        <w:rPr>
          <w:sz w:val="24"/>
          <w:szCs w:val="24"/>
        </w:rPr>
        <w:t xml:space="preserve"> restabelecer a sentença que </w:t>
      </w:r>
      <w:r w:rsidRPr="007C0BA2">
        <w:rPr>
          <w:sz w:val="24"/>
          <w:szCs w:val="24"/>
        </w:rPr>
        <w:t>indeferir</w:t>
      </w:r>
      <w:r>
        <w:rPr>
          <w:sz w:val="24"/>
          <w:szCs w:val="24"/>
        </w:rPr>
        <w:t>a</w:t>
      </w:r>
      <w:r w:rsidRPr="007C0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Pr="007C0BA2">
        <w:rPr>
          <w:sz w:val="24"/>
          <w:szCs w:val="24"/>
        </w:rPr>
        <w:t>pagamento da compensação orgânica</w:t>
      </w:r>
      <w:r>
        <w:rPr>
          <w:sz w:val="24"/>
          <w:szCs w:val="24"/>
        </w:rPr>
        <w:t>. V</w:t>
      </w:r>
      <w:r w:rsidRPr="007C0BA2">
        <w:rPr>
          <w:sz w:val="24"/>
          <w:szCs w:val="24"/>
        </w:rPr>
        <w:t xml:space="preserve">encidos os Ministros Cláudio Mascarenhas Brandão e Augusto César Leite de Carvalho. </w:t>
      </w:r>
      <w:hyperlink r:id="rId10" w:history="1">
        <w:r w:rsidRPr="007C0BA2">
          <w:rPr>
            <w:rStyle w:val="Hyperlink"/>
            <w:sz w:val="24"/>
            <w:szCs w:val="24"/>
          </w:rPr>
          <w:t>TST-E-RR-2852-66.2011.5.02.0022</w:t>
        </w:r>
      </w:hyperlink>
      <w:r w:rsidRPr="007C0BA2">
        <w:rPr>
          <w:sz w:val="24"/>
          <w:szCs w:val="24"/>
          <w:u w:val="single"/>
        </w:rPr>
        <w:t>, SBDI-I, rel. Min. Hugo Carlos Scheuermann, 19.10.2017</w:t>
      </w:r>
    </w:p>
    <w:p w:rsidR="00EC04A5" w:rsidRPr="00EC04A5" w:rsidRDefault="00EC04A5" w:rsidP="00EC04A5">
      <w:pPr>
        <w:jc w:val="both"/>
        <w:rPr>
          <w:sz w:val="10"/>
          <w:szCs w:val="10"/>
          <w:u w:val="single"/>
        </w:rPr>
      </w:pPr>
    </w:p>
    <w:p w:rsidR="00EC04A5" w:rsidRPr="007C0BA2" w:rsidRDefault="00EC04A5" w:rsidP="00EC04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Dispensa decorrente do ajuizamento de reclamação trabalhista.  Prática discriminatória. Art. 1º da Lei nº 9.029/1995. Rol exemplificativo. Reintegração devida.</w:t>
      </w:r>
    </w:p>
    <w:p w:rsidR="00EC04A5" w:rsidRDefault="00EC04A5" w:rsidP="00EC0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rol de práticas consideradas discriminatórias previsto no art. 1º da Lei nº 9.029/1995 sempre foi meramente exemplificativo, mesmo antes da alteração introduzida pela Lei nº 12.146/2015, que somente acrescentou a expressão “entre outros”. Ao efetuar a referida modificação, o objetivo do legislador foi apenas deixar evidente o que já estava estabelecido na redação original do dispositivo, ou seja, a vedação a qualquer atitude discriminatória que impeça o acesso ou a manutenção de relação de trabalho. Assim, na hipótese dos autos, em que houve a comprovação da ocorrência de dispensa retaliatória em razão de ajuizamento de reclamatória trabalhista anterior, a SBDI-I, por unanimidade, conheceu dos embargos, por divergência jurisprudencial, e, no mérito, por maioria, deu-lhes provimento para determinar a reintegração do reclamante ao emprego, com o pagamento de todas as verbas devidas no período de afastamento, corrigidas monetariamente e acrescidas de juros (art. 4º, I, da Lei nº 9.029/1995). Vencidos os Ministros Guilherme Augusto Caputo Bastos e Renato de Lacerda Paiva, os quais entendiam que, em razão da dispensa do autor ter se dado em julho de 2013, a ele se aplica a redação original do art. 1º da Lei nº 9.029/1995, que não comportava interpretação extensiva, na medida em que apresentava rol taxativo referente a condições pessoais do empregado (sexo, origem, raça, cor, estado civil, situação familiar ou idade), não englobando, </w:t>
      </w:r>
      <w:r>
        <w:rPr>
          <w:sz w:val="24"/>
          <w:szCs w:val="24"/>
        </w:rPr>
        <w:lastRenderedPageBreak/>
        <w:t xml:space="preserve">portanto, o caso da dispensa em razão de ajuizamento de ação. </w:t>
      </w:r>
      <w:hyperlink r:id="rId11" w:history="1">
        <w:r w:rsidRPr="00B876BA">
          <w:rPr>
            <w:rStyle w:val="Hyperlink"/>
            <w:sz w:val="24"/>
            <w:szCs w:val="24"/>
          </w:rPr>
          <w:t>TST-E-RR–807-35.2013.5.09.0892</w:t>
        </w:r>
      </w:hyperlink>
      <w:r w:rsidRPr="00B876BA">
        <w:rPr>
          <w:sz w:val="24"/>
          <w:szCs w:val="24"/>
          <w:u w:val="single"/>
        </w:rPr>
        <w:t>, SBDI-I, rel. Min.</w:t>
      </w:r>
      <w:r>
        <w:rPr>
          <w:sz w:val="24"/>
          <w:szCs w:val="24"/>
          <w:u w:val="single"/>
        </w:rPr>
        <w:t xml:space="preserve"> </w:t>
      </w:r>
      <w:r w:rsidRPr="00B876BA">
        <w:rPr>
          <w:sz w:val="24"/>
          <w:szCs w:val="24"/>
          <w:u w:val="single"/>
        </w:rPr>
        <w:t>Brito Pereira, 26.10.2017</w:t>
      </w:r>
    </w:p>
    <w:p w:rsidR="00EC04A5" w:rsidRPr="00EC04A5" w:rsidRDefault="00EC04A5" w:rsidP="00C61DAD">
      <w:pPr>
        <w:jc w:val="both"/>
        <w:rPr>
          <w:b/>
          <w:i/>
          <w:sz w:val="10"/>
          <w:szCs w:val="10"/>
        </w:rPr>
      </w:pPr>
    </w:p>
    <w:p w:rsidR="00EC04A5" w:rsidRPr="00E60A39" w:rsidRDefault="00EC04A5" w:rsidP="00EC04A5">
      <w:pPr>
        <w:jc w:val="both"/>
        <w:rPr>
          <w:b/>
          <w:i/>
          <w:sz w:val="24"/>
          <w:szCs w:val="24"/>
        </w:rPr>
      </w:pPr>
      <w:r w:rsidRPr="00E60A39">
        <w:rPr>
          <w:b/>
          <w:i/>
          <w:sz w:val="24"/>
          <w:szCs w:val="24"/>
        </w:rPr>
        <w:t xml:space="preserve">Embargos de declaração. Alegação de fato superveniente. Documento com data anterior ao </w:t>
      </w:r>
      <w:r>
        <w:rPr>
          <w:b/>
          <w:i/>
          <w:sz w:val="24"/>
          <w:szCs w:val="24"/>
        </w:rPr>
        <w:t xml:space="preserve">ajuizamento da reclamação trabalhista. Inovação ilegal no estado de fato da lide. </w:t>
      </w:r>
      <w:r w:rsidRPr="00E60A39">
        <w:rPr>
          <w:b/>
          <w:i/>
          <w:sz w:val="24"/>
          <w:szCs w:val="24"/>
        </w:rPr>
        <w:t xml:space="preserve">Litigância de má-fé. </w:t>
      </w:r>
      <w:r>
        <w:rPr>
          <w:b/>
          <w:i/>
          <w:sz w:val="24"/>
          <w:szCs w:val="24"/>
        </w:rPr>
        <w:t xml:space="preserve">Configuração. </w:t>
      </w:r>
    </w:p>
    <w:p w:rsidR="00EC04A5" w:rsidRPr="00E60A39" w:rsidRDefault="00EC04A5" w:rsidP="00EC04A5">
      <w:pPr>
        <w:jc w:val="both"/>
        <w:rPr>
          <w:sz w:val="24"/>
          <w:szCs w:val="24"/>
          <w:u w:val="single"/>
        </w:rPr>
      </w:pPr>
      <w:r w:rsidRPr="00E60A39">
        <w:rPr>
          <w:sz w:val="24"/>
          <w:szCs w:val="24"/>
        </w:rPr>
        <w:t>Considera-se litigância de má-fé o f</w:t>
      </w:r>
      <w:r>
        <w:rPr>
          <w:sz w:val="24"/>
          <w:szCs w:val="24"/>
        </w:rPr>
        <w:t>ato de a parte</w:t>
      </w:r>
      <w:r w:rsidRPr="00E60A39">
        <w:rPr>
          <w:sz w:val="24"/>
          <w:szCs w:val="24"/>
        </w:rPr>
        <w:t xml:space="preserve">, em sede de embargos de declaração, </w:t>
      </w:r>
      <w:r>
        <w:rPr>
          <w:sz w:val="24"/>
          <w:szCs w:val="24"/>
        </w:rPr>
        <w:t xml:space="preserve">sob a alegação de </w:t>
      </w:r>
      <w:r w:rsidRPr="00E60A39">
        <w:rPr>
          <w:sz w:val="24"/>
          <w:szCs w:val="24"/>
        </w:rPr>
        <w:t>existência de fato superveniente</w:t>
      </w:r>
      <w:r>
        <w:rPr>
          <w:sz w:val="24"/>
          <w:szCs w:val="24"/>
        </w:rPr>
        <w:t xml:space="preserve">, </w:t>
      </w:r>
      <w:r w:rsidRPr="00E60A39">
        <w:rPr>
          <w:sz w:val="24"/>
          <w:szCs w:val="24"/>
        </w:rPr>
        <w:t xml:space="preserve">apresentar documento com data </w:t>
      </w:r>
      <w:r>
        <w:rPr>
          <w:sz w:val="24"/>
          <w:szCs w:val="24"/>
        </w:rPr>
        <w:t xml:space="preserve">anterior ao ajuizamento da reclamação trabalhista, </w:t>
      </w:r>
      <w:r w:rsidRPr="00E60A39">
        <w:rPr>
          <w:sz w:val="24"/>
          <w:szCs w:val="24"/>
        </w:rPr>
        <w:t xml:space="preserve">sem alegar </w:t>
      </w:r>
      <w:r>
        <w:rPr>
          <w:sz w:val="24"/>
          <w:szCs w:val="24"/>
        </w:rPr>
        <w:t xml:space="preserve">o </w:t>
      </w:r>
      <w:r w:rsidRPr="00E60A39">
        <w:rPr>
          <w:sz w:val="24"/>
          <w:szCs w:val="24"/>
        </w:rPr>
        <w:t>justo impedimento</w:t>
      </w:r>
      <w:r>
        <w:rPr>
          <w:sz w:val="24"/>
          <w:szCs w:val="24"/>
        </w:rPr>
        <w:t xml:space="preserve"> a que se refere a Súmula nº 8 do TST</w:t>
      </w:r>
      <w:r w:rsidRPr="00E60A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Assim, configurada a inovação ilegal no estado de fato da lide, </w:t>
      </w:r>
      <w:r w:rsidRPr="00E60A39">
        <w:rPr>
          <w:sz w:val="24"/>
          <w:szCs w:val="24"/>
        </w:rPr>
        <w:t>a SBDI-I, por maioria,</w:t>
      </w:r>
      <w:r>
        <w:rPr>
          <w:sz w:val="24"/>
          <w:szCs w:val="24"/>
        </w:rPr>
        <w:t xml:space="preserve"> reputou o embargante litigante de má-fé e o condenou ao pagamento à embargada de multa de 2% sobre o valor atualizado da causa, nos termos do art. 81,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, do CPC de 2015. Vencidos os Ministros Luiz Philippe Vieira de Mello Filho e </w:t>
      </w:r>
      <w:r w:rsidRPr="00E60A39">
        <w:rPr>
          <w:sz w:val="24"/>
          <w:szCs w:val="24"/>
        </w:rPr>
        <w:t xml:space="preserve">Márcio Eurico Vitral Amaro. </w:t>
      </w:r>
      <w:hyperlink r:id="rId12" w:history="1">
        <w:r w:rsidRPr="007D6D94">
          <w:rPr>
            <w:rStyle w:val="Hyperlink"/>
            <w:sz w:val="24"/>
            <w:szCs w:val="24"/>
          </w:rPr>
          <w:t>TST-ED-E-RR-17554-76.2014.5.16.0004</w:t>
        </w:r>
      </w:hyperlink>
      <w:r w:rsidRPr="00E60A39">
        <w:rPr>
          <w:sz w:val="24"/>
          <w:szCs w:val="24"/>
          <w:u w:val="single"/>
        </w:rPr>
        <w:t>, SBDI-I, Min. Walmir Oliveira da Costa, 16.11.2017</w:t>
      </w:r>
    </w:p>
    <w:p w:rsidR="00A32D95" w:rsidRPr="00EC04A5" w:rsidRDefault="00A32D95" w:rsidP="00A32D95">
      <w:pPr>
        <w:autoSpaceDE/>
        <w:autoSpaceDN/>
        <w:jc w:val="both"/>
        <w:rPr>
          <w:rFonts w:eastAsia="Calibri"/>
          <w:u w:val="single"/>
          <w:lang w:eastAsia="en-US"/>
        </w:rPr>
      </w:pPr>
    </w:p>
    <w:p w:rsidR="00EC04A5" w:rsidRPr="00656063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6063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EC04A5" w:rsidRPr="00EC04A5" w:rsidRDefault="00EC04A5" w:rsidP="00EC04A5">
      <w:pPr>
        <w:jc w:val="both"/>
        <w:rPr>
          <w:sz w:val="10"/>
          <w:szCs w:val="10"/>
          <w:u w:val="single"/>
        </w:rPr>
      </w:pPr>
    </w:p>
    <w:p w:rsidR="00EC04A5" w:rsidRPr="00C51EE9" w:rsidRDefault="00EC04A5" w:rsidP="00EC04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Mandado de segurança. Ato coator proferido na vigência do CPC de 2015. Determinação de penhora incidente sobre percentual da aposentadoria. Legalidade. Ausência de ofensa a direito líquido e certo dos impetrantes. Art. 833, § 2º, do CPC de 2015. Não aplicação da Orientação Jurisprudencial nº 153 da SBDI-II.</w:t>
      </w:r>
    </w:p>
    <w:p w:rsidR="00EC04A5" w:rsidRDefault="00EC04A5" w:rsidP="00EC04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em que o ato impugnado foi proferido na vigência do CPC de 2015, não ofende direito líquido e certo dos impetrantes a penhora de 15% dos proventos de aposentadoria para pagamento de créditos trabalhistas efetuada nos termos do art. 833, § 2º, do CPC de 2015. O entendimento consagrado na Orientação Jurisprudencial nº 153 da SBDI-II não se aplica ao caso em concreto porque a diretriz ali definida restringe-se às penhoras efetuadas quando em vigor o CPC de 1973. </w:t>
      </w:r>
      <w:r w:rsidRPr="00C51EE9">
        <w:rPr>
          <w:sz w:val="24"/>
          <w:szCs w:val="24"/>
        </w:rPr>
        <w:t>Sob esse fundamento, a SBDI-</w:t>
      </w:r>
      <w:r>
        <w:rPr>
          <w:sz w:val="24"/>
          <w:szCs w:val="24"/>
        </w:rPr>
        <w:t>I</w:t>
      </w:r>
      <w:r w:rsidRPr="00C51EE9">
        <w:rPr>
          <w:sz w:val="24"/>
          <w:szCs w:val="24"/>
        </w:rPr>
        <w:t xml:space="preserve">I, à unanimidade, </w:t>
      </w:r>
      <w:r>
        <w:rPr>
          <w:sz w:val="24"/>
          <w:szCs w:val="24"/>
        </w:rPr>
        <w:t>conheceu</w:t>
      </w:r>
      <w:r w:rsidRPr="00C51EE9">
        <w:rPr>
          <w:sz w:val="24"/>
          <w:szCs w:val="24"/>
        </w:rPr>
        <w:t xml:space="preserve"> do recurso </w:t>
      </w:r>
      <w:r>
        <w:rPr>
          <w:sz w:val="24"/>
          <w:szCs w:val="24"/>
        </w:rPr>
        <w:t xml:space="preserve">ordinário dos impetrantes, e, no mérito, negou-lhe provimento. </w:t>
      </w:r>
      <w:hyperlink r:id="rId13" w:history="1">
        <w:r w:rsidRPr="007D6D94">
          <w:rPr>
            <w:rStyle w:val="Hyperlink"/>
            <w:sz w:val="24"/>
            <w:szCs w:val="24"/>
          </w:rPr>
          <w:t>TST-RO</w:t>
        </w:r>
        <w:r w:rsidR="007D6D94" w:rsidRPr="007D6D94">
          <w:rPr>
            <w:rStyle w:val="Hyperlink"/>
            <w:sz w:val="24"/>
            <w:szCs w:val="24"/>
          </w:rPr>
          <w:t>-</w:t>
        </w:r>
        <w:r w:rsidRPr="007D6D94">
          <w:rPr>
            <w:rStyle w:val="Hyperlink"/>
            <w:sz w:val="24"/>
            <w:szCs w:val="24"/>
          </w:rPr>
          <w:t>20605-38.2017.5.04.0000</w:t>
        </w:r>
      </w:hyperlink>
      <w:r w:rsidRPr="00C51EE9">
        <w:rPr>
          <w:sz w:val="24"/>
          <w:szCs w:val="24"/>
          <w:u w:val="single"/>
        </w:rPr>
        <w:t>, SBDI-I</w:t>
      </w:r>
      <w:r>
        <w:rPr>
          <w:sz w:val="24"/>
          <w:szCs w:val="24"/>
          <w:u w:val="single"/>
        </w:rPr>
        <w:t>I</w:t>
      </w:r>
      <w:r w:rsidRPr="00C51EE9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Delaíde Miranda Arantes</w:t>
      </w:r>
      <w:r w:rsidRPr="00C51EE9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17.10.2017</w:t>
      </w:r>
    </w:p>
    <w:p w:rsidR="00EC04A5" w:rsidRPr="00EC04A5" w:rsidRDefault="00EC04A5" w:rsidP="00EC04A5">
      <w:pPr>
        <w:jc w:val="both"/>
        <w:rPr>
          <w:b/>
          <w:i/>
          <w:sz w:val="10"/>
          <w:szCs w:val="10"/>
        </w:rPr>
      </w:pPr>
    </w:p>
    <w:p w:rsidR="00EC04A5" w:rsidRPr="00A12420" w:rsidRDefault="00EC04A5" w:rsidP="00EC04A5">
      <w:pPr>
        <w:jc w:val="both"/>
        <w:rPr>
          <w:b/>
          <w:i/>
          <w:sz w:val="24"/>
          <w:szCs w:val="24"/>
        </w:rPr>
      </w:pPr>
      <w:r w:rsidRPr="00A12420">
        <w:rPr>
          <w:b/>
          <w:i/>
          <w:sz w:val="24"/>
          <w:szCs w:val="24"/>
        </w:rPr>
        <w:t xml:space="preserve">Ação </w:t>
      </w:r>
      <w:r>
        <w:rPr>
          <w:b/>
          <w:i/>
          <w:sz w:val="24"/>
          <w:szCs w:val="24"/>
        </w:rPr>
        <w:t>c</w:t>
      </w:r>
      <w:r w:rsidRPr="00A12420">
        <w:rPr>
          <w:b/>
          <w:i/>
          <w:sz w:val="24"/>
          <w:szCs w:val="24"/>
        </w:rPr>
        <w:t xml:space="preserve">ivil </w:t>
      </w:r>
      <w:r>
        <w:rPr>
          <w:b/>
          <w:i/>
          <w:sz w:val="24"/>
          <w:szCs w:val="24"/>
        </w:rPr>
        <w:t>p</w:t>
      </w:r>
      <w:r w:rsidRPr="00A12420">
        <w:rPr>
          <w:b/>
          <w:i/>
          <w:sz w:val="24"/>
          <w:szCs w:val="24"/>
        </w:rPr>
        <w:t>ública. Sociedade de advogados. Admissão de advogados como associados para dissimular relações de emprego. Conselho Federal da Ordem dos Advogados do Brasil. Ingresso como assistente simples. Possibilidade.</w:t>
      </w:r>
    </w:p>
    <w:p w:rsidR="00EC04A5" w:rsidRDefault="00EC04A5" w:rsidP="00EC04A5">
      <w:pPr>
        <w:jc w:val="both"/>
        <w:rPr>
          <w:sz w:val="24"/>
          <w:szCs w:val="24"/>
          <w:u w:val="single"/>
        </w:rPr>
      </w:pPr>
      <w:r w:rsidRPr="00A12420">
        <w:rPr>
          <w:sz w:val="24"/>
          <w:szCs w:val="24"/>
        </w:rPr>
        <w:t>A SBDI-II, por unanimidade, conheceu de recurso ordinário em mandado de segurança e, no mérito, por maioria, deu-lhe provimento para reconhecer a possibilidade de o Conselho Federal da Ordem dos Advogados do Brasil participar como assistente simples em ação civil pública ajuizada em desfavor de sociedade de advogados, cuja controvérsia diz respeito à possibilidade de advogados serem admitidos como associados com o intuito de</w:t>
      </w:r>
      <w:r>
        <w:rPr>
          <w:sz w:val="24"/>
          <w:szCs w:val="24"/>
        </w:rPr>
        <w:t xml:space="preserve"> dissimular relações</w:t>
      </w:r>
      <w:r w:rsidRPr="00A12420">
        <w:rPr>
          <w:sz w:val="24"/>
          <w:szCs w:val="24"/>
        </w:rPr>
        <w:t xml:space="preserve"> de emprego. Na hipótese, a</w:t>
      </w:r>
      <w:r w:rsidRPr="00A12420">
        <w:rPr>
          <w:bCs/>
          <w:sz w:val="24"/>
          <w:szCs w:val="24"/>
        </w:rPr>
        <w:t xml:space="preserve"> segurança foi denegada pela Corte Regional sob o fundamento de que a pretensão do Conselho não era a de defender em Juízo interesses coletivos ou individuais de advogados, ou intervir em processo em que advogado fosse indiciado, acusado ou ofendido, mas, sim, prestar assistência jurídica à sociedade dos advogados demandada na ação principal. Todavia, prevaleceu o entendimento de</w:t>
      </w:r>
      <w:r>
        <w:rPr>
          <w:bCs/>
          <w:sz w:val="24"/>
          <w:szCs w:val="24"/>
        </w:rPr>
        <w:t xml:space="preserve"> que</w:t>
      </w:r>
      <w:r w:rsidRPr="00A12420">
        <w:rPr>
          <w:bCs/>
          <w:sz w:val="24"/>
          <w:szCs w:val="24"/>
        </w:rPr>
        <w:t xml:space="preserve"> há interesse do Conselho Federal da OAB, tendo em vista a natureza abstrata do provimento decorrente de ações civis públicas e o fato de a matéria discutida no processo matriz estar relacionada à própria forma de organização dos escritórios e das sociedades de advogados. Vencidos os Ministros Douglas Alencar Rodrigues, relator, Lelio Bentes Corrêa e Alberto Luiz Bresciani de Fontan Pereira. </w:t>
      </w:r>
      <w:hyperlink r:id="rId14" w:history="1">
        <w:r w:rsidRPr="007D6D94">
          <w:rPr>
            <w:rStyle w:val="Hyperlink"/>
            <w:sz w:val="24"/>
            <w:szCs w:val="24"/>
          </w:rPr>
          <w:t>TST-RO-259-46.2016.5.06.0000</w:t>
        </w:r>
      </w:hyperlink>
      <w:r w:rsidRPr="00A12420">
        <w:rPr>
          <w:sz w:val="24"/>
          <w:szCs w:val="24"/>
          <w:u w:val="single"/>
        </w:rPr>
        <w:t>, SBDI-II, rel. Min. Douglas Alencar Rodrigues, red. p/ acórdão Min. Ives Gandra Martins Filho, 17.10.2017</w:t>
      </w:r>
    </w:p>
    <w:p w:rsidR="00EC04A5" w:rsidRPr="00A12420" w:rsidRDefault="00EC04A5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AE" w:rsidRDefault="006F1AAE">
      <w:r>
        <w:separator/>
      </w:r>
    </w:p>
  </w:endnote>
  <w:endnote w:type="continuationSeparator" w:id="0">
    <w:p w:rsidR="006F1AAE" w:rsidRDefault="006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606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656063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656063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AE" w:rsidRDefault="006F1AAE">
      <w:r>
        <w:separator/>
      </w:r>
    </w:p>
  </w:footnote>
  <w:footnote w:type="continuationSeparator" w:id="0">
    <w:p w:rsidR="006F1AAE" w:rsidRDefault="006F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656063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5606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A02580" w:rsidRPr="0065606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EC04A5" w:rsidRPr="0065606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27684A" w:rsidRPr="005D1DE4" w:rsidRDefault="00656063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C61DAD">
      <w:rPr>
        <w:i/>
        <w:iCs/>
      </w:rPr>
      <w:t>1</w:t>
    </w:r>
    <w:r w:rsidR="00EC04A5">
      <w:rPr>
        <w:i/>
        <w:iCs/>
      </w:rPr>
      <w:t>7 de outubro a 20 de novembro</w:t>
    </w:r>
    <w:r w:rsidR="00C61DAD">
      <w:rPr>
        <w:i/>
        <w:iCs/>
      </w:rPr>
      <w:t xml:space="preserve"> </w:t>
    </w:r>
    <w:r w:rsidR="00552D4A">
      <w:rPr>
        <w:i/>
        <w:iCs/>
      </w:rPr>
      <w:t>d</w:t>
    </w:r>
    <w:r w:rsidR="00063834">
      <w:rPr>
        <w:i/>
        <w:iCs/>
      </w:rPr>
      <w:t>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656063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A02580">
      <w:rPr>
        <w:b/>
        <w:sz w:val="40"/>
        <w:szCs w:val="40"/>
      </w:rPr>
      <w:t>6</w:t>
    </w:r>
    <w:r w:rsidR="00EC04A5">
      <w:rPr>
        <w:b/>
        <w:sz w:val="40"/>
        <w:szCs w:val="40"/>
      </w:rPr>
      <w:t>8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C61DAD">
      <w:rPr>
        <w:i/>
        <w:iCs/>
      </w:rPr>
      <w:t>1</w:t>
    </w:r>
    <w:r w:rsidR="00EC04A5">
      <w:rPr>
        <w:i/>
        <w:iCs/>
      </w:rPr>
      <w:t>7</w:t>
    </w:r>
    <w:r w:rsidR="00552D4A">
      <w:rPr>
        <w:i/>
        <w:iCs/>
      </w:rPr>
      <w:t xml:space="preserve"> de outubro</w:t>
    </w:r>
    <w:r w:rsidR="00EC04A5">
      <w:rPr>
        <w:i/>
        <w:iCs/>
      </w:rPr>
      <w:t xml:space="preserve"> a 20 de novembro </w:t>
    </w:r>
    <w:r w:rsidR="00DC30DD">
      <w:rPr>
        <w:i/>
        <w:iCs/>
      </w:rPr>
      <w:t>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6367"/>
    <w:rsid w:val="00556B35"/>
    <w:rsid w:val="005703D6"/>
    <w:rsid w:val="00572803"/>
    <w:rsid w:val="00573E13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25DD"/>
    <w:rsid w:val="00643B60"/>
    <w:rsid w:val="006456B1"/>
    <w:rsid w:val="00656063"/>
    <w:rsid w:val="006564EC"/>
    <w:rsid w:val="0066084C"/>
    <w:rsid w:val="00661B23"/>
    <w:rsid w:val="00665CCF"/>
    <w:rsid w:val="00672CF9"/>
    <w:rsid w:val="00672E11"/>
    <w:rsid w:val="0068273B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3F5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D95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5D"/>
    <w:rsid w:val="00AA3DE0"/>
    <w:rsid w:val="00AB04BD"/>
    <w:rsid w:val="00AB299E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6218"/>
    <w:rsid w:val="00B874F1"/>
    <w:rsid w:val="00B877E0"/>
    <w:rsid w:val="00BC1DE7"/>
    <w:rsid w:val="00BC1FE2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74F6"/>
    <w:rsid w:val="00E9503C"/>
    <w:rsid w:val="00E956D9"/>
    <w:rsid w:val="00EA10DA"/>
    <w:rsid w:val="00EA1958"/>
    <w:rsid w:val="00EA29F5"/>
    <w:rsid w:val="00EA482D"/>
    <w:rsid w:val="00EA52B3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511EE"/>
    <w:rsid w:val="00F52475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20605&amp;digitoTst=38&amp;anoTst=2017&amp;orgaoTst=5&amp;tribunalTst=04&amp;varaTst=0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7554&amp;digitoTst=76&amp;anoTst=2014&amp;orgaoTst=5&amp;tribunalTst=16&amp;varaTst=000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807&amp;digitoTst=35&amp;anoTst=2013&amp;orgaoTst=5&amp;tribunalTst=09&amp;varaTst=0892&amp;submit=Consulta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4.tst.jus.br/consultaProcessual/consultaTstNumUnica.do?consulta=Consultar&amp;conscsjt=&amp;numeroTst=2852&amp;digitoTst=66&amp;anoTst=2011&amp;orgaoTst=5&amp;tribunalTst=02&amp;varaTst=0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779&amp;digitoTst=35&amp;anoTst=2013&amp;orgaoTst=5&amp;tribunalTst=03&amp;varaTst=0019" TargetMode="External"/><Relationship Id="rId14" Type="http://schemas.openxmlformats.org/officeDocument/2006/relationships/hyperlink" Target="http://aplicacao4.tst.jus.br/consultaProcessual/consultaTstNumUnica.do?consulta=Consultar&amp;conscsjt=&amp;numeroTst=259&amp;digitoTst=46&amp;anoTst=2016&amp;orgaoTst=5&amp;tribunalTst=06&amp;varaTst=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1E33-44AE-4C40-8F8D-D5A356D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8995</CharactersWithSpaces>
  <SharedDoc>false</SharedDoc>
  <HLinks>
    <vt:vector size="36" baseType="variant">
      <vt:variant>
        <vt:i4>6029312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http://aplicacao4.tst.jus.br/consultaProcessual/consultaTstNumUnica.do?consulta=Consultar&amp;conscsjt=&amp;numeroTst=259&amp;digitoTst=46&amp;anoTst=2016&amp;orgaoTst=5&amp;tribunalTst=06&amp;varaTst=0000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http://aplicacao4.tst.jus.br/consultaProcessual/consultaTstNumUnica.do?consulta=Consultar&amp;conscsjt=&amp;numeroTst=20605&amp;digitoTst=38&amp;anoTst=2017&amp;orgaoTst=5&amp;tribunalTst=04&amp;varaTst=0000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http://aplicacao4.tst.jus.br/consultaProcessual/consultaTstNumUnica.do?consulta=Consultar&amp;conscsjt=&amp;numeroTst=17554&amp;digitoTst=76&amp;anoTst=2014&amp;orgaoTst=5&amp;tribunalTst=16&amp;varaTst=0004</vt:lpwstr>
      </vt:variant>
      <vt:variant>
        <vt:lpwstr/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http://aplicacao4.tst.jus.br/consultaProcessual/consultaTstNumUnica.do?consulta=Consultar&amp;conscsjt=&amp;numeroTst=807&amp;digitoTst=35&amp;anoTst=2013&amp;orgaoTst=5&amp;tribunalTst=09&amp;varaTst=0892&amp;submit=Consultar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http://aplicacao4.tst.jus.br/consultaProcessual/consultaTstNumUnica.do?consulta=Consultar&amp;conscsjt=&amp;numeroTst=2852&amp;digitoTst=66&amp;anoTst=2011&amp;orgaoTst=5&amp;tribunalTst=02&amp;varaTst=0022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http://aplicacao4.tst.jus.br/consultaProcessual/consultaTstNumUnica.do?consulta=Consultar&amp;conscsjt=&amp;numeroTst=779&amp;digitoTst=35&amp;anoTst=2013&amp;orgaoTst=5&amp;tribunalTst=03&amp;varaTst=0019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p006853</cp:lastModifiedBy>
  <cp:revision>2</cp:revision>
  <cp:lastPrinted>2017-03-06T18:28:00Z</cp:lastPrinted>
  <dcterms:created xsi:type="dcterms:W3CDTF">2017-11-23T16:56:00Z</dcterms:created>
  <dcterms:modified xsi:type="dcterms:W3CDTF">2017-11-23T16:56:00Z</dcterms:modified>
</cp:coreProperties>
</file>