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CE7555"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pPr>
            <w:r w:rsidRPr="00CE7555">
              <w:t>Este Informativo, elaborado a partir de notas tomadas nas sessões de julgamentos, contém resumos não</w:t>
            </w:r>
            <w:r w:rsidR="00DC50EB" w:rsidRPr="00CE7555">
              <w:t xml:space="preserve"> </w:t>
            </w:r>
            <w:r w:rsidRPr="00CE7555">
              <w:t>oficiais de decisões proferidas pelo Tribunal. A fidelidade dos resumos ao conteúdo efetivo das decisões, embora seja uma das metas perseguidas neste trabalho, somente poderá ser aferida após a sua publicação no Diário</w:t>
            </w:r>
            <w:r w:rsidR="00980944" w:rsidRPr="00CE7555">
              <w:t xml:space="preserve"> Eletrônico </w:t>
            </w:r>
            <w:r w:rsidRPr="00CE7555">
              <w:t>da Justiça</w:t>
            </w:r>
            <w:r w:rsidR="00980944" w:rsidRPr="00CE7555">
              <w:t xml:space="preserve"> do Trabalho</w:t>
            </w:r>
            <w:r w:rsidRPr="00CE7555">
              <w:t>.</w:t>
            </w:r>
          </w:p>
          <w:p w:rsidR="00730CC7" w:rsidRPr="00E531C9" w:rsidRDefault="00730CC7" w:rsidP="00DC50EB">
            <w:pPr>
              <w:pStyle w:val="Cabealho"/>
              <w:tabs>
                <w:tab w:val="clear" w:pos="4419"/>
                <w:tab w:val="clear" w:pos="8838"/>
              </w:tabs>
              <w:jc w:val="both"/>
              <w:rPr>
                <w:sz w:val="10"/>
                <w:szCs w:val="10"/>
              </w:rPr>
            </w:pPr>
          </w:p>
        </w:tc>
      </w:tr>
    </w:tbl>
    <w:p w:rsidR="00B03BC8" w:rsidRPr="00CF4D01" w:rsidRDefault="00194264" w:rsidP="00B03BC8">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CF4D01">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TRIBUNAL PLENO</w:t>
      </w:r>
    </w:p>
    <w:p w:rsidR="00FA1DCF" w:rsidRPr="00223F6E" w:rsidRDefault="00FA1DCF" w:rsidP="00B03BC8">
      <w:pPr>
        <w:jc w:val="both"/>
        <w:rPr>
          <w:sz w:val="24"/>
          <w:szCs w:val="24"/>
          <w:u w:val="single"/>
        </w:rPr>
      </w:pPr>
    </w:p>
    <w:p w:rsidR="00194264" w:rsidRPr="00223F6E" w:rsidRDefault="00194264" w:rsidP="00223F6E">
      <w:pPr>
        <w:jc w:val="both"/>
        <w:rPr>
          <w:sz w:val="24"/>
          <w:szCs w:val="24"/>
        </w:rPr>
      </w:pPr>
      <w:r w:rsidRPr="00223F6E">
        <w:rPr>
          <w:sz w:val="24"/>
          <w:szCs w:val="24"/>
        </w:rPr>
        <w:t>O Tribunal Pleno, na sessão ordinária do dia 18.9.2017, aprovou as seguintes modificações na jurisprudên</w:t>
      </w:r>
      <w:bookmarkStart w:id="0" w:name="_GoBack"/>
      <w:bookmarkEnd w:id="0"/>
      <w:r w:rsidRPr="00223F6E">
        <w:rPr>
          <w:sz w:val="24"/>
          <w:szCs w:val="24"/>
        </w:rPr>
        <w:t>cia da Corte publicadas no DEJT divulgado em 21, 22 e 25.9.2017 (Resolução nº 220):</w:t>
      </w:r>
    </w:p>
    <w:p w:rsidR="00194264" w:rsidRPr="00223F6E" w:rsidRDefault="00194264" w:rsidP="00194264">
      <w:pPr>
        <w:jc w:val="both"/>
        <w:rPr>
          <w:sz w:val="24"/>
          <w:szCs w:val="24"/>
        </w:rPr>
      </w:pPr>
    </w:p>
    <w:p w:rsidR="00223F6E" w:rsidRPr="00223F6E" w:rsidRDefault="00223F6E" w:rsidP="00223F6E">
      <w:pPr>
        <w:pStyle w:val="TemaSDI2"/>
        <w:spacing w:before="0"/>
        <w:rPr>
          <w:bCs/>
          <w:sz w:val="24"/>
          <w:szCs w:val="24"/>
        </w:rPr>
      </w:pPr>
      <w:r w:rsidRPr="00223F6E">
        <w:rPr>
          <w:bCs/>
          <w:sz w:val="24"/>
          <w:szCs w:val="24"/>
        </w:rPr>
        <w:t>Súmula nº 337 do tst</w:t>
      </w:r>
    </w:p>
    <w:p w:rsidR="00223F6E" w:rsidRPr="00223F6E" w:rsidRDefault="00223F6E" w:rsidP="00223F6E">
      <w:pPr>
        <w:jc w:val="both"/>
        <w:rPr>
          <w:b/>
          <w:iCs/>
          <w:sz w:val="24"/>
          <w:szCs w:val="24"/>
        </w:rPr>
      </w:pPr>
      <w:r w:rsidRPr="00223F6E">
        <w:rPr>
          <w:iCs/>
          <w:sz w:val="24"/>
          <w:szCs w:val="24"/>
        </w:rPr>
        <w:t>COMPROVAÇÃO DE DIVERGÊNCIA JURISPRUDENCIAL. RECURSOS DE REVISTA E DE EMBARGOS</w:t>
      </w:r>
      <w:r w:rsidRPr="00223F6E">
        <w:rPr>
          <w:b/>
          <w:iCs/>
          <w:sz w:val="24"/>
          <w:szCs w:val="24"/>
        </w:rPr>
        <w:t xml:space="preserve"> (incluído o item V)</w:t>
      </w:r>
    </w:p>
    <w:p w:rsidR="00223F6E" w:rsidRPr="00223F6E" w:rsidRDefault="00223F6E" w:rsidP="00223F6E">
      <w:pPr>
        <w:jc w:val="both"/>
        <w:rPr>
          <w:iCs/>
          <w:sz w:val="24"/>
          <w:szCs w:val="24"/>
        </w:rPr>
      </w:pPr>
      <w:r w:rsidRPr="00223F6E">
        <w:rPr>
          <w:iCs/>
          <w:sz w:val="24"/>
          <w:szCs w:val="24"/>
        </w:rPr>
        <w:t xml:space="preserve">I - Para comprovação da divergência justificadora do recurso, é necessário que o recorrente. </w:t>
      </w:r>
    </w:p>
    <w:p w:rsidR="00223F6E" w:rsidRPr="00223F6E" w:rsidRDefault="00223F6E" w:rsidP="00223F6E">
      <w:pPr>
        <w:jc w:val="both"/>
        <w:rPr>
          <w:iCs/>
          <w:sz w:val="24"/>
          <w:szCs w:val="24"/>
        </w:rPr>
      </w:pPr>
      <w:r w:rsidRPr="00223F6E">
        <w:rPr>
          <w:iCs/>
          <w:sz w:val="24"/>
          <w:szCs w:val="24"/>
        </w:rPr>
        <w:t xml:space="preserve">a) Junte certidão ou cópia autenticada do acórdão paradigma ou cite a fonte oficial ou o repositório autorizado em que foi publicado; e </w:t>
      </w:r>
    </w:p>
    <w:p w:rsidR="00223F6E" w:rsidRPr="00223F6E" w:rsidRDefault="00223F6E" w:rsidP="00223F6E">
      <w:pPr>
        <w:jc w:val="both"/>
        <w:rPr>
          <w:iCs/>
          <w:sz w:val="24"/>
          <w:szCs w:val="24"/>
        </w:rPr>
      </w:pPr>
      <w:r w:rsidRPr="00223F6E">
        <w:rPr>
          <w:iCs/>
          <w:sz w:val="24"/>
          <w:szCs w:val="24"/>
        </w:rPr>
        <w:t xml:space="preserve">b) Transcreva, nas razões recursais, as ementas e/ou trechos dos acórdãos trazidos à configuração do dissídio, demonstrando o conflito de teses que justifique o conhecimento do recurso, ainda que os acórdãos já se encontrem nos autos ou venham a ser juntados com o recurso. (ex-Súmula nº 337 – alterada pela Res. 121/2003, DJ 21.11.2003) </w:t>
      </w:r>
    </w:p>
    <w:p w:rsidR="00223F6E" w:rsidRPr="00223F6E" w:rsidRDefault="00223F6E" w:rsidP="00223F6E">
      <w:pPr>
        <w:jc w:val="both"/>
        <w:rPr>
          <w:iCs/>
          <w:sz w:val="24"/>
          <w:szCs w:val="24"/>
        </w:rPr>
      </w:pPr>
      <w:r w:rsidRPr="00223F6E">
        <w:rPr>
          <w:iCs/>
          <w:sz w:val="24"/>
          <w:szCs w:val="24"/>
        </w:rPr>
        <w:t xml:space="preserve">II - A concessão de registro de publicação como repositório autorizado de jurisprudência do TST torna válidas todas as suas edições anteriores. (ex-OJ nº 317 da SBDI-I - DJ 11.08.2003) </w:t>
      </w:r>
    </w:p>
    <w:p w:rsidR="00223F6E" w:rsidRPr="00223F6E" w:rsidRDefault="00223F6E" w:rsidP="00223F6E">
      <w:pPr>
        <w:jc w:val="both"/>
        <w:rPr>
          <w:iCs/>
          <w:sz w:val="24"/>
          <w:szCs w:val="24"/>
        </w:rPr>
      </w:pPr>
      <w:r w:rsidRPr="00223F6E">
        <w:rPr>
          <w:iCs/>
          <w:sz w:val="24"/>
          <w:szCs w:val="24"/>
        </w:rPr>
        <w:t xml:space="preserve">III – A mera indicação da data de publicação, em fonte oficial, de aresto paradigma é inválida para comprovação de divergência jurisprudencial, nos termos do item I, “a”, desta súmula, quando a parte pretende demonstrar o conflito de teses mediante a transcrição de trechos que integram a fundamentação do acórdão divergente, uma vez que só se publicam o dispositivo e a ementa dos acórdãos. </w:t>
      </w:r>
    </w:p>
    <w:p w:rsidR="00223F6E" w:rsidRPr="00223F6E" w:rsidRDefault="00223F6E" w:rsidP="00223F6E">
      <w:pPr>
        <w:jc w:val="both"/>
        <w:rPr>
          <w:iCs/>
          <w:sz w:val="24"/>
          <w:szCs w:val="24"/>
        </w:rPr>
      </w:pPr>
      <w:r w:rsidRPr="00223F6E">
        <w:rPr>
          <w:iCs/>
          <w:sz w:val="24"/>
          <w:szCs w:val="24"/>
        </w:rPr>
        <w:t xml:space="preserve">IV – É válida para a comprovação da divergência jurisprudencial justificadora do recurso a indicação de aresto extraído de repositório oficial na internet, desde que o recorrente: </w:t>
      </w:r>
    </w:p>
    <w:p w:rsidR="00223F6E" w:rsidRPr="00223F6E" w:rsidRDefault="00223F6E" w:rsidP="00223F6E">
      <w:pPr>
        <w:jc w:val="both"/>
        <w:rPr>
          <w:iCs/>
          <w:sz w:val="24"/>
          <w:szCs w:val="24"/>
        </w:rPr>
      </w:pPr>
      <w:r w:rsidRPr="00223F6E">
        <w:rPr>
          <w:iCs/>
          <w:sz w:val="24"/>
          <w:szCs w:val="24"/>
        </w:rPr>
        <w:t xml:space="preserve">a) transcreva o trecho divergente; </w:t>
      </w:r>
    </w:p>
    <w:p w:rsidR="00223F6E" w:rsidRPr="00223F6E" w:rsidRDefault="00223F6E" w:rsidP="00223F6E">
      <w:pPr>
        <w:jc w:val="both"/>
        <w:rPr>
          <w:iCs/>
          <w:sz w:val="24"/>
          <w:szCs w:val="24"/>
        </w:rPr>
      </w:pPr>
      <w:r w:rsidRPr="00223F6E">
        <w:rPr>
          <w:iCs/>
          <w:sz w:val="24"/>
          <w:szCs w:val="24"/>
        </w:rPr>
        <w:t xml:space="preserve">b) aponte o sítio de onde foi extraído; e </w:t>
      </w:r>
    </w:p>
    <w:p w:rsidR="00223F6E" w:rsidRPr="00223F6E" w:rsidRDefault="00223F6E" w:rsidP="00223F6E">
      <w:pPr>
        <w:jc w:val="both"/>
        <w:rPr>
          <w:iCs/>
          <w:sz w:val="24"/>
          <w:szCs w:val="24"/>
        </w:rPr>
      </w:pPr>
      <w:r w:rsidRPr="00223F6E">
        <w:rPr>
          <w:iCs/>
          <w:sz w:val="24"/>
          <w:szCs w:val="24"/>
        </w:rPr>
        <w:t>c) decline o número do processo, o órgão prolator do acórdão e a data da respectiva publicação no Diário Eletrônico da Justiça do Trabalho.</w:t>
      </w:r>
    </w:p>
    <w:p w:rsidR="00223F6E" w:rsidRPr="00223F6E" w:rsidRDefault="00223F6E" w:rsidP="00223F6E">
      <w:pPr>
        <w:jc w:val="both"/>
        <w:rPr>
          <w:iCs/>
          <w:sz w:val="24"/>
          <w:szCs w:val="24"/>
        </w:rPr>
      </w:pPr>
      <w:r w:rsidRPr="00223F6E">
        <w:rPr>
          <w:iCs/>
          <w:sz w:val="24"/>
          <w:szCs w:val="24"/>
        </w:rPr>
        <w:t xml:space="preserve">V – A existência do código de autenticidade na cópia, em formato </w:t>
      </w:r>
      <w:r w:rsidRPr="00223F6E">
        <w:rPr>
          <w:i/>
          <w:iCs/>
          <w:sz w:val="24"/>
          <w:szCs w:val="24"/>
        </w:rPr>
        <w:t>pdf</w:t>
      </w:r>
      <w:r w:rsidRPr="00223F6E">
        <w:rPr>
          <w:iCs/>
          <w:sz w:val="24"/>
          <w:szCs w:val="24"/>
        </w:rPr>
        <w:t xml:space="preserve">, do inteiro teor do aresto paradigma, juntada aos autos, torna-a equivalente ao documento original e também supre a ausência de indicação da fonte oficial de publicação. </w:t>
      </w:r>
    </w:p>
    <w:p w:rsidR="00223F6E" w:rsidRPr="00223F6E" w:rsidRDefault="00223F6E" w:rsidP="00194264">
      <w:pPr>
        <w:pStyle w:val="TemaSDI2"/>
        <w:spacing w:before="0"/>
        <w:rPr>
          <w:bCs/>
          <w:sz w:val="24"/>
          <w:szCs w:val="24"/>
        </w:rPr>
      </w:pPr>
    </w:p>
    <w:p w:rsidR="00194264" w:rsidRPr="00223F6E" w:rsidRDefault="00194264" w:rsidP="00194264">
      <w:pPr>
        <w:pStyle w:val="TemaSDI2"/>
        <w:spacing w:before="0"/>
        <w:rPr>
          <w:bCs/>
          <w:sz w:val="24"/>
          <w:szCs w:val="24"/>
        </w:rPr>
      </w:pPr>
      <w:r w:rsidRPr="00223F6E">
        <w:rPr>
          <w:bCs/>
          <w:sz w:val="24"/>
          <w:szCs w:val="24"/>
        </w:rPr>
        <w:t>Súmula nº 385 do tst</w:t>
      </w:r>
    </w:p>
    <w:p w:rsidR="00194264" w:rsidRPr="00223F6E" w:rsidRDefault="00194264" w:rsidP="00194264">
      <w:pPr>
        <w:jc w:val="both"/>
        <w:rPr>
          <w:b/>
          <w:sz w:val="24"/>
          <w:szCs w:val="24"/>
        </w:rPr>
      </w:pPr>
      <w:r w:rsidRPr="00223F6E">
        <w:rPr>
          <w:sz w:val="24"/>
          <w:szCs w:val="24"/>
        </w:rPr>
        <w:t>FERIADO LOCAL OU FORENSE. AUSÊNCIA DE EXPEDIENTE. PRAZO RECURSAL. PRORROGAÇÃO. COMPROVAÇÃO. NECESSIDADE.</w:t>
      </w:r>
      <w:r w:rsidRPr="00223F6E">
        <w:rPr>
          <w:b/>
          <w:sz w:val="24"/>
          <w:szCs w:val="24"/>
        </w:rPr>
        <w:t xml:space="preserve"> (alterada em decorrência do CPC de 2015)</w:t>
      </w:r>
    </w:p>
    <w:p w:rsidR="00194264" w:rsidRPr="00223F6E" w:rsidRDefault="00194264" w:rsidP="00194264">
      <w:pPr>
        <w:jc w:val="both"/>
        <w:rPr>
          <w:sz w:val="24"/>
          <w:szCs w:val="24"/>
        </w:rPr>
      </w:pPr>
      <w:r w:rsidRPr="00223F6E">
        <w:rPr>
          <w:sz w:val="24"/>
          <w:szCs w:val="24"/>
        </w:rPr>
        <w:t>I – Incumbe à parte o ônus de provar, quando da interposição do recurso, a existência de feriado local que autorize a prorrogação do prazo recursal (art. 1.003, § 6º, do CPC de 2015). No caso de o recorrente alegar a existência de feriado local e não o comprovar no momento da interposição do recurso, cumpre ao relator conceder o prazo de 5 (cinco) dias para que seja sanado o vício (art. 932, parágrafo único, do CPC de 2015), sob pena de não conhecimento se da comprovação depender a tempestividade recursal;</w:t>
      </w:r>
    </w:p>
    <w:p w:rsidR="00194264" w:rsidRPr="00223F6E" w:rsidRDefault="00194264" w:rsidP="00194264">
      <w:pPr>
        <w:jc w:val="both"/>
        <w:rPr>
          <w:sz w:val="24"/>
          <w:szCs w:val="24"/>
        </w:rPr>
      </w:pPr>
      <w:r w:rsidRPr="00223F6E">
        <w:rPr>
          <w:sz w:val="24"/>
          <w:szCs w:val="24"/>
        </w:rPr>
        <w:lastRenderedPageBreak/>
        <w:t>II – Na hipótese de feriado forense, incumbirá à autoridade que proferir a decisão de admissibilidade certificar o expediente nos autos;</w:t>
      </w:r>
    </w:p>
    <w:p w:rsidR="00194264" w:rsidRPr="00223F6E" w:rsidRDefault="00194264" w:rsidP="00194264">
      <w:pPr>
        <w:jc w:val="both"/>
        <w:rPr>
          <w:sz w:val="24"/>
          <w:szCs w:val="24"/>
        </w:rPr>
      </w:pPr>
      <w:r w:rsidRPr="00223F6E">
        <w:rPr>
          <w:sz w:val="24"/>
          <w:szCs w:val="24"/>
        </w:rPr>
        <w:t>III – Admite-se a reconsideração da análise da tempestividade do recurso, mediante prova documental superveniente, em agravo de instrumento, agravo interno, agravo regimental, ou embargos de declaração, desde que, em momento anterior, não tenha havido a concessão de prazo para a comprovação da ausência de expediente forense.</w:t>
      </w:r>
    </w:p>
    <w:p w:rsidR="00194264" w:rsidRPr="00223F6E" w:rsidRDefault="00194264" w:rsidP="00194264">
      <w:pPr>
        <w:ind w:left="1134"/>
        <w:jc w:val="both"/>
        <w:rPr>
          <w:sz w:val="24"/>
          <w:szCs w:val="24"/>
          <w:lang w:eastAsia="en-US"/>
        </w:rPr>
      </w:pPr>
    </w:p>
    <w:p w:rsidR="00194264" w:rsidRPr="00223F6E" w:rsidRDefault="00194264" w:rsidP="00194264">
      <w:pPr>
        <w:pStyle w:val="TemaSDI2"/>
        <w:spacing w:before="0"/>
        <w:rPr>
          <w:bCs/>
          <w:sz w:val="24"/>
          <w:szCs w:val="24"/>
        </w:rPr>
      </w:pPr>
      <w:r w:rsidRPr="00223F6E">
        <w:rPr>
          <w:bCs/>
          <w:sz w:val="24"/>
          <w:szCs w:val="24"/>
        </w:rPr>
        <w:t>OJ nº 318 da SBDI-I</w:t>
      </w:r>
    </w:p>
    <w:p w:rsidR="00194264" w:rsidRPr="00223F6E" w:rsidRDefault="00194264" w:rsidP="00194264">
      <w:pPr>
        <w:jc w:val="both"/>
        <w:rPr>
          <w:b/>
          <w:caps/>
          <w:sz w:val="24"/>
          <w:szCs w:val="24"/>
        </w:rPr>
      </w:pPr>
      <w:r w:rsidRPr="00223F6E">
        <w:rPr>
          <w:caps/>
          <w:sz w:val="24"/>
          <w:szCs w:val="24"/>
        </w:rPr>
        <w:t>AUTARQUIA. FUNDaÇÃO PÚBLICA.  legitimidade para recorrer. representação processual.</w:t>
      </w:r>
      <w:r w:rsidRPr="00223F6E">
        <w:rPr>
          <w:b/>
          <w:caps/>
          <w:sz w:val="24"/>
          <w:szCs w:val="24"/>
        </w:rPr>
        <w:t xml:space="preserve"> </w:t>
      </w:r>
      <w:r w:rsidRPr="00223F6E">
        <w:rPr>
          <w:rFonts w:eastAsia="Calibri"/>
          <w:b/>
          <w:sz w:val="24"/>
          <w:szCs w:val="24"/>
          <w:lang w:eastAsia="en-US"/>
        </w:rPr>
        <w:t>(incluído o item II e alterada em decorrência do CPC de 2015)</w:t>
      </w:r>
    </w:p>
    <w:p w:rsidR="00194264" w:rsidRPr="00223F6E" w:rsidRDefault="00194264" w:rsidP="00194264">
      <w:pPr>
        <w:jc w:val="both"/>
        <w:rPr>
          <w:sz w:val="24"/>
          <w:szCs w:val="24"/>
        </w:rPr>
      </w:pPr>
      <w:r w:rsidRPr="00223F6E">
        <w:rPr>
          <w:sz w:val="24"/>
          <w:szCs w:val="24"/>
        </w:rPr>
        <w:t>I - Os Estados e os Municípios não têm legitimidade para recorrer em nome das autarquias e das fundações públicas.</w:t>
      </w:r>
    </w:p>
    <w:p w:rsidR="00194264" w:rsidRPr="00223F6E" w:rsidRDefault="00194264" w:rsidP="00194264">
      <w:pPr>
        <w:jc w:val="both"/>
        <w:rPr>
          <w:sz w:val="24"/>
          <w:szCs w:val="24"/>
        </w:rPr>
      </w:pPr>
      <w:r w:rsidRPr="00223F6E">
        <w:rPr>
          <w:sz w:val="24"/>
          <w:szCs w:val="24"/>
        </w:rPr>
        <w:t xml:space="preserve">II – Os procuradores estaduais e municipais podem representar as respectivas autarquias e fundações públicas em juízo somente se designados pela lei da respectiva unidade da federação (art. 75, IV, do CPC de 2015) ou se investidos de instrumento de mandato válido. </w:t>
      </w:r>
    </w:p>
    <w:p w:rsidR="00194264" w:rsidRPr="00223F6E" w:rsidRDefault="00194264" w:rsidP="00194264">
      <w:pPr>
        <w:jc w:val="both"/>
        <w:rPr>
          <w:sz w:val="24"/>
          <w:szCs w:val="24"/>
        </w:rPr>
      </w:pPr>
    </w:p>
    <w:p w:rsidR="00194264" w:rsidRPr="00223F6E" w:rsidRDefault="00194264" w:rsidP="00194264">
      <w:pPr>
        <w:pStyle w:val="TemaSDI2"/>
        <w:spacing w:before="0"/>
        <w:rPr>
          <w:bCs/>
          <w:sz w:val="24"/>
          <w:szCs w:val="24"/>
        </w:rPr>
      </w:pPr>
      <w:r w:rsidRPr="00223F6E">
        <w:rPr>
          <w:bCs/>
          <w:sz w:val="24"/>
          <w:szCs w:val="24"/>
        </w:rPr>
        <w:t>OJ nº 70 da SBDI-II</w:t>
      </w:r>
    </w:p>
    <w:p w:rsidR="00194264" w:rsidRPr="00223F6E" w:rsidRDefault="00194264" w:rsidP="00194264">
      <w:pPr>
        <w:spacing w:line="276" w:lineRule="auto"/>
        <w:jc w:val="both"/>
        <w:rPr>
          <w:rFonts w:eastAsia="Calibri"/>
          <w:b/>
          <w:caps/>
          <w:sz w:val="24"/>
          <w:szCs w:val="24"/>
          <w:lang w:eastAsia="en-US"/>
        </w:rPr>
      </w:pPr>
      <w:r w:rsidRPr="00223F6E">
        <w:rPr>
          <w:rFonts w:eastAsia="Calibri"/>
          <w:caps/>
          <w:sz w:val="24"/>
          <w:szCs w:val="24"/>
          <w:lang w:eastAsia="en-US"/>
        </w:rPr>
        <w:t>AÇÃO RESCISÓRIA. regência pelo cpc de 1973. MANIFESTO E INESCUSÁVEL EQUÍVOCO NO DIRECIONAMENTO. INÉPCIA DA INICIAL. EXTINÇÃO DO PROCESSO</w:t>
      </w:r>
      <w:r w:rsidRPr="00223F6E">
        <w:rPr>
          <w:rFonts w:eastAsia="Calibri"/>
          <w:b/>
          <w:caps/>
          <w:sz w:val="24"/>
          <w:szCs w:val="24"/>
          <w:lang w:eastAsia="en-US"/>
        </w:rPr>
        <w:t xml:space="preserve"> </w:t>
      </w:r>
      <w:r w:rsidRPr="00223F6E">
        <w:rPr>
          <w:rFonts w:eastAsia="Calibri"/>
          <w:b/>
          <w:sz w:val="24"/>
          <w:szCs w:val="24"/>
          <w:lang w:eastAsia="en-US"/>
        </w:rPr>
        <w:t>(atualizada em decorrência do CPC de 2015)</w:t>
      </w:r>
    </w:p>
    <w:p w:rsidR="00194264" w:rsidRPr="00223F6E" w:rsidRDefault="00194264" w:rsidP="00194264">
      <w:pPr>
        <w:jc w:val="both"/>
        <w:rPr>
          <w:rFonts w:eastAsia="Calibri"/>
          <w:sz w:val="24"/>
          <w:szCs w:val="24"/>
          <w:lang w:eastAsia="en-US"/>
        </w:rPr>
      </w:pPr>
      <w:r w:rsidRPr="00223F6E">
        <w:rPr>
          <w:rFonts w:eastAsia="Calibri"/>
          <w:sz w:val="24"/>
          <w:szCs w:val="24"/>
          <w:lang w:eastAsia="en-US"/>
        </w:rPr>
        <w:t>Sob a égide do CPC de 1973, o manifesto equívoco da parte em ajuizar ação rescisória no TST para desconstituir julgado proferido pelo TRT, ou vice-versa, implica a extinção do processo sem julgamento do mérito por inépcia da inicial.</w:t>
      </w:r>
    </w:p>
    <w:p w:rsidR="00223F6E" w:rsidRPr="00223F6E" w:rsidRDefault="00223F6E" w:rsidP="00194264">
      <w:pPr>
        <w:jc w:val="both"/>
        <w:rPr>
          <w:rFonts w:eastAsia="Calibri"/>
          <w:sz w:val="24"/>
          <w:szCs w:val="24"/>
          <w:lang w:eastAsia="en-US"/>
        </w:rPr>
      </w:pPr>
    </w:p>
    <w:p w:rsidR="00194264" w:rsidRPr="00223F6E" w:rsidRDefault="00194264" w:rsidP="00194264">
      <w:pPr>
        <w:pStyle w:val="TemaSDI2"/>
        <w:spacing w:before="0"/>
        <w:rPr>
          <w:bCs/>
          <w:sz w:val="24"/>
          <w:szCs w:val="24"/>
        </w:rPr>
      </w:pPr>
      <w:r w:rsidRPr="00223F6E">
        <w:rPr>
          <w:bCs/>
          <w:sz w:val="24"/>
          <w:szCs w:val="24"/>
        </w:rPr>
        <w:t>OJ nº 76 da SBDI-II</w:t>
      </w:r>
    </w:p>
    <w:p w:rsidR="00194264" w:rsidRPr="00223F6E" w:rsidRDefault="00194264" w:rsidP="00194264">
      <w:pPr>
        <w:pStyle w:val="NormalWeb"/>
        <w:spacing w:before="0" w:after="0"/>
        <w:jc w:val="both"/>
        <w:rPr>
          <w:rFonts w:eastAsia="Calibri"/>
          <w:b/>
          <w:caps/>
          <w:lang w:eastAsia="en-US"/>
        </w:rPr>
      </w:pPr>
      <w:r w:rsidRPr="00223F6E">
        <w:rPr>
          <w:rFonts w:eastAsia="Calibri"/>
          <w:caps/>
          <w:lang w:eastAsia="en-US"/>
        </w:rPr>
        <w:t>AÇÃO RESCISÓRIA. AÇÃO CAUTELAR PROPOSTA SOB A VIGÊNCIA DO CPC de 1973. SUSPENSÃO DA EXECUÇÃO. JUNTADA DE DOCUMENTO INDISPENSÁVEL. POSSIBILIDADE DE ÊXITO NA RESCISÃO DO JULGADO</w:t>
      </w:r>
      <w:r w:rsidRPr="00223F6E">
        <w:rPr>
          <w:rFonts w:eastAsia="Calibri"/>
          <w:b/>
          <w:caps/>
          <w:lang w:eastAsia="en-US"/>
        </w:rPr>
        <w:t xml:space="preserve"> </w:t>
      </w:r>
      <w:r w:rsidRPr="00223F6E">
        <w:rPr>
          <w:rFonts w:eastAsia="Calibri"/>
          <w:b/>
          <w:lang w:eastAsia="en-US"/>
        </w:rPr>
        <w:t>(atualizada em decorrência do CPC de 2015)</w:t>
      </w:r>
    </w:p>
    <w:p w:rsidR="00194264" w:rsidRPr="00223F6E" w:rsidRDefault="00194264" w:rsidP="00194264">
      <w:pPr>
        <w:jc w:val="both"/>
        <w:rPr>
          <w:rFonts w:eastAsia="Calibri"/>
          <w:sz w:val="24"/>
          <w:szCs w:val="24"/>
          <w:lang w:eastAsia="en-US"/>
        </w:rPr>
      </w:pPr>
      <w:r w:rsidRPr="00223F6E">
        <w:rPr>
          <w:rFonts w:eastAsia="Calibri"/>
          <w:sz w:val="24"/>
          <w:szCs w:val="24"/>
          <w:lang w:eastAsia="en-US"/>
        </w:rPr>
        <w:t>É indispensável a instrução da ação cautelar proposta sob a vigência do CPC de 1973 com as provas documentais necessárias à aferição da plausibilidade de êxito na rescisão do julgado. Assim sendo, devem vir junto com a inicial da cautelar as cópias da petição inicial da ação rescisória principal, da decisão rescindenda, da certidão do trânsito em julgado da decisão rescindenda e informação do andamento atualizado da execução.</w:t>
      </w:r>
    </w:p>
    <w:p w:rsidR="00194264" w:rsidRPr="00223F6E" w:rsidRDefault="00194264" w:rsidP="00194264">
      <w:pPr>
        <w:jc w:val="both"/>
        <w:rPr>
          <w:rFonts w:eastAsia="Calibri"/>
          <w:sz w:val="24"/>
          <w:szCs w:val="24"/>
          <w:lang w:eastAsia="en-US"/>
        </w:rPr>
      </w:pPr>
    </w:p>
    <w:p w:rsidR="00194264" w:rsidRPr="00223F6E" w:rsidRDefault="00194264" w:rsidP="00194264">
      <w:pPr>
        <w:pStyle w:val="TemaSDI2"/>
        <w:spacing w:before="0"/>
        <w:rPr>
          <w:bCs/>
          <w:sz w:val="24"/>
          <w:szCs w:val="24"/>
        </w:rPr>
      </w:pPr>
      <w:r w:rsidRPr="00223F6E">
        <w:rPr>
          <w:bCs/>
          <w:sz w:val="24"/>
          <w:szCs w:val="24"/>
        </w:rPr>
        <w:t>OJ nº 84 da SBDI-II</w:t>
      </w:r>
    </w:p>
    <w:p w:rsidR="00194264" w:rsidRPr="00223F6E" w:rsidRDefault="00194264" w:rsidP="00194264">
      <w:pPr>
        <w:spacing w:line="276" w:lineRule="auto"/>
        <w:jc w:val="both"/>
        <w:rPr>
          <w:rFonts w:eastAsia="Calibri"/>
          <w:b/>
          <w:caps/>
          <w:sz w:val="24"/>
          <w:szCs w:val="24"/>
          <w:lang w:eastAsia="en-US"/>
        </w:rPr>
      </w:pPr>
      <w:r w:rsidRPr="00223F6E">
        <w:rPr>
          <w:rFonts w:eastAsia="Calibri"/>
          <w:caps/>
          <w:sz w:val="24"/>
          <w:szCs w:val="24"/>
          <w:lang w:eastAsia="en-US"/>
        </w:rPr>
        <w:t>AÇÃO RESCISÓRIA. AUSÊNCIA DA DECISÃO RESCINDENDA E/OU DA CERTIDÃO DE SEU TRÂNSITO EM JULGADO DEVIDAMENTE AUTENTICADAS. CONCESSÃO DE PRAZO PARA COMPLEMENTAÇÃO DA DOCUMENTAÇÃO</w:t>
      </w:r>
      <w:r w:rsidRPr="00223F6E">
        <w:rPr>
          <w:rFonts w:eastAsia="Calibri"/>
          <w:sz w:val="24"/>
          <w:szCs w:val="24"/>
          <w:lang w:eastAsia="en-US"/>
        </w:rPr>
        <w:t xml:space="preserve">. </w:t>
      </w:r>
      <w:r w:rsidRPr="00223F6E">
        <w:rPr>
          <w:rFonts w:eastAsia="Calibri"/>
          <w:b/>
          <w:sz w:val="24"/>
          <w:szCs w:val="24"/>
          <w:lang w:eastAsia="en-US"/>
        </w:rPr>
        <w:t xml:space="preserve"> (alterada em decorrência do CPC de 2015)</w:t>
      </w:r>
    </w:p>
    <w:p w:rsidR="00194264" w:rsidRPr="00223F6E" w:rsidRDefault="00194264" w:rsidP="00282620">
      <w:pPr>
        <w:jc w:val="both"/>
        <w:rPr>
          <w:rFonts w:eastAsia="Calibri"/>
          <w:sz w:val="24"/>
          <w:szCs w:val="24"/>
          <w:lang w:eastAsia="en-US"/>
        </w:rPr>
      </w:pPr>
      <w:r w:rsidRPr="00223F6E">
        <w:rPr>
          <w:rFonts w:eastAsia="Calibri"/>
          <w:sz w:val="24"/>
          <w:szCs w:val="24"/>
          <w:lang w:eastAsia="en-US"/>
        </w:rPr>
        <w:t>São peças essenciais para o julgamento da ação rescisória a decisão rescindenda e/ou a certidão do seu trânsito em julgado, devidamente autenticadas, à exceção de cópias reprográficas apresentadas por pessoa jurídica de direito público, a teor do art. 24 da Lei nº 10.522/2002, ou declaradas autênticas pelo advogado na forma do artigo 830 da CLT com a redação dada pela Lei nº 11.925/2009. Em fase recursal, verificada a ausência de qualquer delas, cumpre ao Relator do recurso ordinário conceder o prazo de 5 (cinco) dias ao recorrente para que seja complementada a documentação exigível, nos termos do art. 932, parágrafo único, do CPC de 2015.</w:t>
      </w:r>
    </w:p>
    <w:p w:rsidR="00282620" w:rsidRDefault="00282620" w:rsidP="00282620">
      <w:pPr>
        <w:pStyle w:val="TemaSDI2"/>
        <w:spacing w:before="0"/>
        <w:rPr>
          <w:bCs/>
          <w:sz w:val="24"/>
          <w:szCs w:val="24"/>
        </w:rPr>
      </w:pPr>
    </w:p>
    <w:p w:rsidR="00223F6E" w:rsidRPr="00223F6E" w:rsidRDefault="00223F6E" w:rsidP="00282620">
      <w:pPr>
        <w:pStyle w:val="TemaSDI2"/>
        <w:spacing w:before="0"/>
        <w:rPr>
          <w:bCs/>
          <w:sz w:val="24"/>
          <w:szCs w:val="24"/>
        </w:rPr>
      </w:pPr>
      <w:r w:rsidRPr="00223F6E">
        <w:rPr>
          <w:bCs/>
          <w:sz w:val="24"/>
          <w:szCs w:val="24"/>
        </w:rPr>
        <w:t>OJ nº 93 da SBDI-II</w:t>
      </w:r>
    </w:p>
    <w:p w:rsidR="00223F6E" w:rsidRPr="00223F6E" w:rsidRDefault="00223F6E" w:rsidP="00223F6E">
      <w:pPr>
        <w:spacing w:line="276" w:lineRule="auto"/>
        <w:jc w:val="both"/>
        <w:rPr>
          <w:rFonts w:eastAsia="Calibri"/>
          <w:b/>
          <w:bCs/>
          <w:sz w:val="24"/>
          <w:szCs w:val="24"/>
          <w:lang w:eastAsia="en-US"/>
        </w:rPr>
      </w:pPr>
      <w:r w:rsidRPr="00223F6E">
        <w:rPr>
          <w:rFonts w:eastAsia="Calibri"/>
          <w:bCs/>
          <w:sz w:val="24"/>
          <w:szCs w:val="24"/>
          <w:lang w:eastAsia="en-US"/>
        </w:rPr>
        <w:t>PENHORA SOBRE PARTE DA RENDA DE ESTABELECIMENTO COMERCIAL. POSSIBILIDADE</w:t>
      </w:r>
      <w:r w:rsidRPr="00223F6E">
        <w:rPr>
          <w:rFonts w:eastAsia="Calibri"/>
          <w:b/>
          <w:bCs/>
          <w:sz w:val="24"/>
          <w:szCs w:val="24"/>
          <w:lang w:eastAsia="en-US"/>
        </w:rPr>
        <w:t xml:space="preserve"> (alterada em decorrência do CPC de 2015)</w:t>
      </w:r>
    </w:p>
    <w:p w:rsidR="00223F6E" w:rsidRPr="00223F6E" w:rsidRDefault="00223F6E" w:rsidP="00223F6E">
      <w:pPr>
        <w:spacing w:line="276" w:lineRule="auto"/>
        <w:jc w:val="both"/>
        <w:rPr>
          <w:rFonts w:eastAsia="Calibri"/>
          <w:sz w:val="24"/>
          <w:szCs w:val="24"/>
          <w:lang w:eastAsia="en-US"/>
        </w:rPr>
      </w:pPr>
      <w:r w:rsidRPr="00223F6E">
        <w:rPr>
          <w:rFonts w:eastAsia="Calibri"/>
          <w:sz w:val="24"/>
          <w:szCs w:val="24"/>
          <w:lang w:eastAsia="en-US"/>
        </w:rPr>
        <w:t>Nos termos do art. 866 do CPC de 2015, é admissível a penhora sobre a renda mensal ou faturamento de empresa, limitada a percentual, que não comprometa o desenvolvimento regular de suas atividades, desde que não haja outros bens penhoráveis ou, havendo outros bens, eles sejam de difícil alienação ou insuficientes para satisfazer o crédito executado.</w:t>
      </w:r>
    </w:p>
    <w:p w:rsidR="00194264" w:rsidRPr="00223F6E" w:rsidRDefault="00194264" w:rsidP="00194264">
      <w:pPr>
        <w:jc w:val="both"/>
        <w:rPr>
          <w:sz w:val="24"/>
          <w:szCs w:val="24"/>
        </w:rPr>
      </w:pPr>
    </w:p>
    <w:p w:rsidR="00223F6E" w:rsidRPr="00223F6E" w:rsidRDefault="00223F6E" w:rsidP="00223F6E">
      <w:pPr>
        <w:pStyle w:val="NormalWeb"/>
        <w:spacing w:before="0" w:after="0"/>
        <w:rPr>
          <w:b/>
        </w:rPr>
      </w:pPr>
      <w:r w:rsidRPr="00223F6E">
        <w:rPr>
          <w:b/>
        </w:rPr>
        <w:t>OJ Nº 113 DA SBDI-II</w:t>
      </w:r>
    </w:p>
    <w:p w:rsidR="00223F6E" w:rsidRPr="00223F6E" w:rsidRDefault="00223F6E" w:rsidP="00223F6E">
      <w:pPr>
        <w:spacing w:line="276" w:lineRule="auto"/>
        <w:jc w:val="both"/>
        <w:rPr>
          <w:rFonts w:eastAsia="Calibri"/>
          <w:b/>
          <w:caps/>
          <w:sz w:val="24"/>
          <w:szCs w:val="24"/>
          <w:lang w:eastAsia="en-US"/>
        </w:rPr>
      </w:pPr>
      <w:r w:rsidRPr="00223F6E">
        <w:rPr>
          <w:rFonts w:eastAsia="Calibri"/>
          <w:caps/>
          <w:sz w:val="24"/>
          <w:szCs w:val="24"/>
          <w:lang w:eastAsia="en-US"/>
        </w:rPr>
        <w:t>AÇÃO CAUTELAR. EFEITO SUSPENSIVO AO RECURSO ORDINÁRIO EM MANDADO DE SEGURANÇA. INCABÍVEL. AUSÊNCIA DE INTERESSE. EXTINÇÃO</w:t>
      </w:r>
      <w:r w:rsidRPr="00223F6E">
        <w:rPr>
          <w:rFonts w:eastAsia="Calibri"/>
          <w:b/>
          <w:caps/>
          <w:sz w:val="24"/>
          <w:szCs w:val="24"/>
          <w:lang w:eastAsia="en-US"/>
        </w:rPr>
        <w:t xml:space="preserve"> </w:t>
      </w:r>
      <w:r w:rsidRPr="00223F6E">
        <w:rPr>
          <w:rFonts w:eastAsia="Calibri"/>
          <w:b/>
          <w:sz w:val="24"/>
          <w:szCs w:val="24"/>
          <w:lang w:eastAsia="en-US"/>
        </w:rPr>
        <w:t>(cancelada em decorrência do CPC de 2015)</w:t>
      </w:r>
    </w:p>
    <w:p w:rsidR="00223F6E" w:rsidRPr="00223F6E" w:rsidRDefault="00223F6E" w:rsidP="00223F6E">
      <w:pPr>
        <w:jc w:val="both"/>
        <w:rPr>
          <w:rFonts w:eastAsia="Calibri"/>
          <w:sz w:val="24"/>
          <w:szCs w:val="24"/>
          <w:lang w:eastAsia="en-US"/>
        </w:rPr>
      </w:pPr>
      <w:r w:rsidRPr="00223F6E">
        <w:rPr>
          <w:rFonts w:eastAsia="Calibri"/>
          <w:sz w:val="24"/>
          <w:szCs w:val="24"/>
          <w:lang w:eastAsia="en-US"/>
        </w:rPr>
        <w:t>É incabível medida cautelar para imprimir efeito suspensivo a recurso interposto contra decisão proferida em mandado de segurança, pois ambos visam, em última análise, à sustação do ato atacado. Extingue-se, pois, o processo, sem julgamento do mérito, por ausência de interesse de agir, para evitar que decisões judiciais conflitantes e inconciliáveis passem a reger idêntica situação jurídica.</w:t>
      </w:r>
    </w:p>
    <w:p w:rsidR="00223F6E" w:rsidRPr="00223F6E" w:rsidRDefault="00223F6E" w:rsidP="00194264">
      <w:pPr>
        <w:jc w:val="both"/>
        <w:rPr>
          <w:sz w:val="24"/>
          <w:szCs w:val="24"/>
        </w:rPr>
      </w:pPr>
    </w:p>
    <w:p w:rsidR="00223F6E" w:rsidRPr="00223F6E" w:rsidRDefault="00223F6E" w:rsidP="00223F6E">
      <w:pPr>
        <w:pStyle w:val="NormalWeb"/>
        <w:spacing w:before="0" w:after="0"/>
        <w:rPr>
          <w:b/>
        </w:rPr>
      </w:pPr>
      <w:r w:rsidRPr="00223F6E">
        <w:rPr>
          <w:b/>
        </w:rPr>
        <w:t>OJ Nº 134 DA SBDI-II</w:t>
      </w:r>
    </w:p>
    <w:p w:rsidR="00223F6E" w:rsidRPr="00223F6E" w:rsidRDefault="00223F6E" w:rsidP="00223F6E">
      <w:pPr>
        <w:spacing w:line="276" w:lineRule="auto"/>
        <w:jc w:val="both"/>
        <w:rPr>
          <w:rFonts w:eastAsia="Calibri"/>
          <w:b/>
          <w:caps/>
          <w:sz w:val="24"/>
          <w:szCs w:val="24"/>
          <w:lang w:eastAsia="en-US"/>
        </w:rPr>
      </w:pPr>
      <w:r w:rsidRPr="00223F6E">
        <w:rPr>
          <w:rFonts w:eastAsia="Calibri"/>
          <w:caps/>
          <w:sz w:val="24"/>
          <w:szCs w:val="24"/>
          <w:lang w:eastAsia="en-US"/>
        </w:rPr>
        <w:t>AÇÃO RESCISÓRIA. DECISÃO QUE DECLARA PRECLUSA A OPORTUNIDADE DE IMPUGNAÇÃO DA SENTENÇA DE LIQUIDAÇÃO. PRODUÇÃO DE COISA JULGADA FORMAL. IRRESCINDIBILIDADE</w:t>
      </w:r>
      <w:r w:rsidRPr="00223F6E">
        <w:rPr>
          <w:rFonts w:eastAsia="Calibri"/>
          <w:b/>
          <w:sz w:val="24"/>
          <w:szCs w:val="24"/>
          <w:lang w:eastAsia="en-US"/>
        </w:rPr>
        <w:t xml:space="preserve"> (alterada em decorrência do CPC de 2015)</w:t>
      </w:r>
    </w:p>
    <w:p w:rsidR="00223F6E" w:rsidRPr="00223F6E" w:rsidRDefault="00223F6E" w:rsidP="00223F6E">
      <w:pPr>
        <w:jc w:val="both"/>
        <w:rPr>
          <w:rFonts w:eastAsia="Calibri"/>
          <w:sz w:val="24"/>
          <w:szCs w:val="24"/>
          <w:lang w:eastAsia="en-US"/>
        </w:rPr>
      </w:pPr>
      <w:r w:rsidRPr="00223F6E">
        <w:rPr>
          <w:rFonts w:eastAsia="Calibri"/>
          <w:sz w:val="24"/>
          <w:szCs w:val="24"/>
          <w:lang w:eastAsia="en-US"/>
        </w:rPr>
        <w:t>A decisão proferida em embargos à execução ou em agravo de petição que apenas declara preclusa a oportunidade de impugnação da sentença de liquidação não é rescindível, em virtude de produzir tão-somente coisa julgada formal.</w:t>
      </w:r>
    </w:p>
    <w:p w:rsidR="00223F6E" w:rsidRPr="00223F6E" w:rsidRDefault="00223F6E" w:rsidP="00223F6E">
      <w:pPr>
        <w:jc w:val="both"/>
        <w:rPr>
          <w:rFonts w:eastAsia="Calibri"/>
          <w:sz w:val="24"/>
          <w:szCs w:val="24"/>
          <w:lang w:eastAsia="en-US"/>
        </w:rPr>
      </w:pPr>
    </w:p>
    <w:p w:rsidR="00223F6E" w:rsidRPr="00223F6E" w:rsidRDefault="00223F6E" w:rsidP="00223F6E">
      <w:pPr>
        <w:pStyle w:val="NormalWeb"/>
        <w:spacing w:before="0" w:after="0"/>
        <w:rPr>
          <w:b/>
        </w:rPr>
      </w:pPr>
      <w:r w:rsidRPr="00223F6E">
        <w:rPr>
          <w:b/>
        </w:rPr>
        <w:t>OJ Nº 153 DA SBDI-II</w:t>
      </w:r>
    </w:p>
    <w:p w:rsidR="00223F6E" w:rsidRPr="00223F6E" w:rsidRDefault="00223F6E" w:rsidP="00223F6E">
      <w:pPr>
        <w:spacing w:line="276" w:lineRule="auto"/>
        <w:jc w:val="both"/>
        <w:rPr>
          <w:rFonts w:eastAsia="Calibri"/>
          <w:b/>
          <w:caps/>
          <w:sz w:val="24"/>
          <w:szCs w:val="24"/>
          <w:lang w:eastAsia="en-US"/>
        </w:rPr>
      </w:pPr>
      <w:r w:rsidRPr="00223F6E">
        <w:rPr>
          <w:rFonts w:eastAsia="Calibri"/>
          <w:caps/>
          <w:sz w:val="24"/>
          <w:szCs w:val="24"/>
          <w:lang w:eastAsia="en-US"/>
        </w:rPr>
        <w:t>MANDADO DE SEGURANÇA. EXECUÇÃO. ORDEM DE PENHORA SOBRE VALORES EXISTENTES EM CONTA SALÁRIO. ART. 649, IV, DO CPC de 1973. ILEGALIDADE</w:t>
      </w:r>
      <w:r w:rsidRPr="00223F6E">
        <w:rPr>
          <w:rFonts w:eastAsia="Calibri"/>
          <w:bCs/>
          <w:caps/>
          <w:sz w:val="24"/>
          <w:szCs w:val="24"/>
          <w:lang w:eastAsia="en-US"/>
        </w:rPr>
        <w:t xml:space="preserve"> </w:t>
      </w:r>
      <w:r w:rsidRPr="00223F6E">
        <w:rPr>
          <w:rFonts w:eastAsia="Calibri"/>
          <w:b/>
          <w:bCs/>
          <w:sz w:val="24"/>
          <w:szCs w:val="24"/>
          <w:lang w:eastAsia="en-US"/>
        </w:rPr>
        <w:t>(atualizada em decorrência do CPC de 2015)</w:t>
      </w:r>
    </w:p>
    <w:p w:rsidR="00223F6E" w:rsidRPr="00223F6E" w:rsidRDefault="00223F6E" w:rsidP="00223F6E">
      <w:pPr>
        <w:jc w:val="both"/>
        <w:rPr>
          <w:rFonts w:eastAsia="Calibri"/>
          <w:sz w:val="24"/>
          <w:szCs w:val="24"/>
          <w:lang w:eastAsia="en-US"/>
        </w:rPr>
      </w:pPr>
      <w:r w:rsidRPr="00223F6E">
        <w:rPr>
          <w:rFonts w:eastAsia="Calibri"/>
          <w:sz w:val="24"/>
          <w:szCs w:val="24"/>
          <w:lang w:eastAsia="en-US"/>
        </w:rPr>
        <w:t>Ofende direito líquido e certo decisão que determina o bloqueio de numerário existente em conta salário, para satisfação de crédito trabalhista, ainda que seja limitado a determinado percentual dos valores recebidos ou a valor revertido para fundo de aplicação ou poupança, visto que o art. 649, IV, do CPC de 1973 contém norma imperativa que não admite interpretação ampliativa, sendo a exceção prevista no art. 649, § 2º, do CPC de 1973 espécie e não gênero de crédito de natureza alimentícia, não englobando o crédito trabalhista.</w:t>
      </w:r>
    </w:p>
    <w:p w:rsidR="00EA52B3" w:rsidRDefault="00EA52B3" w:rsidP="00D12FFF">
      <w:pPr>
        <w:jc w:val="both"/>
        <w:rPr>
          <w:b/>
          <w:i/>
          <w:sz w:val="24"/>
          <w:szCs w:val="24"/>
        </w:rPr>
      </w:pPr>
    </w:p>
    <w:p w:rsidR="00194264" w:rsidRPr="00CF4D01" w:rsidRDefault="00194264" w:rsidP="0019426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CF4D01">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194264" w:rsidRPr="00223F6E" w:rsidRDefault="00194264" w:rsidP="00194264">
      <w:pPr>
        <w:jc w:val="both"/>
        <w:rPr>
          <w:u w:val="single"/>
        </w:rPr>
      </w:pPr>
    </w:p>
    <w:p w:rsidR="00194264" w:rsidRDefault="00194264" w:rsidP="00194264">
      <w:pPr>
        <w:pStyle w:val="Corpo"/>
        <w:spacing w:line="240" w:lineRule="auto"/>
        <w:ind w:firstLine="0"/>
        <w:rPr>
          <w:rFonts w:ascii="Times New Roman" w:eastAsia="Calibri" w:hAnsi="Times New Roman" w:cs="Times New Roman"/>
          <w:color w:val="auto"/>
          <w:lang w:val="pt-BR" w:eastAsia="en-US"/>
        </w:rPr>
      </w:pPr>
      <w:r w:rsidRPr="00E05751">
        <w:rPr>
          <w:rFonts w:ascii="Times New Roman" w:eastAsia="Calibri" w:hAnsi="Times New Roman" w:cs="Times New Roman"/>
          <w:b/>
          <w:i/>
          <w:color w:val="auto"/>
          <w:lang w:val="pt-BR" w:eastAsia="en-US"/>
        </w:rPr>
        <w:t>BESC. P</w:t>
      </w:r>
      <w:r>
        <w:rPr>
          <w:rFonts w:ascii="Times New Roman" w:eastAsia="Calibri" w:hAnsi="Times New Roman" w:cs="Times New Roman"/>
          <w:b/>
          <w:i/>
          <w:color w:val="auto"/>
          <w:lang w:val="pt-BR" w:eastAsia="en-US"/>
        </w:rPr>
        <w:t>lano</w:t>
      </w:r>
      <w:r w:rsidRPr="00E05751">
        <w:rPr>
          <w:rFonts w:ascii="Times New Roman" w:eastAsia="Calibri" w:hAnsi="Times New Roman" w:cs="Times New Roman"/>
          <w:b/>
          <w:i/>
          <w:color w:val="auto"/>
          <w:lang w:val="pt-BR" w:eastAsia="en-US"/>
        </w:rPr>
        <w:t xml:space="preserve"> de demissão incentivada. </w:t>
      </w:r>
      <w:r>
        <w:rPr>
          <w:rFonts w:ascii="Times New Roman" w:eastAsia="Calibri" w:hAnsi="Times New Roman" w:cs="Times New Roman"/>
          <w:b/>
          <w:i/>
          <w:color w:val="auto"/>
          <w:lang w:val="pt-BR" w:eastAsia="en-US"/>
        </w:rPr>
        <w:t>Negociação coletiva</w:t>
      </w:r>
      <w:r w:rsidRPr="00E05751">
        <w:rPr>
          <w:rFonts w:ascii="Times New Roman" w:eastAsia="Calibri" w:hAnsi="Times New Roman" w:cs="Times New Roman"/>
          <w:b/>
          <w:i/>
          <w:color w:val="auto"/>
          <w:lang w:val="pt-BR" w:eastAsia="en-US"/>
        </w:rPr>
        <w:t xml:space="preserve">. </w:t>
      </w:r>
      <w:r>
        <w:rPr>
          <w:rFonts w:ascii="Times New Roman" w:eastAsia="Calibri" w:hAnsi="Times New Roman" w:cs="Times New Roman"/>
          <w:b/>
          <w:i/>
          <w:color w:val="auto"/>
          <w:lang w:val="pt-BR" w:eastAsia="en-US"/>
        </w:rPr>
        <w:t>Cláusula de quitação ampla do contrato de emprego</w:t>
      </w:r>
      <w:r w:rsidRPr="00E05751">
        <w:rPr>
          <w:rFonts w:ascii="Times New Roman" w:eastAsia="Calibri" w:hAnsi="Times New Roman" w:cs="Times New Roman"/>
          <w:b/>
          <w:i/>
          <w:color w:val="auto"/>
          <w:lang w:val="pt-BR" w:eastAsia="en-US"/>
        </w:rPr>
        <w:t>.</w:t>
      </w:r>
      <w:r>
        <w:rPr>
          <w:rFonts w:ascii="Times New Roman" w:eastAsia="Calibri" w:hAnsi="Times New Roman" w:cs="Times New Roman"/>
          <w:b/>
          <w:i/>
          <w:color w:val="auto"/>
          <w:lang w:val="pt-BR" w:eastAsia="en-US"/>
        </w:rPr>
        <w:t xml:space="preserve"> Fato incontroverso. Ausência de c</w:t>
      </w:r>
      <w:r w:rsidRPr="00E05751">
        <w:rPr>
          <w:rFonts w:ascii="Times New Roman" w:eastAsia="Calibri" w:hAnsi="Times New Roman" w:cs="Times New Roman"/>
          <w:b/>
          <w:i/>
          <w:color w:val="auto"/>
          <w:lang w:val="pt-BR" w:eastAsia="en-US"/>
        </w:rPr>
        <w:t xml:space="preserve">ontrariedade à </w:t>
      </w:r>
      <w:r>
        <w:rPr>
          <w:rFonts w:ascii="Times New Roman" w:eastAsia="Calibri" w:hAnsi="Times New Roman" w:cs="Times New Roman"/>
          <w:b/>
          <w:i/>
          <w:color w:val="auto"/>
          <w:lang w:val="pt-BR" w:eastAsia="en-US"/>
        </w:rPr>
        <w:t>S</w:t>
      </w:r>
      <w:r w:rsidRPr="00E05751">
        <w:rPr>
          <w:rFonts w:ascii="Times New Roman" w:eastAsia="Calibri" w:hAnsi="Times New Roman" w:cs="Times New Roman"/>
          <w:b/>
          <w:i/>
          <w:color w:val="auto"/>
          <w:lang w:val="pt-BR" w:eastAsia="en-US"/>
        </w:rPr>
        <w:t>úmula nº 126</w:t>
      </w:r>
      <w:r>
        <w:rPr>
          <w:rFonts w:ascii="Times New Roman" w:eastAsia="Calibri" w:hAnsi="Times New Roman" w:cs="Times New Roman"/>
          <w:b/>
          <w:i/>
          <w:color w:val="auto"/>
          <w:lang w:val="pt-BR" w:eastAsia="en-US"/>
        </w:rPr>
        <w:t xml:space="preserve"> do TST</w:t>
      </w:r>
      <w:r w:rsidRPr="00E05751">
        <w:rPr>
          <w:rFonts w:ascii="Times New Roman" w:eastAsia="Calibri" w:hAnsi="Times New Roman" w:cs="Times New Roman"/>
          <w:b/>
          <w:i/>
          <w:color w:val="auto"/>
          <w:lang w:val="pt-BR" w:eastAsia="en-US"/>
        </w:rPr>
        <w:t>.</w:t>
      </w:r>
      <w:r w:rsidRPr="0034446A">
        <w:rPr>
          <w:rFonts w:ascii="Times New Roman" w:eastAsia="Calibri" w:hAnsi="Times New Roman" w:cs="Times New Roman"/>
          <w:color w:val="auto"/>
          <w:lang w:val="pt-BR" w:eastAsia="en-US"/>
        </w:rPr>
        <w:t xml:space="preserve"> </w:t>
      </w:r>
    </w:p>
    <w:p w:rsidR="00194264" w:rsidRPr="0034446A" w:rsidRDefault="00194264" w:rsidP="00194264">
      <w:pPr>
        <w:pStyle w:val="Corpo"/>
        <w:spacing w:line="240" w:lineRule="auto"/>
        <w:ind w:firstLine="0"/>
        <w:rPr>
          <w:rFonts w:ascii="Times New Roman" w:eastAsia="Calibri" w:hAnsi="Times New Roman" w:cs="Times New Roman"/>
          <w:b/>
          <w:i/>
          <w:color w:val="auto"/>
          <w:lang w:val="pt-BR" w:eastAsia="en-US"/>
        </w:rPr>
      </w:pPr>
      <w:r w:rsidRPr="0034446A">
        <w:rPr>
          <w:rFonts w:ascii="Times New Roman" w:eastAsia="Calibri" w:hAnsi="Times New Roman" w:cs="Times New Roman"/>
          <w:color w:val="auto"/>
          <w:lang w:val="pt-BR" w:eastAsia="en-US"/>
        </w:rPr>
        <w:t xml:space="preserve">Não contraria a Súmula nº 126 do TST, decisão turmária que, fundada em fato incontroverso, conclui pela existência de acordo coletivo </w:t>
      </w:r>
      <w:r>
        <w:rPr>
          <w:rFonts w:ascii="Times New Roman" w:eastAsia="Calibri" w:hAnsi="Times New Roman" w:cs="Times New Roman"/>
          <w:color w:val="auto"/>
          <w:lang w:val="pt-BR" w:eastAsia="en-US"/>
        </w:rPr>
        <w:t xml:space="preserve">a fim de validar o plano de demissão incentivada do BESC. Na hipótese, considerou-se </w:t>
      </w:r>
      <w:r w:rsidRPr="00233FDF">
        <w:rPr>
          <w:rFonts w:ascii="Times New Roman" w:eastAsia="Calibri" w:hAnsi="Times New Roman" w:cs="Times New Roman"/>
          <w:color w:val="auto"/>
          <w:lang w:val="pt-BR" w:eastAsia="en-US"/>
        </w:rPr>
        <w:t xml:space="preserve">fato incontroverso que o </w:t>
      </w:r>
      <w:r>
        <w:rPr>
          <w:rFonts w:ascii="Times New Roman" w:eastAsia="Calibri" w:hAnsi="Times New Roman" w:cs="Times New Roman"/>
          <w:color w:val="auto"/>
          <w:lang w:val="pt-BR" w:eastAsia="en-US"/>
        </w:rPr>
        <w:t xml:space="preserve">plano </w:t>
      </w:r>
      <w:r w:rsidRPr="00233FDF">
        <w:rPr>
          <w:rFonts w:ascii="Times New Roman" w:eastAsia="Calibri" w:hAnsi="Times New Roman" w:cs="Times New Roman"/>
          <w:color w:val="auto"/>
          <w:lang w:val="pt-BR" w:eastAsia="en-US"/>
        </w:rPr>
        <w:t>em questão foi firmado mediante negociação coletiva com o sindicato representativo da categoria profissional e, ainda, acordada a quitação de toda e qualquer parcela decorrente d</w:t>
      </w:r>
      <w:r>
        <w:rPr>
          <w:rFonts w:ascii="Times New Roman" w:eastAsia="Calibri" w:hAnsi="Times New Roman" w:cs="Times New Roman"/>
          <w:color w:val="auto"/>
          <w:lang w:val="pt-BR" w:eastAsia="en-US"/>
        </w:rPr>
        <w:t>a</w:t>
      </w:r>
      <w:r w:rsidRPr="00233FDF">
        <w:rPr>
          <w:rFonts w:ascii="Times New Roman" w:eastAsia="Calibri" w:hAnsi="Times New Roman" w:cs="Times New Roman"/>
          <w:color w:val="auto"/>
          <w:lang w:val="pt-BR" w:eastAsia="en-US"/>
        </w:rPr>
        <w:t xml:space="preserve"> relação de emprego</w:t>
      </w:r>
      <w:r>
        <w:rPr>
          <w:rFonts w:ascii="Times New Roman" w:eastAsia="Calibri" w:hAnsi="Times New Roman" w:cs="Times New Roman"/>
          <w:color w:val="auto"/>
          <w:lang w:val="pt-BR" w:eastAsia="en-US"/>
        </w:rPr>
        <w:t xml:space="preserve">, visto que </w:t>
      </w:r>
      <w:r w:rsidRPr="00233FDF">
        <w:rPr>
          <w:rFonts w:ascii="Times New Roman" w:eastAsia="Calibri" w:hAnsi="Times New Roman" w:cs="Times New Roman"/>
          <w:color w:val="auto"/>
          <w:lang w:val="pt-BR" w:eastAsia="en-US"/>
        </w:rPr>
        <w:t>afirmado pelo reclamado na contestação, nas contrarrazões ao recurso ordinário e no recurso de revista adesivo e</w:t>
      </w:r>
      <w:r>
        <w:rPr>
          <w:rFonts w:ascii="Times New Roman" w:eastAsia="Calibri" w:hAnsi="Times New Roman" w:cs="Times New Roman"/>
          <w:color w:val="auto"/>
          <w:lang w:val="pt-BR" w:eastAsia="en-US"/>
        </w:rPr>
        <w:t>,</w:t>
      </w:r>
      <w:r w:rsidRPr="00233FDF">
        <w:rPr>
          <w:rFonts w:ascii="Times New Roman" w:eastAsia="Calibri" w:hAnsi="Times New Roman" w:cs="Times New Roman"/>
          <w:color w:val="auto"/>
          <w:lang w:val="pt-BR" w:eastAsia="en-US"/>
        </w:rPr>
        <w:t xml:space="preserve"> não negado pelo autor</w:t>
      </w:r>
      <w:r>
        <w:rPr>
          <w:rFonts w:ascii="Times New Roman" w:eastAsia="Calibri" w:hAnsi="Times New Roman" w:cs="Times New Roman"/>
          <w:color w:val="auto"/>
          <w:lang w:val="pt-BR" w:eastAsia="en-US"/>
        </w:rPr>
        <w:t xml:space="preserve">. Destacou-se, ademais, que, </w:t>
      </w:r>
      <w:r w:rsidRPr="005F3218">
        <w:rPr>
          <w:rFonts w:ascii="Times New Roman" w:eastAsia="Calibri" w:hAnsi="Times New Roman" w:cs="Times New Roman"/>
          <w:color w:val="auto"/>
          <w:lang w:val="pt-BR" w:eastAsia="en-US"/>
        </w:rPr>
        <w:t xml:space="preserve">no caso, se discute idêntico </w:t>
      </w:r>
      <w:r>
        <w:rPr>
          <w:rFonts w:ascii="Times New Roman" w:eastAsia="Calibri" w:hAnsi="Times New Roman" w:cs="Times New Roman"/>
          <w:color w:val="auto"/>
          <w:lang w:val="pt-BR" w:eastAsia="en-US"/>
        </w:rPr>
        <w:t>programa de demissão</w:t>
      </w:r>
      <w:r w:rsidRPr="005F321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e norma coletiva a que se referiu</w:t>
      </w:r>
      <w:r w:rsidRPr="005F3218">
        <w:rPr>
          <w:rFonts w:ascii="Times New Roman" w:eastAsia="Calibri" w:hAnsi="Times New Roman" w:cs="Times New Roman"/>
          <w:color w:val="auto"/>
          <w:lang w:val="pt-BR" w:eastAsia="en-US"/>
        </w:rPr>
        <w:t xml:space="preserve"> o Supremo Tribunal Federal, nos autos do RE </w:t>
      </w:r>
      <w:r w:rsidRPr="005F3218">
        <w:rPr>
          <w:rFonts w:ascii="Times New Roman" w:eastAsia="Calibri" w:hAnsi="Times New Roman" w:cs="Times New Roman"/>
          <w:color w:val="auto"/>
          <w:lang w:val="pt-BR" w:eastAsia="en-US"/>
        </w:rPr>
        <w:lastRenderedPageBreak/>
        <w:t>590</w:t>
      </w:r>
      <w:r>
        <w:rPr>
          <w:rFonts w:ascii="Times New Roman" w:eastAsia="Calibri" w:hAnsi="Times New Roman" w:cs="Times New Roman"/>
          <w:color w:val="auto"/>
          <w:lang w:val="pt-BR" w:eastAsia="en-US"/>
        </w:rPr>
        <w:t>.</w:t>
      </w:r>
      <w:r w:rsidRPr="005F3218">
        <w:rPr>
          <w:rFonts w:ascii="Times New Roman" w:eastAsia="Calibri" w:hAnsi="Times New Roman" w:cs="Times New Roman"/>
          <w:color w:val="auto"/>
          <w:lang w:val="pt-BR" w:eastAsia="en-US"/>
        </w:rPr>
        <w:t>415/SC</w:t>
      </w:r>
      <w:r>
        <w:rPr>
          <w:rFonts w:ascii="Times New Roman" w:eastAsia="Calibri" w:hAnsi="Times New Roman" w:cs="Times New Roman"/>
          <w:color w:val="auto"/>
          <w:lang w:val="pt-BR" w:eastAsia="en-US"/>
        </w:rPr>
        <w:t>, com repercussão geral, razão pela qual não há falar em revolvimento de fatos e provas ou contrariedade à Súmula nº 126 do TST. Sob</w:t>
      </w:r>
      <w:r w:rsidRPr="009C5D63">
        <w:rPr>
          <w:rFonts w:ascii="Times New Roman" w:eastAsia="Calibri" w:hAnsi="Times New Roman" w:cs="Times New Roman"/>
          <w:color w:val="auto"/>
          <w:lang w:val="pt-BR" w:eastAsia="en-US"/>
        </w:rPr>
        <w:t xml:space="preserve"> esse </w:t>
      </w:r>
      <w:r>
        <w:rPr>
          <w:rFonts w:ascii="Times New Roman" w:eastAsia="Calibri" w:hAnsi="Times New Roman" w:cs="Times New Roman"/>
          <w:color w:val="auto"/>
          <w:lang w:val="pt-BR" w:eastAsia="en-US"/>
        </w:rPr>
        <w:t>fundamento</w:t>
      </w:r>
      <w:r w:rsidRPr="009C5D63">
        <w:rPr>
          <w:rFonts w:ascii="Times New Roman" w:eastAsia="Calibri" w:hAnsi="Times New Roman" w:cs="Times New Roman"/>
          <w:color w:val="auto"/>
          <w:lang w:val="pt-BR" w:eastAsia="en-US"/>
        </w:rPr>
        <w:t xml:space="preserve">, a SBDI-I, </w:t>
      </w:r>
      <w:r>
        <w:rPr>
          <w:rFonts w:ascii="Times New Roman" w:eastAsia="Calibri" w:hAnsi="Times New Roman" w:cs="Times New Roman"/>
          <w:color w:val="auto"/>
          <w:lang w:val="pt-BR" w:eastAsia="en-US"/>
        </w:rPr>
        <w:t>por maioria</w:t>
      </w:r>
      <w:r w:rsidRPr="009C5D63">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não </w:t>
      </w:r>
      <w:r w:rsidRPr="009C5D63">
        <w:rPr>
          <w:rFonts w:ascii="Times New Roman" w:eastAsia="Calibri" w:hAnsi="Times New Roman" w:cs="Times New Roman"/>
          <w:color w:val="auto"/>
          <w:lang w:val="pt-BR" w:eastAsia="en-US"/>
        </w:rPr>
        <w:t>conheceu dos embargos interpostos pel</w:t>
      </w:r>
      <w:r>
        <w:rPr>
          <w:rFonts w:ascii="Times New Roman" w:eastAsia="Calibri" w:hAnsi="Times New Roman" w:cs="Times New Roman"/>
          <w:color w:val="auto"/>
          <w:lang w:val="pt-BR" w:eastAsia="en-US"/>
        </w:rPr>
        <w:t xml:space="preserve">o reclamante. Vencido o Ministro </w:t>
      </w:r>
      <w:r w:rsidRPr="002460A0">
        <w:rPr>
          <w:rFonts w:ascii="Times New Roman" w:eastAsia="Calibri" w:hAnsi="Times New Roman" w:cs="Times New Roman"/>
          <w:color w:val="auto"/>
          <w:lang w:val="pt-BR" w:eastAsia="en-US"/>
        </w:rPr>
        <w:t>João Oreste Dalazen.</w:t>
      </w:r>
      <w:r>
        <w:rPr>
          <w:rFonts w:ascii="Times New Roman" w:eastAsia="Calibri" w:hAnsi="Times New Roman" w:cs="Times New Roman"/>
          <w:color w:val="auto"/>
          <w:lang w:val="pt-BR" w:eastAsia="en-US"/>
        </w:rPr>
        <w:t xml:space="preserve"> </w:t>
      </w:r>
      <w:hyperlink r:id="rId9" w:history="1">
        <w:r w:rsidRPr="00BF6308">
          <w:rPr>
            <w:rStyle w:val="Hyperlink"/>
            <w:rFonts w:ascii="Times New Roman" w:hAnsi="Times New Roman" w:cs="Courier New"/>
            <w:lang w:val="pt-BR"/>
          </w:rPr>
          <w:t>TST-E-ED-RR-115300-41.2009.5.12.0032</w:t>
        </w:r>
      </w:hyperlink>
      <w:r>
        <w:rPr>
          <w:rFonts w:ascii="Times New Roman" w:hAnsi="Times New Roman"/>
          <w:u w:val="single"/>
          <w:lang w:val="pt-BR"/>
        </w:rPr>
        <w:t>, SBDI-I, rel. Min. Aloysio Corrêa da Veiga</w:t>
      </w:r>
      <w:r w:rsidRPr="009C5D63">
        <w:rPr>
          <w:rFonts w:ascii="Times New Roman" w:hAnsi="Times New Roman"/>
          <w:u w:val="single"/>
          <w:lang w:val="pt-BR"/>
        </w:rPr>
        <w:t xml:space="preserve">, </w:t>
      </w:r>
      <w:r>
        <w:rPr>
          <w:rFonts w:ascii="Times New Roman" w:hAnsi="Times New Roman"/>
          <w:u w:val="single"/>
          <w:lang w:val="pt-BR"/>
        </w:rPr>
        <w:t>14</w:t>
      </w:r>
      <w:r w:rsidRPr="009C5D63">
        <w:rPr>
          <w:rFonts w:ascii="Times New Roman" w:hAnsi="Times New Roman"/>
          <w:u w:val="single"/>
          <w:lang w:val="pt-BR"/>
        </w:rPr>
        <w:t>.</w:t>
      </w:r>
      <w:r>
        <w:rPr>
          <w:rFonts w:ascii="Times New Roman" w:hAnsi="Times New Roman"/>
          <w:u w:val="single"/>
          <w:lang w:val="pt-BR"/>
        </w:rPr>
        <w:t>9.2017</w:t>
      </w:r>
    </w:p>
    <w:p w:rsidR="00194264" w:rsidRPr="00223F6E" w:rsidRDefault="00194264" w:rsidP="00194264">
      <w:pPr>
        <w:jc w:val="both"/>
        <w:rPr>
          <w:b/>
          <w:i/>
        </w:rPr>
      </w:pPr>
    </w:p>
    <w:p w:rsidR="00194264" w:rsidRPr="00B4525E" w:rsidRDefault="00194264" w:rsidP="00194264">
      <w:pPr>
        <w:jc w:val="both"/>
        <w:rPr>
          <w:b/>
          <w:i/>
          <w:sz w:val="24"/>
          <w:szCs w:val="24"/>
        </w:rPr>
      </w:pPr>
      <w:r>
        <w:rPr>
          <w:b/>
          <w:i/>
          <w:sz w:val="24"/>
          <w:szCs w:val="24"/>
        </w:rPr>
        <w:t>Horas extras. Pré-contratação. Configuração. Transferência de empresa de processamento de dados para banco do mesmo grupo econômico. Marco temporal para admissão na condição de bancário.</w:t>
      </w:r>
    </w:p>
    <w:p w:rsidR="00194264" w:rsidRDefault="00194264" w:rsidP="00194264">
      <w:pPr>
        <w:jc w:val="both"/>
        <w:rPr>
          <w:sz w:val="24"/>
          <w:szCs w:val="24"/>
        </w:rPr>
      </w:pPr>
      <w:r w:rsidRPr="00667EC9">
        <w:rPr>
          <w:sz w:val="24"/>
          <w:szCs w:val="24"/>
        </w:rPr>
        <w:t>A contratação de labor extraordinário</w:t>
      </w:r>
      <w:r>
        <w:rPr>
          <w:sz w:val="24"/>
          <w:szCs w:val="24"/>
        </w:rPr>
        <w:t xml:space="preserve"> no momento da </w:t>
      </w:r>
      <w:r w:rsidRPr="00667EC9">
        <w:rPr>
          <w:sz w:val="24"/>
          <w:szCs w:val="24"/>
        </w:rPr>
        <w:t>transferência</w:t>
      </w:r>
      <w:r>
        <w:rPr>
          <w:sz w:val="24"/>
          <w:szCs w:val="24"/>
        </w:rPr>
        <w:t xml:space="preserve"> da empregada de empresa de processamento de dados</w:t>
      </w:r>
      <w:r w:rsidRPr="00667EC9">
        <w:rPr>
          <w:sz w:val="24"/>
          <w:szCs w:val="24"/>
        </w:rPr>
        <w:t xml:space="preserve"> para banco que integra o </w:t>
      </w:r>
      <w:r>
        <w:rPr>
          <w:sz w:val="24"/>
          <w:szCs w:val="24"/>
        </w:rPr>
        <w:t xml:space="preserve">mesmo </w:t>
      </w:r>
      <w:r w:rsidRPr="00667EC9">
        <w:rPr>
          <w:sz w:val="24"/>
          <w:szCs w:val="24"/>
        </w:rPr>
        <w:t>grupo econômico caracteriza a pré</w:t>
      </w:r>
      <w:r>
        <w:rPr>
          <w:sz w:val="24"/>
          <w:szCs w:val="24"/>
        </w:rPr>
        <w:t>-</w:t>
      </w:r>
      <w:r w:rsidRPr="00667EC9">
        <w:rPr>
          <w:sz w:val="24"/>
          <w:szCs w:val="24"/>
        </w:rPr>
        <w:t>contratação de horas extras</w:t>
      </w:r>
      <w:r>
        <w:rPr>
          <w:sz w:val="24"/>
          <w:szCs w:val="24"/>
        </w:rPr>
        <w:t xml:space="preserve">, nos termos do item I da Súmula nº 199 do TST. Na hipótese, não obstante a alegação de que a contratação das horas extraordinárias ocorreu no decurso do contrato de trabalho, prevaleceu o entendimento de que a transferência para o banco constitui o marco temporal para considerar a empregada admitida como bancária, vez que somente a partir desse momento ocorreu a prestação de serviços nessa instituição. </w:t>
      </w:r>
      <w:r w:rsidRPr="000E6964">
        <w:rPr>
          <w:sz w:val="24"/>
          <w:szCs w:val="24"/>
        </w:rPr>
        <w:t>Sob esse fundamento, a SBDI-I, por unanimidade, não conheceu dos emba</w:t>
      </w:r>
      <w:r>
        <w:rPr>
          <w:sz w:val="24"/>
          <w:szCs w:val="24"/>
        </w:rPr>
        <w:t xml:space="preserve">rgos interpostos pela reclamada. </w:t>
      </w:r>
      <w:hyperlink r:id="rId10" w:history="1">
        <w:r w:rsidRPr="00BF6308">
          <w:rPr>
            <w:rStyle w:val="Hyperlink"/>
            <w:rFonts w:cs="Courier New"/>
            <w:sz w:val="24"/>
            <w:szCs w:val="24"/>
          </w:rPr>
          <w:t>TST-E-ED-RR-261800-79.1999.5.02.0008</w:t>
        </w:r>
      </w:hyperlink>
      <w:r w:rsidRPr="00F845AF">
        <w:rPr>
          <w:rFonts w:cs="Courier New"/>
          <w:color w:val="000000"/>
          <w:sz w:val="24"/>
          <w:szCs w:val="24"/>
          <w:u w:val="single"/>
        </w:rPr>
        <w:t>, SBDI-I, rel. Min. José Roberto Freire Pimenta, 14.9.2017</w:t>
      </w:r>
    </w:p>
    <w:p w:rsidR="00194264" w:rsidRPr="00223F6E" w:rsidRDefault="00194264" w:rsidP="00194264">
      <w:pPr>
        <w:jc w:val="both"/>
        <w:rPr>
          <w:b/>
          <w:i/>
        </w:rPr>
      </w:pPr>
    </w:p>
    <w:p w:rsidR="00194264" w:rsidRDefault="00194264" w:rsidP="00194264">
      <w:pPr>
        <w:jc w:val="both"/>
        <w:rPr>
          <w:b/>
          <w:i/>
          <w:sz w:val="24"/>
          <w:szCs w:val="24"/>
        </w:rPr>
      </w:pPr>
      <w:r>
        <w:rPr>
          <w:b/>
          <w:i/>
          <w:sz w:val="24"/>
          <w:szCs w:val="24"/>
        </w:rPr>
        <w:t>Comissão de Conciliação Prévia. Suspensão do prazo prescricional. Não limitação ao período de dez dias previsto no art. 625-F da CLT.</w:t>
      </w:r>
    </w:p>
    <w:p w:rsidR="00194264" w:rsidRDefault="00194264" w:rsidP="00194264">
      <w:pPr>
        <w:jc w:val="both"/>
        <w:rPr>
          <w:bCs/>
          <w:sz w:val="24"/>
          <w:szCs w:val="24"/>
          <w:u w:val="single"/>
        </w:rPr>
      </w:pPr>
      <w:r>
        <w:rPr>
          <w:sz w:val="24"/>
          <w:szCs w:val="24"/>
        </w:rPr>
        <w:t xml:space="preserve">O prazo de dez dias previsto no art. 625-F da CLT é direcionado à Comissão de Conciliação Prévia - CCP, a fim de dar maior celeridade à tentativa de conciliação, e não à parte que a provocou. Assim, elastecido o período entre a submissão da demanda à CCP e a data em que lavrado o termo de conciliação frustrada, todo esse tempo deve ser computado para efeito de suspensão do prazo prescricional a que alude o art. 625-G da CLT, sob pena de prejudicar a parte que optou em buscar a conciliação. Sob esses fundamentos, a SBDI-I, por unanimidade, conheceu do recurso de embargos do reclamante, por divergência jurisprudencial, e, no mérito, deu-lhe provimento para restabelecer a sentença. </w:t>
      </w:r>
      <w:hyperlink r:id="rId11" w:history="1">
        <w:r w:rsidRPr="00BF6308">
          <w:rPr>
            <w:rStyle w:val="Hyperlink"/>
            <w:bCs/>
            <w:sz w:val="24"/>
            <w:szCs w:val="24"/>
          </w:rPr>
          <w:t>TST-E-ED-ARR-1929-04.2011.5.03.0025</w:t>
        </w:r>
      </w:hyperlink>
      <w:r w:rsidRPr="004F3758">
        <w:rPr>
          <w:bCs/>
          <w:sz w:val="24"/>
          <w:szCs w:val="24"/>
          <w:u w:val="single"/>
        </w:rPr>
        <w:t>, S</w:t>
      </w:r>
      <w:r>
        <w:rPr>
          <w:bCs/>
          <w:sz w:val="24"/>
          <w:szCs w:val="24"/>
          <w:u w:val="single"/>
        </w:rPr>
        <w:t>B</w:t>
      </w:r>
      <w:r w:rsidRPr="004F3758">
        <w:rPr>
          <w:bCs/>
          <w:sz w:val="24"/>
          <w:szCs w:val="24"/>
          <w:u w:val="single"/>
        </w:rPr>
        <w:t>D</w:t>
      </w:r>
      <w:r>
        <w:rPr>
          <w:bCs/>
          <w:sz w:val="24"/>
          <w:szCs w:val="24"/>
          <w:u w:val="single"/>
        </w:rPr>
        <w:t>I-I</w:t>
      </w:r>
      <w:r w:rsidRPr="004F3758">
        <w:rPr>
          <w:bCs/>
          <w:sz w:val="24"/>
          <w:szCs w:val="24"/>
          <w:u w:val="single"/>
        </w:rPr>
        <w:t xml:space="preserve">, </w:t>
      </w:r>
      <w:r>
        <w:rPr>
          <w:bCs/>
          <w:sz w:val="24"/>
          <w:szCs w:val="24"/>
          <w:u w:val="single"/>
        </w:rPr>
        <w:t>rel</w:t>
      </w:r>
      <w:r w:rsidRPr="004F3758">
        <w:rPr>
          <w:bCs/>
          <w:sz w:val="24"/>
          <w:szCs w:val="24"/>
          <w:u w:val="single"/>
        </w:rPr>
        <w:t xml:space="preserve">. Min. </w:t>
      </w:r>
      <w:r>
        <w:rPr>
          <w:bCs/>
          <w:sz w:val="24"/>
          <w:szCs w:val="24"/>
          <w:u w:val="single"/>
        </w:rPr>
        <w:t>Aloysio Corrêa da Veiga</w:t>
      </w:r>
      <w:r w:rsidRPr="004F3758">
        <w:rPr>
          <w:bCs/>
          <w:sz w:val="24"/>
          <w:szCs w:val="24"/>
          <w:u w:val="single"/>
        </w:rPr>
        <w:t xml:space="preserve">, </w:t>
      </w:r>
      <w:r>
        <w:rPr>
          <w:bCs/>
          <w:sz w:val="24"/>
          <w:szCs w:val="24"/>
          <w:u w:val="single"/>
        </w:rPr>
        <w:t>14</w:t>
      </w:r>
      <w:r w:rsidRPr="004F3758">
        <w:rPr>
          <w:bCs/>
          <w:sz w:val="24"/>
          <w:szCs w:val="24"/>
          <w:u w:val="single"/>
        </w:rPr>
        <w:t>.</w:t>
      </w:r>
      <w:r>
        <w:rPr>
          <w:bCs/>
          <w:sz w:val="24"/>
          <w:szCs w:val="24"/>
          <w:u w:val="single"/>
        </w:rPr>
        <w:t>9</w:t>
      </w:r>
      <w:r w:rsidRPr="004F3758">
        <w:rPr>
          <w:bCs/>
          <w:sz w:val="24"/>
          <w:szCs w:val="24"/>
          <w:u w:val="single"/>
        </w:rPr>
        <w:t>.2017</w:t>
      </w:r>
    </w:p>
    <w:p w:rsidR="00282620" w:rsidRDefault="00282620" w:rsidP="00194264">
      <w:pPr>
        <w:jc w:val="both"/>
        <w:rPr>
          <w:bCs/>
          <w:sz w:val="24"/>
          <w:szCs w:val="24"/>
          <w:u w:val="single"/>
        </w:rPr>
      </w:pPr>
    </w:p>
    <w:p w:rsidR="00282620" w:rsidRDefault="00282620" w:rsidP="00194264">
      <w:pPr>
        <w:jc w:val="both"/>
        <w:rPr>
          <w:bCs/>
          <w:sz w:val="24"/>
          <w:szCs w:val="24"/>
          <w:u w:val="single"/>
        </w:rPr>
      </w:pPr>
    </w:p>
    <w:p w:rsidR="00282620" w:rsidRDefault="00282620" w:rsidP="00194264">
      <w:pPr>
        <w:jc w:val="both"/>
        <w:rPr>
          <w:bCs/>
          <w:sz w:val="24"/>
          <w:szCs w:val="24"/>
          <w:u w:val="single"/>
        </w:rPr>
      </w:pPr>
    </w:p>
    <w:p w:rsidR="00963D6F" w:rsidRDefault="00963D6F" w:rsidP="00C6738C">
      <w:pPr>
        <w:rPr>
          <w:sz w:val="10"/>
          <w:szCs w:val="10"/>
        </w:rPr>
      </w:pPr>
    </w:p>
    <w:p w:rsidR="00963D6F" w:rsidRDefault="00963D6F" w:rsidP="00C6738C">
      <w:pPr>
        <w:rPr>
          <w:sz w:val="10"/>
          <w:szCs w:val="10"/>
        </w:rPr>
      </w:pPr>
    </w:p>
    <w:p w:rsidR="006D0B48" w:rsidRPr="001D6AC9" w:rsidRDefault="006D0B48" w:rsidP="00C6738C">
      <w:pPr>
        <w:rPr>
          <w:sz w:val="10"/>
          <w:szCs w:val="10"/>
        </w:rPr>
      </w:pP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CE7555">
        <w:rPr>
          <w:b w:val="0"/>
          <w:bCs w:val="0"/>
          <w:snapToGrid w:val="0"/>
          <w:sz w:val="25"/>
          <w:szCs w:val="25"/>
        </w:rPr>
        <w:t xml:space="preserve">Informativo TST é mantido pela </w:t>
      </w: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CE7555">
        <w:rPr>
          <w:b w:val="0"/>
          <w:bCs w:val="0"/>
          <w:snapToGrid w:val="0"/>
          <w:sz w:val="25"/>
          <w:szCs w:val="25"/>
        </w:rPr>
        <w:t>Coordenadoria de Jurisprudência – CJUR</w:t>
      </w:r>
    </w:p>
    <w:p w:rsidR="00184590"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Informações/Sugestões/Críticas: (61)3043</w:t>
      </w:r>
      <w:r w:rsidR="00352B27" w:rsidRPr="00CE7555">
        <w:rPr>
          <w:snapToGrid w:val="0"/>
          <w:sz w:val="25"/>
          <w:szCs w:val="25"/>
        </w:rPr>
        <w:t>-</w:t>
      </w:r>
      <w:r w:rsidRPr="00CE7555">
        <w:rPr>
          <w:snapToGrid w:val="0"/>
          <w:sz w:val="25"/>
          <w:szCs w:val="25"/>
        </w:rPr>
        <w:t>4</w:t>
      </w:r>
      <w:r w:rsidR="00D72C05" w:rsidRPr="00CE7555">
        <w:rPr>
          <w:snapToGrid w:val="0"/>
          <w:sz w:val="25"/>
          <w:szCs w:val="25"/>
        </w:rPr>
        <w:t>417</w:t>
      </w:r>
    </w:p>
    <w:p w:rsidR="007614F1"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cjur@tst.jus.br</w:t>
      </w:r>
    </w:p>
    <w:sectPr w:rsidR="007614F1" w:rsidRPr="00CE7555" w:rsidSect="00D11B24">
      <w:headerReference w:type="default" r:id="rId12"/>
      <w:footerReference w:type="default" r:id="rId13"/>
      <w:headerReference w:type="first" r:id="rId14"/>
      <w:footerReference w:type="first" r:id="rId15"/>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95" w:rsidRDefault="00355A95">
      <w:r>
        <w:separator/>
      </w:r>
    </w:p>
  </w:endnote>
  <w:endnote w:type="continuationSeparator" w:id="0">
    <w:p w:rsidR="00355A95" w:rsidRDefault="0035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27684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4D01">
      <w:rPr>
        <w:rStyle w:val="Nmerodepgina"/>
        <w:noProof/>
      </w:rPr>
      <w:t>4</w:t>
    </w:r>
    <w:r>
      <w:rPr>
        <w:rStyle w:val="Nmerodepgina"/>
      </w:rPr>
      <w:fldChar w:fldCharType="end"/>
    </w:r>
  </w:p>
  <w:p w:rsidR="0027684A" w:rsidRDefault="00CF4D01">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CF4D01">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27684A">
      <w:rPr>
        <w:rStyle w:val="Nmerodepgina"/>
      </w:rPr>
      <w:fldChar w:fldCharType="begin"/>
    </w:r>
    <w:r w:rsidR="0027684A">
      <w:rPr>
        <w:rStyle w:val="Nmerodepgina"/>
      </w:rPr>
      <w:instrText xml:space="preserve"> PAGE </w:instrText>
    </w:r>
    <w:r w:rsidR="0027684A">
      <w:rPr>
        <w:rStyle w:val="Nmerodepgina"/>
      </w:rPr>
      <w:fldChar w:fldCharType="separate"/>
    </w:r>
    <w:r>
      <w:rPr>
        <w:rStyle w:val="Nmerodepgina"/>
        <w:noProof/>
      </w:rPr>
      <w:t>1</w:t>
    </w:r>
    <w:r w:rsidR="0027684A">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95" w:rsidRDefault="00355A95">
      <w:r>
        <w:separator/>
      </w:r>
    </w:p>
  </w:footnote>
  <w:footnote w:type="continuationSeparator" w:id="0">
    <w:p w:rsidR="00355A95" w:rsidRDefault="0035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Pr="00CF4D01" w:rsidRDefault="0027684A">
    <w:pPr>
      <w:pStyle w:val="Corpodetexto"/>
      <w:jc w:val="right"/>
      <w:rPr>
        <w:sz w:val="24"/>
        <w:szCs w:val="24"/>
        <w14:shadow w14:blurRad="50800" w14:dist="38100" w14:dir="2700000" w14:sx="100000" w14:sy="100000" w14:kx="0" w14:ky="0" w14:algn="tl">
          <w14:srgbClr w14:val="000000">
            <w14:alpha w14:val="60000"/>
          </w14:srgbClr>
        </w14:shadow>
      </w:rPr>
    </w:pPr>
    <w:r w:rsidRPr="00CF4D01">
      <w:rPr>
        <w:sz w:val="24"/>
        <w:szCs w:val="24"/>
        <w14:shadow w14:blurRad="50800" w14:dist="38100" w14:dir="2700000" w14:sx="100000" w14:sy="100000" w14:kx="0" w14:ky="0" w14:algn="tl">
          <w14:srgbClr w14:val="000000">
            <w14:alpha w14:val="60000"/>
          </w14:srgbClr>
        </w14:shadow>
      </w:rPr>
      <w:t>Informativo TST - nº 1</w:t>
    </w:r>
    <w:r w:rsidR="00A02580" w:rsidRPr="00CF4D01">
      <w:rPr>
        <w:sz w:val="24"/>
        <w:szCs w:val="24"/>
        <w14:shadow w14:blurRad="50800" w14:dist="38100" w14:dir="2700000" w14:sx="100000" w14:sy="100000" w14:kx="0" w14:ky="0" w14:algn="tl">
          <w14:srgbClr w14:val="000000">
            <w14:alpha w14:val="60000"/>
          </w14:srgbClr>
        </w14:shadow>
      </w:rPr>
      <w:t>6</w:t>
    </w:r>
    <w:r w:rsidR="00EA52B3" w:rsidRPr="00CF4D01">
      <w:rPr>
        <w:sz w:val="24"/>
        <w:szCs w:val="24"/>
        <w14:shadow w14:blurRad="50800" w14:dist="38100" w14:dir="2700000" w14:sx="100000" w14:sy="100000" w14:kx="0" w14:ky="0" w14:algn="tl">
          <w14:srgbClr w14:val="000000">
            <w14:alpha w14:val="60000"/>
          </w14:srgbClr>
        </w14:shadow>
      </w:rPr>
      <w:t>4</w:t>
    </w:r>
  </w:p>
  <w:p w:rsidR="0027684A" w:rsidRPr="005D1DE4" w:rsidRDefault="00CF4D01" w:rsidP="00CE7555">
    <w:pPr>
      <w:pStyle w:val="Cabealho"/>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27684A" w:rsidRPr="003C0554">
      <w:rPr>
        <w:iCs/>
      </w:rPr>
      <w:t xml:space="preserve"> </w:t>
    </w:r>
    <w:r w:rsidR="0027684A">
      <w:rPr>
        <w:i/>
        <w:iCs/>
      </w:rPr>
      <w:t xml:space="preserve">Período: </w:t>
    </w:r>
    <w:r w:rsidR="00EA52B3">
      <w:rPr>
        <w:i/>
        <w:iCs/>
      </w:rPr>
      <w:t>1</w:t>
    </w:r>
    <w:r w:rsidR="009D1BDE">
      <w:rPr>
        <w:i/>
        <w:iCs/>
      </w:rPr>
      <w:t>2</w:t>
    </w:r>
    <w:r w:rsidR="00FA1DCF">
      <w:rPr>
        <w:i/>
        <w:iCs/>
      </w:rPr>
      <w:t xml:space="preserve"> </w:t>
    </w:r>
    <w:r w:rsidR="00D12FFF">
      <w:rPr>
        <w:i/>
        <w:iCs/>
      </w:rPr>
      <w:t>a 1</w:t>
    </w:r>
    <w:r w:rsidR="00EA52B3">
      <w:rPr>
        <w:i/>
        <w:iCs/>
      </w:rPr>
      <w:t xml:space="preserve">8 </w:t>
    </w:r>
    <w:r w:rsidR="00D12FFF">
      <w:rPr>
        <w:i/>
        <w:iCs/>
      </w:rPr>
      <w:t>de setembro</w:t>
    </w:r>
    <w:r w:rsidR="007023BC">
      <w:rPr>
        <w:i/>
        <w:iCs/>
      </w:rPr>
      <w:t xml:space="preserve"> </w:t>
    </w:r>
    <w:r w:rsidR="00063834">
      <w:rPr>
        <w:i/>
        <w:iCs/>
      </w:rPr>
      <w:t>de</w:t>
    </w:r>
    <w:r w:rsidR="0027684A">
      <w:rPr>
        <w:i/>
        <w:iCs/>
      </w:rPr>
      <w:t xml:space="preserv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2768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CF4D01">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27684A" w:rsidRPr="002168DE" w:rsidRDefault="0027684A"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sidR="00063834">
      <w:rPr>
        <w:b/>
        <w:sz w:val="40"/>
        <w:szCs w:val="40"/>
      </w:rPr>
      <w:t>1</w:t>
    </w:r>
    <w:r w:rsidR="00A02580">
      <w:rPr>
        <w:b/>
        <w:sz w:val="40"/>
        <w:szCs w:val="40"/>
      </w:rPr>
      <w:t>6</w:t>
    </w:r>
    <w:r w:rsidR="00EA52B3">
      <w:rPr>
        <w:b/>
        <w:sz w:val="40"/>
        <w:szCs w:val="40"/>
      </w:rPr>
      <w:t>4</w:t>
    </w:r>
    <w:r w:rsidR="00730CC7">
      <w:rPr>
        <w:b/>
        <w:sz w:val="40"/>
        <w:szCs w:val="40"/>
      </w:rPr>
      <w:t xml:space="preserve"> </w:t>
    </w:r>
  </w:p>
  <w:p w:rsidR="0027684A" w:rsidRPr="005D1DE4" w:rsidRDefault="0027684A">
    <w:pPr>
      <w:pStyle w:val="Cabealho"/>
      <w:jc w:val="right"/>
      <w:rPr>
        <w:i/>
        <w:iCs/>
        <w:sz w:val="10"/>
        <w:szCs w:val="10"/>
      </w:rPr>
    </w:pPr>
  </w:p>
  <w:p w:rsidR="0027684A" w:rsidRPr="005D1DE4" w:rsidRDefault="0027684A">
    <w:pPr>
      <w:pStyle w:val="Cabealho"/>
      <w:jc w:val="right"/>
    </w:pPr>
    <w:r>
      <w:rPr>
        <w:i/>
        <w:iCs/>
      </w:rPr>
      <w:t xml:space="preserve">Período: </w:t>
    </w:r>
    <w:r w:rsidR="00EA52B3">
      <w:rPr>
        <w:i/>
        <w:iCs/>
      </w:rPr>
      <w:t>1</w:t>
    </w:r>
    <w:r w:rsidR="009D1BDE">
      <w:rPr>
        <w:i/>
        <w:iCs/>
      </w:rPr>
      <w:t>2</w:t>
    </w:r>
    <w:r w:rsidR="00D12FFF">
      <w:rPr>
        <w:i/>
        <w:iCs/>
      </w:rPr>
      <w:t xml:space="preserve"> a 1</w:t>
    </w:r>
    <w:r w:rsidR="00EA52B3">
      <w:rPr>
        <w:i/>
        <w:iCs/>
      </w:rPr>
      <w:t>8</w:t>
    </w:r>
    <w:r w:rsidR="00D12FFF">
      <w:rPr>
        <w:i/>
        <w:iCs/>
      </w:rPr>
      <w:t xml:space="preserve"> de setembro</w:t>
    </w:r>
    <w:r w:rsidR="00DC30DD">
      <w:rPr>
        <w:i/>
        <w:iCs/>
      </w:rPr>
      <w:t xml:space="preserve"> de 2017</w:t>
    </w:r>
  </w:p>
  <w:p w:rsidR="0027684A" w:rsidRDefault="0027684A"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21967"/>
    <w:rsid w:val="000228E6"/>
    <w:rsid w:val="000249BA"/>
    <w:rsid w:val="00024CE9"/>
    <w:rsid w:val="00032056"/>
    <w:rsid w:val="000322FB"/>
    <w:rsid w:val="000332F1"/>
    <w:rsid w:val="00034034"/>
    <w:rsid w:val="000425FC"/>
    <w:rsid w:val="00050E85"/>
    <w:rsid w:val="0005125E"/>
    <w:rsid w:val="00052550"/>
    <w:rsid w:val="00055A9D"/>
    <w:rsid w:val="00056752"/>
    <w:rsid w:val="0005765E"/>
    <w:rsid w:val="00057B87"/>
    <w:rsid w:val="0006020E"/>
    <w:rsid w:val="00063834"/>
    <w:rsid w:val="00064486"/>
    <w:rsid w:val="00065048"/>
    <w:rsid w:val="000733B4"/>
    <w:rsid w:val="00073643"/>
    <w:rsid w:val="00073880"/>
    <w:rsid w:val="00075BDB"/>
    <w:rsid w:val="00076E4F"/>
    <w:rsid w:val="00077EAD"/>
    <w:rsid w:val="00080C40"/>
    <w:rsid w:val="00080F10"/>
    <w:rsid w:val="000858FB"/>
    <w:rsid w:val="0009237D"/>
    <w:rsid w:val="00093AE9"/>
    <w:rsid w:val="00093BA8"/>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1575C"/>
    <w:rsid w:val="0011692E"/>
    <w:rsid w:val="00122C2A"/>
    <w:rsid w:val="001257D7"/>
    <w:rsid w:val="00137564"/>
    <w:rsid w:val="00137DC1"/>
    <w:rsid w:val="00141630"/>
    <w:rsid w:val="00142C28"/>
    <w:rsid w:val="00152238"/>
    <w:rsid w:val="0015612D"/>
    <w:rsid w:val="00161CDE"/>
    <w:rsid w:val="00163142"/>
    <w:rsid w:val="001648F5"/>
    <w:rsid w:val="00167E80"/>
    <w:rsid w:val="00176D15"/>
    <w:rsid w:val="0018296E"/>
    <w:rsid w:val="00183803"/>
    <w:rsid w:val="00184590"/>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AB0"/>
    <w:rsid w:val="001D6AC9"/>
    <w:rsid w:val="001D757D"/>
    <w:rsid w:val="001E14A9"/>
    <w:rsid w:val="001E14BB"/>
    <w:rsid w:val="001E3B29"/>
    <w:rsid w:val="001E4B57"/>
    <w:rsid w:val="001E5BD1"/>
    <w:rsid w:val="001E713B"/>
    <w:rsid w:val="001E79B4"/>
    <w:rsid w:val="001F030F"/>
    <w:rsid w:val="001F2F34"/>
    <w:rsid w:val="001F45E0"/>
    <w:rsid w:val="00200A8C"/>
    <w:rsid w:val="00204C97"/>
    <w:rsid w:val="00206810"/>
    <w:rsid w:val="002168DE"/>
    <w:rsid w:val="00223F6E"/>
    <w:rsid w:val="00224AC2"/>
    <w:rsid w:val="00230183"/>
    <w:rsid w:val="0023559D"/>
    <w:rsid w:val="002402B0"/>
    <w:rsid w:val="002449F9"/>
    <w:rsid w:val="00255732"/>
    <w:rsid w:val="00257B4A"/>
    <w:rsid w:val="00260B37"/>
    <w:rsid w:val="002635ED"/>
    <w:rsid w:val="002662BA"/>
    <w:rsid w:val="00266D49"/>
    <w:rsid w:val="00271C5C"/>
    <w:rsid w:val="00271E67"/>
    <w:rsid w:val="002730B5"/>
    <w:rsid w:val="002766D5"/>
    <w:rsid w:val="0027684A"/>
    <w:rsid w:val="00276EA0"/>
    <w:rsid w:val="00280594"/>
    <w:rsid w:val="00282620"/>
    <w:rsid w:val="00285064"/>
    <w:rsid w:val="002A219D"/>
    <w:rsid w:val="002A521A"/>
    <w:rsid w:val="002A546D"/>
    <w:rsid w:val="002B0750"/>
    <w:rsid w:val="002B4738"/>
    <w:rsid w:val="002B6377"/>
    <w:rsid w:val="002C2904"/>
    <w:rsid w:val="002E78CB"/>
    <w:rsid w:val="002F28E5"/>
    <w:rsid w:val="002F71BF"/>
    <w:rsid w:val="003070C9"/>
    <w:rsid w:val="003074FC"/>
    <w:rsid w:val="0031207D"/>
    <w:rsid w:val="003200A0"/>
    <w:rsid w:val="0033397A"/>
    <w:rsid w:val="00340D16"/>
    <w:rsid w:val="00340E8D"/>
    <w:rsid w:val="00342846"/>
    <w:rsid w:val="003503FC"/>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767E"/>
    <w:rsid w:val="003C01E8"/>
    <w:rsid w:val="003C0554"/>
    <w:rsid w:val="003C1AB7"/>
    <w:rsid w:val="003C6FE7"/>
    <w:rsid w:val="003D032E"/>
    <w:rsid w:val="003D4205"/>
    <w:rsid w:val="003E1C53"/>
    <w:rsid w:val="003F2078"/>
    <w:rsid w:val="004034A8"/>
    <w:rsid w:val="0040506F"/>
    <w:rsid w:val="004163E7"/>
    <w:rsid w:val="004166C3"/>
    <w:rsid w:val="00416D9A"/>
    <w:rsid w:val="00423641"/>
    <w:rsid w:val="0042772A"/>
    <w:rsid w:val="004323B0"/>
    <w:rsid w:val="00437995"/>
    <w:rsid w:val="0044014F"/>
    <w:rsid w:val="00444E88"/>
    <w:rsid w:val="004477EC"/>
    <w:rsid w:val="00450BAD"/>
    <w:rsid w:val="0045657C"/>
    <w:rsid w:val="00457A40"/>
    <w:rsid w:val="004655CC"/>
    <w:rsid w:val="00466DB9"/>
    <w:rsid w:val="004672FC"/>
    <w:rsid w:val="00470EF8"/>
    <w:rsid w:val="004731B7"/>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415"/>
    <w:rsid w:val="004D71E8"/>
    <w:rsid w:val="004E393E"/>
    <w:rsid w:val="004E4507"/>
    <w:rsid w:val="004E4619"/>
    <w:rsid w:val="004F0A7D"/>
    <w:rsid w:val="004F5040"/>
    <w:rsid w:val="00513789"/>
    <w:rsid w:val="0051538E"/>
    <w:rsid w:val="00517E01"/>
    <w:rsid w:val="00521EEC"/>
    <w:rsid w:val="00530B90"/>
    <w:rsid w:val="00543B94"/>
    <w:rsid w:val="005460BD"/>
    <w:rsid w:val="005521C8"/>
    <w:rsid w:val="00553197"/>
    <w:rsid w:val="0055409E"/>
    <w:rsid w:val="00554139"/>
    <w:rsid w:val="00556367"/>
    <w:rsid w:val="00556B35"/>
    <w:rsid w:val="005703D6"/>
    <w:rsid w:val="00573E13"/>
    <w:rsid w:val="005811A4"/>
    <w:rsid w:val="00584F82"/>
    <w:rsid w:val="00591DFA"/>
    <w:rsid w:val="005A30AA"/>
    <w:rsid w:val="005A5695"/>
    <w:rsid w:val="005B031E"/>
    <w:rsid w:val="005B0A1C"/>
    <w:rsid w:val="005B22CE"/>
    <w:rsid w:val="005B2F00"/>
    <w:rsid w:val="005B3792"/>
    <w:rsid w:val="005B523B"/>
    <w:rsid w:val="005B57DE"/>
    <w:rsid w:val="005C1886"/>
    <w:rsid w:val="005C761E"/>
    <w:rsid w:val="005D0E5F"/>
    <w:rsid w:val="005D1DE4"/>
    <w:rsid w:val="005E35BD"/>
    <w:rsid w:val="005E3D4D"/>
    <w:rsid w:val="005E3F64"/>
    <w:rsid w:val="005E7FD1"/>
    <w:rsid w:val="005F0545"/>
    <w:rsid w:val="005F2858"/>
    <w:rsid w:val="006002E3"/>
    <w:rsid w:val="00602FF7"/>
    <w:rsid w:val="006145AC"/>
    <w:rsid w:val="00615F98"/>
    <w:rsid w:val="006207F5"/>
    <w:rsid w:val="00621F9C"/>
    <w:rsid w:val="00631166"/>
    <w:rsid w:val="00631F1C"/>
    <w:rsid w:val="00636289"/>
    <w:rsid w:val="006366A4"/>
    <w:rsid w:val="006425DD"/>
    <w:rsid w:val="00643B60"/>
    <w:rsid w:val="006456B1"/>
    <w:rsid w:val="006564EC"/>
    <w:rsid w:val="0066084C"/>
    <w:rsid w:val="00661B23"/>
    <w:rsid w:val="00665CCF"/>
    <w:rsid w:val="00672CF9"/>
    <w:rsid w:val="00672E11"/>
    <w:rsid w:val="0068273B"/>
    <w:rsid w:val="00691234"/>
    <w:rsid w:val="00692202"/>
    <w:rsid w:val="006931CC"/>
    <w:rsid w:val="006947F2"/>
    <w:rsid w:val="00696523"/>
    <w:rsid w:val="00697919"/>
    <w:rsid w:val="006B3FCF"/>
    <w:rsid w:val="006B46CA"/>
    <w:rsid w:val="006B549E"/>
    <w:rsid w:val="006C0391"/>
    <w:rsid w:val="006C28B3"/>
    <w:rsid w:val="006D0B48"/>
    <w:rsid w:val="006D1F66"/>
    <w:rsid w:val="006D306E"/>
    <w:rsid w:val="006D4497"/>
    <w:rsid w:val="006E1A9C"/>
    <w:rsid w:val="006E3B5C"/>
    <w:rsid w:val="006E5D21"/>
    <w:rsid w:val="006F6C15"/>
    <w:rsid w:val="00700B1B"/>
    <w:rsid w:val="007023BC"/>
    <w:rsid w:val="007029CF"/>
    <w:rsid w:val="0070727E"/>
    <w:rsid w:val="00710D3A"/>
    <w:rsid w:val="0071315F"/>
    <w:rsid w:val="00720057"/>
    <w:rsid w:val="00721942"/>
    <w:rsid w:val="00722BE7"/>
    <w:rsid w:val="00723134"/>
    <w:rsid w:val="00730CC7"/>
    <w:rsid w:val="00732DF2"/>
    <w:rsid w:val="007403B3"/>
    <w:rsid w:val="00750B85"/>
    <w:rsid w:val="007614F1"/>
    <w:rsid w:val="007618C5"/>
    <w:rsid w:val="00764066"/>
    <w:rsid w:val="00766B7B"/>
    <w:rsid w:val="0077600F"/>
    <w:rsid w:val="00776118"/>
    <w:rsid w:val="00781C77"/>
    <w:rsid w:val="00796745"/>
    <w:rsid w:val="007A28FF"/>
    <w:rsid w:val="007A4F78"/>
    <w:rsid w:val="007A7125"/>
    <w:rsid w:val="007B0F83"/>
    <w:rsid w:val="007C0A4F"/>
    <w:rsid w:val="007D29A1"/>
    <w:rsid w:val="007D2B4E"/>
    <w:rsid w:val="007D2EE9"/>
    <w:rsid w:val="007D469A"/>
    <w:rsid w:val="007D6F8C"/>
    <w:rsid w:val="007E094E"/>
    <w:rsid w:val="007E0EA7"/>
    <w:rsid w:val="007E26A1"/>
    <w:rsid w:val="007E37B1"/>
    <w:rsid w:val="007E3F23"/>
    <w:rsid w:val="007E53A4"/>
    <w:rsid w:val="007F142E"/>
    <w:rsid w:val="007F2BBE"/>
    <w:rsid w:val="007F66BC"/>
    <w:rsid w:val="007F7B5E"/>
    <w:rsid w:val="00800B97"/>
    <w:rsid w:val="00801246"/>
    <w:rsid w:val="00801F11"/>
    <w:rsid w:val="00802B1A"/>
    <w:rsid w:val="00805CD2"/>
    <w:rsid w:val="0080615C"/>
    <w:rsid w:val="0081027F"/>
    <w:rsid w:val="0081742D"/>
    <w:rsid w:val="00817AB1"/>
    <w:rsid w:val="00821F4D"/>
    <w:rsid w:val="00823906"/>
    <w:rsid w:val="008409D3"/>
    <w:rsid w:val="0084319F"/>
    <w:rsid w:val="00844374"/>
    <w:rsid w:val="00845559"/>
    <w:rsid w:val="0084797B"/>
    <w:rsid w:val="00854DB8"/>
    <w:rsid w:val="00854EF2"/>
    <w:rsid w:val="00855623"/>
    <w:rsid w:val="00855D99"/>
    <w:rsid w:val="0086211B"/>
    <w:rsid w:val="008622CF"/>
    <w:rsid w:val="008627C6"/>
    <w:rsid w:val="00863B86"/>
    <w:rsid w:val="008652A2"/>
    <w:rsid w:val="008706CD"/>
    <w:rsid w:val="00871F69"/>
    <w:rsid w:val="008722F9"/>
    <w:rsid w:val="008842D0"/>
    <w:rsid w:val="00884AC4"/>
    <w:rsid w:val="0088579D"/>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2AE5"/>
    <w:rsid w:val="008E3CCE"/>
    <w:rsid w:val="008E3F89"/>
    <w:rsid w:val="008F26CB"/>
    <w:rsid w:val="008F36EC"/>
    <w:rsid w:val="008F3D95"/>
    <w:rsid w:val="008F6509"/>
    <w:rsid w:val="008F79D9"/>
    <w:rsid w:val="009027C8"/>
    <w:rsid w:val="00910EEF"/>
    <w:rsid w:val="00922D1B"/>
    <w:rsid w:val="0093467A"/>
    <w:rsid w:val="009353F1"/>
    <w:rsid w:val="009376D6"/>
    <w:rsid w:val="0094155C"/>
    <w:rsid w:val="00951531"/>
    <w:rsid w:val="00953B29"/>
    <w:rsid w:val="009609CB"/>
    <w:rsid w:val="00960A3B"/>
    <w:rsid w:val="0096375C"/>
    <w:rsid w:val="00963D6F"/>
    <w:rsid w:val="00967DE0"/>
    <w:rsid w:val="00971E07"/>
    <w:rsid w:val="00971E5F"/>
    <w:rsid w:val="00971F6D"/>
    <w:rsid w:val="009802D2"/>
    <w:rsid w:val="00980944"/>
    <w:rsid w:val="00986D77"/>
    <w:rsid w:val="00993A6E"/>
    <w:rsid w:val="009943EC"/>
    <w:rsid w:val="009A1BAD"/>
    <w:rsid w:val="009A32D5"/>
    <w:rsid w:val="009A5D37"/>
    <w:rsid w:val="009A610E"/>
    <w:rsid w:val="009A6BD9"/>
    <w:rsid w:val="009B320F"/>
    <w:rsid w:val="009B6012"/>
    <w:rsid w:val="009C0EBA"/>
    <w:rsid w:val="009C102D"/>
    <w:rsid w:val="009C2A4F"/>
    <w:rsid w:val="009D10FB"/>
    <w:rsid w:val="009D1BDE"/>
    <w:rsid w:val="009D312C"/>
    <w:rsid w:val="009D4C59"/>
    <w:rsid w:val="009D7F91"/>
    <w:rsid w:val="009E20EF"/>
    <w:rsid w:val="009E26EE"/>
    <w:rsid w:val="009E6646"/>
    <w:rsid w:val="009F1C7B"/>
    <w:rsid w:val="009F21A2"/>
    <w:rsid w:val="00A00D70"/>
    <w:rsid w:val="00A00DEE"/>
    <w:rsid w:val="00A02580"/>
    <w:rsid w:val="00A0468E"/>
    <w:rsid w:val="00A27889"/>
    <w:rsid w:val="00A32FBF"/>
    <w:rsid w:val="00A407EA"/>
    <w:rsid w:val="00A51749"/>
    <w:rsid w:val="00A521B6"/>
    <w:rsid w:val="00A56962"/>
    <w:rsid w:val="00A6382F"/>
    <w:rsid w:val="00A6412C"/>
    <w:rsid w:val="00A75419"/>
    <w:rsid w:val="00A76661"/>
    <w:rsid w:val="00A76D2A"/>
    <w:rsid w:val="00A81F5B"/>
    <w:rsid w:val="00A82081"/>
    <w:rsid w:val="00A8557E"/>
    <w:rsid w:val="00A903E4"/>
    <w:rsid w:val="00A91181"/>
    <w:rsid w:val="00A935AC"/>
    <w:rsid w:val="00AA3DE0"/>
    <w:rsid w:val="00AB04BD"/>
    <w:rsid w:val="00AB299E"/>
    <w:rsid w:val="00AB395A"/>
    <w:rsid w:val="00AB507C"/>
    <w:rsid w:val="00AB606E"/>
    <w:rsid w:val="00AC096E"/>
    <w:rsid w:val="00AC4F6C"/>
    <w:rsid w:val="00AD1400"/>
    <w:rsid w:val="00AD6E76"/>
    <w:rsid w:val="00AE3EAA"/>
    <w:rsid w:val="00AE5EDF"/>
    <w:rsid w:val="00AE758A"/>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73FFA"/>
    <w:rsid w:val="00B74A6E"/>
    <w:rsid w:val="00B82CC4"/>
    <w:rsid w:val="00B838C3"/>
    <w:rsid w:val="00B86218"/>
    <w:rsid w:val="00B874F1"/>
    <w:rsid w:val="00BC1DE7"/>
    <w:rsid w:val="00BC209E"/>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D9D"/>
    <w:rsid w:val="00CF4D01"/>
    <w:rsid w:val="00CF6B77"/>
    <w:rsid w:val="00D00018"/>
    <w:rsid w:val="00D01C50"/>
    <w:rsid w:val="00D11B24"/>
    <w:rsid w:val="00D11C18"/>
    <w:rsid w:val="00D12FFF"/>
    <w:rsid w:val="00D133C8"/>
    <w:rsid w:val="00D14DB8"/>
    <w:rsid w:val="00D17339"/>
    <w:rsid w:val="00D244D5"/>
    <w:rsid w:val="00D2639E"/>
    <w:rsid w:val="00D2776A"/>
    <w:rsid w:val="00D4021B"/>
    <w:rsid w:val="00D4059E"/>
    <w:rsid w:val="00D413DB"/>
    <w:rsid w:val="00D41D4E"/>
    <w:rsid w:val="00D420E2"/>
    <w:rsid w:val="00D4459D"/>
    <w:rsid w:val="00D44B24"/>
    <w:rsid w:val="00D573F9"/>
    <w:rsid w:val="00D60532"/>
    <w:rsid w:val="00D6058B"/>
    <w:rsid w:val="00D608E5"/>
    <w:rsid w:val="00D62D9E"/>
    <w:rsid w:val="00D63EC5"/>
    <w:rsid w:val="00D64BC3"/>
    <w:rsid w:val="00D66C46"/>
    <w:rsid w:val="00D72C05"/>
    <w:rsid w:val="00D73575"/>
    <w:rsid w:val="00D735BF"/>
    <w:rsid w:val="00D737B6"/>
    <w:rsid w:val="00D77672"/>
    <w:rsid w:val="00D80222"/>
    <w:rsid w:val="00D847CF"/>
    <w:rsid w:val="00D87489"/>
    <w:rsid w:val="00DA015E"/>
    <w:rsid w:val="00DA0A99"/>
    <w:rsid w:val="00DA0A9D"/>
    <w:rsid w:val="00DA54D4"/>
    <w:rsid w:val="00DA7603"/>
    <w:rsid w:val="00DA7E39"/>
    <w:rsid w:val="00DA7EDE"/>
    <w:rsid w:val="00DB0223"/>
    <w:rsid w:val="00DB047C"/>
    <w:rsid w:val="00DC0AB5"/>
    <w:rsid w:val="00DC30DD"/>
    <w:rsid w:val="00DC3451"/>
    <w:rsid w:val="00DC50EB"/>
    <w:rsid w:val="00DC7F71"/>
    <w:rsid w:val="00DD19F4"/>
    <w:rsid w:val="00DD3FA0"/>
    <w:rsid w:val="00DE5B2D"/>
    <w:rsid w:val="00DE5C3E"/>
    <w:rsid w:val="00DE5CE9"/>
    <w:rsid w:val="00DF45BB"/>
    <w:rsid w:val="00E006DC"/>
    <w:rsid w:val="00E03064"/>
    <w:rsid w:val="00E03F9C"/>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74F6"/>
    <w:rsid w:val="00E9503C"/>
    <w:rsid w:val="00E956D9"/>
    <w:rsid w:val="00EA10DA"/>
    <w:rsid w:val="00EA1958"/>
    <w:rsid w:val="00EA29F5"/>
    <w:rsid w:val="00EA482D"/>
    <w:rsid w:val="00EA52B3"/>
    <w:rsid w:val="00EB5FE6"/>
    <w:rsid w:val="00EB61A5"/>
    <w:rsid w:val="00EB6C1B"/>
    <w:rsid w:val="00EB7A09"/>
    <w:rsid w:val="00EC0EDC"/>
    <w:rsid w:val="00EC5AF4"/>
    <w:rsid w:val="00EC7E0B"/>
    <w:rsid w:val="00ED4508"/>
    <w:rsid w:val="00ED661C"/>
    <w:rsid w:val="00EE1D6C"/>
    <w:rsid w:val="00EE41B5"/>
    <w:rsid w:val="00EE66C9"/>
    <w:rsid w:val="00EF10DB"/>
    <w:rsid w:val="00EF11A9"/>
    <w:rsid w:val="00EF38E1"/>
    <w:rsid w:val="00EF749A"/>
    <w:rsid w:val="00EF771E"/>
    <w:rsid w:val="00F012E0"/>
    <w:rsid w:val="00F02565"/>
    <w:rsid w:val="00F026EC"/>
    <w:rsid w:val="00F05542"/>
    <w:rsid w:val="00F06855"/>
    <w:rsid w:val="00F13A96"/>
    <w:rsid w:val="00F16D0F"/>
    <w:rsid w:val="00F17A2C"/>
    <w:rsid w:val="00F17E86"/>
    <w:rsid w:val="00F21A70"/>
    <w:rsid w:val="00F26708"/>
    <w:rsid w:val="00F30FF2"/>
    <w:rsid w:val="00F32CEC"/>
    <w:rsid w:val="00F37F29"/>
    <w:rsid w:val="00F42243"/>
    <w:rsid w:val="00F45608"/>
    <w:rsid w:val="00F511EE"/>
    <w:rsid w:val="00F55574"/>
    <w:rsid w:val="00F558E7"/>
    <w:rsid w:val="00F60363"/>
    <w:rsid w:val="00F62016"/>
    <w:rsid w:val="00F63F44"/>
    <w:rsid w:val="00F6401B"/>
    <w:rsid w:val="00F6746D"/>
    <w:rsid w:val="00F675D5"/>
    <w:rsid w:val="00F753D1"/>
    <w:rsid w:val="00F7766D"/>
    <w:rsid w:val="00F811CD"/>
    <w:rsid w:val="00F82D8F"/>
    <w:rsid w:val="00F83F62"/>
    <w:rsid w:val="00F907EB"/>
    <w:rsid w:val="00F9711D"/>
    <w:rsid w:val="00FA011F"/>
    <w:rsid w:val="00FA1DCF"/>
    <w:rsid w:val="00FA3E3A"/>
    <w:rsid w:val="00FA7544"/>
    <w:rsid w:val="00FA75E0"/>
    <w:rsid w:val="00FA7771"/>
    <w:rsid w:val="00FB0DC9"/>
    <w:rsid w:val="00FB20B1"/>
    <w:rsid w:val="00FB3AB4"/>
    <w:rsid w:val="00FB6188"/>
    <w:rsid w:val="00FC35EC"/>
    <w:rsid w:val="00FC56A4"/>
    <w:rsid w:val="00FD029A"/>
    <w:rsid w:val="00FD3D06"/>
    <w:rsid w:val="00FD5662"/>
    <w:rsid w:val="00FD642E"/>
    <w:rsid w:val="00FD72B6"/>
    <w:rsid w:val="00FE00AD"/>
    <w:rsid w:val="00FE206E"/>
    <w:rsid w:val="00FE421F"/>
    <w:rsid w:val="00FE499F"/>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locked/>
    <w:rsid w:val="00971F6D"/>
    <w:rPr>
      <w:rFonts w:ascii="Courier New" w:eastAsia="Times New Roman" w:hAnsi="Courier New" w:cs="Courier New"/>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locked/>
    <w:rsid w:val="00971F6D"/>
    <w:rPr>
      <w:rFonts w:ascii="Courier New" w:eastAsia="Times New Roman" w:hAnsi="Courier New" w:cs="Courier New"/>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1929&amp;digitoTst=04&amp;anoTst=2011&amp;orgaoTst=5&amp;tribunalTst=03&amp;varaTst=002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plicacao4.tst.jus.br/consultaProcessual/consultaTstNumUnica.do?consulta=Consultar&amp;conscsjt=&amp;numeroTst=261800&amp;digitoTst=79&amp;anoTst=1999&amp;orgaoTst=5&amp;tribunalTst=02&amp;varaTst=0008"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115300&amp;digitoTst=41&amp;anoTst=2009&amp;orgaoTst=5&amp;tribunalTst=12&amp;varaTst=003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CA9D-6F9D-435A-800A-C7616A54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1936</Words>
  <Characters>10459</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12371</CharactersWithSpaces>
  <SharedDoc>false</SharedDoc>
  <HLinks>
    <vt:vector size="18" baseType="variant">
      <vt:variant>
        <vt:i4>2556021</vt:i4>
      </vt:variant>
      <vt:variant>
        <vt:i4>6</vt:i4>
      </vt:variant>
      <vt:variant>
        <vt:i4>0</vt:i4>
      </vt:variant>
      <vt:variant>
        <vt:i4>5</vt:i4>
      </vt:variant>
      <vt:variant>
        <vt:lpwstr>http://aplicacao4.tst.jus.br/consultaProcessual/consultaTstNumUnica.do?consulta=Consultar&amp;conscsjt=&amp;numeroTst=1929&amp;digitoTst=04&amp;anoTst=2011&amp;orgaoTst=5&amp;tribunalTst=03&amp;varaTst=0025</vt:lpwstr>
      </vt:variant>
      <vt:variant>
        <vt:lpwstr/>
      </vt:variant>
      <vt:variant>
        <vt:i4>1572938</vt:i4>
      </vt:variant>
      <vt:variant>
        <vt:i4>3</vt:i4>
      </vt:variant>
      <vt:variant>
        <vt:i4>0</vt:i4>
      </vt:variant>
      <vt:variant>
        <vt:i4>5</vt:i4>
      </vt:variant>
      <vt:variant>
        <vt:lpwstr>http://aplicacao4.tst.jus.br/consultaProcessual/consultaTstNumUnica.do?consulta=Consultar&amp;conscsjt=&amp;numeroTst=261800&amp;digitoTst=79&amp;anoTst=1999&amp;orgaoTst=5&amp;tribunalTst=02&amp;varaTst=0008</vt:lpwstr>
      </vt:variant>
      <vt:variant>
        <vt:lpwstr/>
      </vt:variant>
      <vt:variant>
        <vt:i4>1441871</vt:i4>
      </vt:variant>
      <vt:variant>
        <vt:i4>0</vt:i4>
      </vt:variant>
      <vt:variant>
        <vt:i4>0</vt:i4>
      </vt:variant>
      <vt:variant>
        <vt:i4>5</vt:i4>
      </vt:variant>
      <vt:variant>
        <vt:lpwstr>http://aplicacao4.tst.jus.br/consultaProcessual/consultaTstNumUnica.do?consulta=Consultar&amp;conscsjt=&amp;numeroTst=115300&amp;digitoTst=41&amp;anoTst=2009&amp;orgaoTst=5&amp;tribunalTst=12&amp;varaTst=0032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c041658</cp:lastModifiedBy>
  <cp:revision>2</cp:revision>
  <cp:lastPrinted>2017-03-06T19:28:00Z</cp:lastPrinted>
  <dcterms:created xsi:type="dcterms:W3CDTF">2017-09-25T22:15:00Z</dcterms:created>
  <dcterms:modified xsi:type="dcterms:W3CDTF">2017-09-25T22:15:00Z</dcterms:modified>
</cp:coreProperties>
</file>