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CE7555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bookmarkStart w:id="0" w:name="_GoBack"/>
            <w:bookmarkEnd w:id="0"/>
            <w:r w:rsidRPr="00CE7555">
              <w:t>Este Informativo, elaborado a partir de notas tomadas nas sessões de julgamentos, contém resumos não</w:t>
            </w:r>
            <w:r w:rsidR="00DC50EB" w:rsidRPr="00CE7555">
              <w:t xml:space="preserve"> </w:t>
            </w:r>
            <w:r w:rsidRPr="00CE7555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CE7555">
              <w:t xml:space="preserve"> Eletrônico </w:t>
            </w:r>
            <w:r w:rsidRPr="00CE7555">
              <w:t>da Justiça</w:t>
            </w:r>
            <w:r w:rsidR="00980944" w:rsidRPr="00CE7555">
              <w:t xml:space="preserve"> do Trabalho</w:t>
            </w:r>
            <w:r w:rsidRPr="00CE7555">
              <w:t>.</w:t>
            </w:r>
          </w:p>
          <w:p w:rsidR="00B55AB4" w:rsidRPr="00E531C9" w:rsidRDefault="00B55AB4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9D10FB" w:rsidRPr="007165D4" w:rsidRDefault="009D10FB" w:rsidP="009D10FB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65D4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SEÇÃO </w:t>
      </w:r>
      <w:r w:rsidR="00F13A96" w:rsidRPr="007165D4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ESPECIALIZADA EM DISSÍDIOS COLETIVOS</w:t>
      </w:r>
    </w:p>
    <w:p w:rsidR="00063834" w:rsidRPr="00063834" w:rsidRDefault="00063834" w:rsidP="009D10FB">
      <w:pPr>
        <w:pStyle w:val="Identificao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val="pt-BR" w:eastAsia="en-US"/>
        </w:rPr>
      </w:pPr>
    </w:p>
    <w:p w:rsidR="00F13A96" w:rsidRPr="00F13A96" w:rsidRDefault="00F13A96" w:rsidP="00F13A96">
      <w:pPr>
        <w:jc w:val="both"/>
        <w:rPr>
          <w:b/>
          <w:i/>
          <w:sz w:val="24"/>
          <w:szCs w:val="24"/>
        </w:rPr>
      </w:pPr>
      <w:r w:rsidRPr="00F13A96">
        <w:rPr>
          <w:b/>
          <w:i/>
          <w:sz w:val="24"/>
          <w:szCs w:val="24"/>
        </w:rPr>
        <w:t>Dissídio coletivo de natureza econômica. Reajuste salarial. Concessão por sentença normativa. Caso em que a empresa estatal está vinculada a ente público que excedeu o limite com o gasto de pessoal estabelecido na Lei de Responsabilidade Fiscal. Impossibilidade.</w:t>
      </w:r>
    </w:p>
    <w:p w:rsidR="00F13A96" w:rsidRPr="00F13A96" w:rsidRDefault="00F13A96" w:rsidP="00F13A96">
      <w:pPr>
        <w:jc w:val="both"/>
        <w:rPr>
          <w:bCs/>
          <w:sz w:val="24"/>
          <w:szCs w:val="24"/>
          <w:u w:val="single"/>
        </w:rPr>
      </w:pPr>
      <w:r w:rsidRPr="00F13A96">
        <w:rPr>
          <w:sz w:val="24"/>
          <w:szCs w:val="24"/>
        </w:rPr>
        <w:t xml:space="preserve">Não é possível a concessão de reajuste pela via do exercício do poder normativo da Justiça do Trabalho quando o ente público ao qual está vinculada a empresa estatal encontra-se no limite de gasto com pessoal estabelecido pela Lei de Responsabilidade Fiscal (Lei Complementar nº 101/2000). Embora o art. 22, parágrafo único, I, da LRF, nessa circunstância, admita os aumentos ou reajustes decorrentes de sentença judicial, enquadram-se nesse conceito somente as sentenças condenatórias e mandamentais, pois provenientes da função típica do Poder Judiciário. As sentenças normativas não representam, rigorosamente, exercício de poder jurisdicional, razão pela qual não constituem exceção à aplicação dos limites impostos pela Lei de Responsabilidade Fiscal. Sob esses fundamentos, a SDC, por maioria, negou provimento ao recurso ordinário do sindicato profissional. Vencidos os Ministros Mauricio Godinho Delgado, relator, e Kátia Magalhães Arruda, que davam provimento ao recurso para conceder o reajuste de 7,5% à categoria. </w:t>
      </w:r>
      <w:hyperlink r:id="rId9" w:history="1">
        <w:r w:rsidRPr="00F13A96">
          <w:rPr>
            <w:rStyle w:val="Hyperlink"/>
            <w:bCs/>
            <w:sz w:val="24"/>
            <w:szCs w:val="24"/>
          </w:rPr>
          <w:t>TST-RO-296-96.2015.5.10.0000</w:t>
        </w:r>
      </w:hyperlink>
      <w:r w:rsidRPr="00F13A96">
        <w:rPr>
          <w:bCs/>
          <w:sz w:val="24"/>
          <w:szCs w:val="24"/>
          <w:u w:val="single"/>
        </w:rPr>
        <w:t>, SDC, rel. Min. Mauricio Godinho Delgado, red. p/ acórdão Min. Emmanoel Pereira, 13.3.2017</w:t>
      </w:r>
    </w:p>
    <w:p w:rsidR="00F13A96" w:rsidRPr="00F13A96" w:rsidRDefault="00F13A96" w:rsidP="00F13A96">
      <w:pPr>
        <w:jc w:val="both"/>
        <w:rPr>
          <w:bCs/>
          <w:u w:val="single"/>
        </w:rPr>
      </w:pPr>
    </w:p>
    <w:p w:rsidR="00F13A96" w:rsidRPr="00F13A96" w:rsidRDefault="00F13A96" w:rsidP="00F13A96">
      <w:pPr>
        <w:jc w:val="both"/>
        <w:rPr>
          <w:b/>
          <w:i/>
          <w:sz w:val="24"/>
          <w:szCs w:val="24"/>
        </w:rPr>
      </w:pPr>
      <w:r w:rsidRPr="00F13A96">
        <w:rPr>
          <w:b/>
          <w:i/>
          <w:sz w:val="24"/>
          <w:szCs w:val="24"/>
        </w:rPr>
        <w:t>Ação anulatória. Convenção coletiva de trabalho. Atividade de segurança privada. Restrição da base de cálculo da reserva legal de vagas para portadores de deficiência. Art. 93 da lei nº 8.213/91. Possibilidade. Validade da cláusula.</w:t>
      </w:r>
    </w:p>
    <w:p w:rsidR="00F13A96" w:rsidRPr="00F13A96" w:rsidRDefault="00F13A96" w:rsidP="00F13A96">
      <w:pPr>
        <w:jc w:val="both"/>
        <w:rPr>
          <w:sz w:val="24"/>
          <w:szCs w:val="24"/>
        </w:rPr>
      </w:pPr>
      <w:r w:rsidRPr="00F13A96">
        <w:rPr>
          <w:sz w:val="24"/>
          <w:szCs w:val="24"/>
        </w:rPr>
        <w:t xml:space="preserve">É válida cláusula de convenção coletiva, firmada entre o Sindicato dos Trabalhadores do Estado de Tocantins – Sintvisto e o Sindicato das Empresas de Segurança Privada, de Transporte de Valores, de Cursos de Formação e de Segurança Eletrônica do Estado de Tocantins – Sindestp/TO, que restringe a base de cálculo da reserva legal de vagas para pessoas com deficiência (art. 93 da Lei nº 8.213/91) aos cargos de natureza administrativa. As atividades de segurança privada exigem a utilização de armas de fogo e elevado grau de aptidão física e mental, de modo que o desempenho desta função por pessoa com deficiência pode resultar em riscos à sua própria integridade física. Sob esse entendimento, a SDC, por unanimidade, conheceu do recurso ordinário em ação anulatória e, no mérito, por maioria, negou-lhe provimento para manter a integralidade da Cláusula 16ª – Contratação de portador de deficiência física habilitado ou reabilitado. Vencidos os Ministros Mauricio Godinho Delgado e Kátia Magalhães Arruda. </w:t>
      </w:r>
      <w:hyperlink r:id="rId10" w:history="1">
        <w:r w:rsidRPr="00F13A96">
          <w:rPr>
            <w:rStyle w:val="Hyperlink"/>
            <w:sz w:val="24"/>
            <w:szCs w:val="24"/>
          </w:rPr>
          <w:t>TST-RO-76-64.2016.5.10.0000</w:t>
        </w:r>
      </w:hyperlink>
      <w:r w:rsidRPr="00F13A96">
        <w:rPr>
          <w:sz w:val="24"/>
          <w:szCs w:val="24"/>
          <w:u w:val="single"/>
        </w:rPr>
        <w:t>, SDC, rel. Min. Maria Cristina Irigoyen Peduzzi, 13.3.17</w:t>
      </w:r>
    </w:p>
    <w:p w:rsidR="009D10FB" w:rsidRPr="00F13A96" w:rsidRDefault="009D10FB" w:rsidP="009D10FB">
      <w:pPr>
        <w:jc w:val="both"/>
        <w:rPr>
          <w:u w:val="single"/>
        </w:rPr>
      </w:pPr>
    </w:p>
    <w:p w:rsidR="00063834" w:rsidRPr="007165D4" w:rsidRDefault="00063834" w:rsidP="00063834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65D4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SUBSEÇÃO I ESPECIALIZADA EM DISSÍDIOS INDIVIDUAIS</w:t>
      </w:r>
    </w:p>
    <w:p w:rsidR="00052550" w:rsidRDefault="00052550" w:rsidP="009D10FB">
      <w:pPr>
        <w:jc w:val="both"/>
        <w:rPr>
          <w:u w:val="single"/>
        </w:rPr>
      </w:pPr>
    </w:p>
    <w:p w:rsidR="00F13A96" w:rsidRPr="00F13A96" w:rsidRDefault="00F13A96" w:rsidP="00F13A96">
      <w:pPr>
        <w:contextualSpacing/>
        <w:jc w:val="both"/>
        <w:rPr>
          <w:b/>
          <w:i/>
          <w:sz w:val="24"/>
          <w:szCs w:val="24"/>
        </w:rPr>
      </w:pPr>
      <w:r w:rsidRPr="00F13A96">
        <w:rPr>
          <w:b/>
          <w:i/>
          <w:sz w:val="24"/>
          <w:szCs w:val="24"/>
        </w:rPr>
        <w:t xml:space="preserve">Dispensa discriminatória. Presunção. Empregado portador de tuberculose. Súmula n° 443 do TST. </w:t>
      </w:r>
    </w:p>
    <w:p w:rsidR="00F13A96" w:rsidRDefault="00F13A96" w:rsidP="00F13A96">
      <w:pPr>
        <w:contextualSpacing/>
        <w:jc w:val="both"/>
        <w:rPr>
          <w:rFonts w:eastAsia="Calibri"/>
          <w:sz w:val="24"/>
          <w:szCs w:val="24"/>
          <w:u w:val="single"/>
        </w:rPr>
      </w:pPr>
      <w:r w:rsidRPr="00F13A96">
        <w:rPr>
          <w:rFonts w:eastAsia="Calibri"/>
          <w:sz w:val="24"/>
          <w:szCs w:val="24"/>
        </w:rPr>
        <w:t xml:space="preserve">A SBDI-I, por maioria, conheceu dos embargos, por contrariedade à Súmula nº 443 do TST e, no mérito, por unanimidade, deu-lhes provimento para reconhecer o caráter discriminatório da dispensa sem justa causa de empregada portadora de tuberculose. Na hipótese, a Subseção reformou </w:t>
      </w:r>
      <w:r w:rsidRPr="00F13A96">
        <w:rPr>
          <w:rFonts w:eastAsia="Calibri"/>
          <w:sz w:val="24"/>
          <w:szCs w:val="24"/>
        </w:rPr>
        <w:lastRenderedPageBreak/>
        <w:t xml:space="preserve">decisão turmária que não conhecera do recurso de revista sob o fundamento de que a presunção prevista na Súmula nº 443 do TST não se aplica ao caso em que o vínculo foi mantido por mais de seis anos após a empresa ter ciência da doença, não houve afastamento do trabalho para tratamento de saúde, nem a percepção de benefício previdenciário, não havia incapacidade de ordem psiquiátrica ao tempo da dispensa e muito menos nexo causal com as condições laborais. Prevaleceu o entendimento de que, sendo incontroverso que a reclamada sabia que a reclamante era portadora de tuberculose, não há base legal para se exigir, como requisitos para a comprovação da dispensa discriminatória, a imediatidade da despedida, a redução da capacidade laboral, o afastamento para tratamento de saúde, a concessão de auxílio-doença ou o nexo causal entre a enfermidade e o trabalho realizado. Ademais, a fundamentação da Corte regional, endossada pela Turma do TST, adotou posicionamento diametralmente oposto aos termos da Súmula nº 443 do TST, pois reputou à reclamante o ônus de comprovar a discriminação alegada. Vencidos os Ministros João Oreste Dalazen, Ives Gandra Martins Filho, Aloysio Corrêa da Veiga, Márcio Eurico Vitral Amaro e Cláudio Mascarenhas Brandão.  </w:t>
      </w:r>
      <w:hyperlink r:id="rId11" w:history="1">
        <w:r w:rsidRPr="00F13A96">
          <w:rPr>
            <w:rStyle w:val="Hyperlink"/>
            <w:rFonts w:eastAsia="Calibri"/>
            <w:sz w:val="24"/>
            <w:szCs w:val="24"/>
          </w:rPr>
          <w:t>TST-E-ED-RR-65800-46.2009.5.02.0044</w:t>
        </w:r>
      </w:hyperlink>
      <w:r w:rsidRPr="00F13A96">
        <w:rPr>
          <w:rFonts w:eastAsia="Calibri"/>
          <w:sz w:val="24"/>
          <w:szCs w:val="24"/>
          <w:u w:val="single"/>
        </w:rPr>
        <w:t>, SBDI-I, rel. Min. Walmir Oliveira da Costa, 9.3.2017</w:t>
      </w:r>
    </w:p>
    <w:p w:rsidR="00F13A96" w:rsidRPr="00F13A96" w:rsidRDefault="00F13A96" w:rsidP="00F13A96">
      <w:pPr>
        <w:contextualSpacing/>
        <w:jc w:val="both"/>
        <w:rPr>
          <w:b/>
          <w:bCs/>
        </w:rPr>
      </w:pPr>
    </w:p>
    <w:p w:rsidR="00F13A96" w:rsidRPr="00F13A96" w:rsidRDefault="00F13A96" w:rsidP="00F13A96">
      <w:pPr>
        <w:jc w:val="both"/>
        <w:rPr>
          <w:b/>
          <w:i/>
          <w:sz w:val="24"/>
          <w:szCs w:val="24"/>
        </w:rPr>
      </w:pPr>
      <w:r w:rsidRPr="00F13A96">
        <w:rPr>
          <w:b/>
          <w:i/>
          <w:sz w:val="24"/>
          <w:szCs w:val="24"/>
        </w:rPr>
        <w:t>Radialista. Acúmulo de funções dentro do mesmo setor. Direito a um adicional para cada função exercida. Inteligência do art. 13 da Lei nº 6.615/78. Princípio da isonomia e da proteção ao trabalhador.</w:t>
      </w:r>
    </w:p>
    <w:p w:rsidR="00F13A96" w:rsidRPr="00F13A96" w:rsidRDefault="00F13A96" w:rsidP="00F13A96">
      <w:pPr>
        <w:jc w:val="both"/>
        <w:rPr>
          <w:sz w:val="24"/>
          <w:szCs w:val="24"/>
          <w:u w:val="single"/>
        </w:rPr>
      </w:pPr>
      <w:r w:rsidRPr="00F13A96">
        <w:rPr>
          <w:sz w:val="24"/>
          <w:szCs w:val="24"/>
        </w:rPr>
        <w:t xml:space="preserve">O empregado radialista que exerce diferentes funções dentro de um mesmo setor tem direito a um adicional por cada função acumulada. O pagamento de somente um adicional importaria em flagrante ofensa ao princípio da isonomia, pois o trabalhador que acumulasse mais de duas funções e, consequentemente, trabalhasse mais, receberia a mesma quantia daquele que acumulasse apenas duas funções. Ademais, o art. 13 da Lei nº 6.615/78, ao prever o pagamento de adicional mínimo pela função acumulada, deve ser interpretado no sentido de que seu objetivo foi garantir ao radialista remuneração proporcional ao aumento da responsabilidade e do trabalho decorrente do acúmulo de funções, em respeito ao princípio da proteção ao trabalhador. Sob esses fundamentos, a SBDI-I, por unanimidade, conheceu dos embargos quanto ao tema, por divergência jurisprudencial e, no mérito, por maioria, negou-lhes provimento. Vencidos os Ministros João Oreste Dalazen e Márcio Eurico Vitral Amaro. </w:t>
      </w:r>
      <w:hyperlink r:id="rId12" w:history="1">
        <w:r w:rsidRPr="00F13A96">
          <w:rPr>
            <w:rStyle w:val="Hyperlink"/>
            <w:sz w:val="24"/>
            <w:szCs w:val="24"/>
          </w:rPr>
          <w:t>TST-E-ED-RR-298</w:t>
        </w:r>
        <w:r w:rsidRPr="00F13A96">
          <w:rPr>
            <w:rStyle w:val="Hyperlink"/>
            <w:sz w:val="24"/>
            <w:szCs w:val="24"/>
          </w:rPr>
          <w:t>3</w:t>
        </w:r>
        <w:r w:rsidRPr="00F13A96">
          <w:rPr>
            <w:rStyle w:val="Hyperlink"/>
            <w:sz w:val="24"/>
            <w:szCs w:val="24"/>
          </w:rPr>
          <w:t>500-63.1998.5.09.0012</w:t>
        </w:r>
      </w:hyperlink>
      <w:r w:rsidRPr="00F13A96">
        <w:rPr>
          <w:sz w:val="24"/>
          <w:szCs w:val="24"/>
          <w:u w:val="single"/>
        </w:rPr>
        <w:t>, SBDI-I, rel. Min. José Roberto Freire Pimenta, 9.3.2017</w:t>
      </w:r>
    </w:p>
    <w:p w:rsidR="00F13A96" w:rsidRPr="00F13A96" w:rsidRDefault="00F13A96" w:rsidP="00F13A96">
      <w:pPr>
        <w:jc w:val="both"/>
        <w:rPr>
          <w:rFonts w:eastAsia="Calibri"/>
          <w:b/>
          <w:i/>
        </w:rPr>
      </w:pPr>
    </w:p>
    <w:p w:rsidR="00F13A96" w:rsidRPr="00F13A96" w:rsidRDefault="00F13A96" w:rsidP="00F13A96">
      <w:pPr>
        <w:jc w:val="both"/>
        <w:rPr>
          <w:rFonts w:eastAsia="Calibri"/>
          <w:b/>
          <w:i/>
          <w:sz w:val="24"/>
          <w:szCs w:val="24"/>
        </w:rPr>
      </w:pPr>
      <w:r w:rsidRPr="00F13A96">
        <w:rPr>
          <w:rFonts w:eastAsia="Calibri"/>
          <w:b/>
          <w:i/>
          <w:sz w:val="24"/>
          <w:szCs w:val="24"/>
        </w:rPr>
        <w:t>Caixa bancário. Intervalo do digitador. Art. 72 da CLT. Previsão em regulamento interno e em termo de ajustamento de conduta. Devido.</w:t>
      </w:r>
    </w:p>
    <w:p w:rsidR="00F13A96" w:rsidRPr="00155459" w:rsidRDefault="00F13A96" w:rsidP="00F13A96">
      <w:pPr>
        <w:jc w:val="both"/>
        <w:rPr>
          <w:rFonts w:eastAsia="Calibri"/>
          <w:sz w:val="24"/>
          <w:szCs w:val="24"/>
        </w:rPr>
      </w:pPr>
      <w:r w:rsidRPr="00F13A96">
        <w:rPr>
          <w:rFonts w:eastAsia="Calibri"/>
          <w:sz w:val="24"/>
          <w:szCs w:val="24"/>
        </w:rPr>
        <w:t>O caixa bancário tem direito ao intervalo do digitador a que se refere o art. 72 da CLT na hipótese em que há norma regulamentar e termo de ajustamento de conduta firmado com o Ministério Público do Trabalho garantindo o intervalo de 10 minutos a cada 50 minutos trabalhados, sem fixar o requisito da exclusividade no exercício da atividade de digitação. Sob esse entendimento, a SBDI-I, por unanimidade, conheceu dos embargos, por divergência jurisprudencial, e, no mérito, deu-lhes provimento para, reformando o acórdão recorrido, restabelecer o acórdão do Regional na parte em que condenou a reclamada ao pagamento de horas extras decorrentes da não concessão do intervalo de 10 minutos a cada 50 minutos trabalhados.</w:t>
      </w:r>
      <w:hyperlink r:id="rId13" w:history="1">
        <w:r w:rsidRPr="00F13A96">
          <w:rPr>
            <w:rStyle w:val="Hyperlink"/>
            <w:rFonts w:eastAsia="Calibri"/>
            <w:sz w:val="24"/>
            <w:szCs w:val="24"/>
          </w:rPr>
          <w:t xml:space="preserve"> TST-E-ED-RR-1268-95.2011.5.04.0025</w:t>
        </w:r>
      </w:hyperlink>
      <w:r w:rsidRPr="00F13A96">
        <w:rPr>
          <w:rFonts w:eastAsia="Calibri"/>
          <w:sz w:val="24"/>
          <w:szCs w:val="24"/>
          <w:u w:val="single"/>
        </w:rPr>
        <w:t>, SBDI-I, rel. Min. Augusto César Leite de Carvalho, 9.3.2017</w:t>
      </w:r>
      <w:r w:rsidRPr="00F13A96">
        <w:rPr>
          <w:rFonts w:eastAsia="Calibri"/>
          <w:sz w:val="24"/>
          <w:szCs w:val="24"/>
        </w:rPr>
        <w:t xml:space="preserve"> </w:t>
      </w:r>
      <w:r w:rsidRPr="00155459">
        <w:rPr>
          <w:rFonts w:eastAsia="Calibri"/>
          <w:szCs w:val="24"/>
        </w:rPr>
        <w:t xml:space="preserve">(*Ver Informativo TST nº </w:t>
      </w:r>
      <w:hyperlink r:id="rId14" w:history="1">
        <w:r w:rsidRPr="00F13A96">
          <w:rPr>
            <w:rStyle w:val="Hyperlink"/>
            <w:rFonts w:eastAsia="Calibri"/>
            <w:szCs w:val="24"/>
          </w:rPr>
          <w:t>152</w:t>
        </w:r>
      </w:hyperlink>
      <w:r w:rsidRPr="00155459">
        <w:rPr>
          <w:rFonts w:eastAsia="Calibri"/>
          <w:szCs w:val="24"/>
        </w:rPr>
        <w:t>)</w:t>
      </w:r>
    </w:p>
    <w:p w:rsidR="00F13A96" w:rsidRDefault="00F13A96" w:rsidP="009D10FB">
      <w:pPr>
        <w:jc w:val="both"/>
        <w:rPr>
          <w:u w:val="single"/>
        </w:rPr>
      </w:pPr>
    </w:p>
    <w:p w:rsidR="0027684A" w:rsidRDefault="0027684A" w:rsidP="0027684A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lang w:val="pt-BR" w:eastAsia="en-US"/>
        </w:rPr>
      </w:pPr>
    </w:p>
    <w:p w:rsidR="0040506F" w:rsidRDefault="0040506F" w:rsidP="006D0B48">
      <w:pPr>
        <w:jc w:val="both"/>
        <w:rPr>
          <w:sz w:val="24"/>
          <w:szCs w:val="24"/>
        </w:rPr>
      </w:pPr>
    </w:p>
    <w:p w:rsidR="006D0B48" w:rsidRDefault="006D0B48" w:rsidP="00C6738C">
      <w:pPr>
        <w:rPr>
          <w:sz w:val="10"/>
          <w:szCs w:val="10"/>
        </w:rPr>
      </w:pPr>
    </w:p>
    <w:p w:rsidR="006D0B48" w:rsidRPr="001D6AC9" w:rsidRDefault="006D0B48" w:rsidP="00C6738C">
      <w:pPr>
        <w:rPr>
          <w:sz w:val="10"/>
          <w:szCs w:val="10"/>
        </w:rPr>
      </w:pP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184590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Informações/Sugestões/Críticas: (61)3043</w:t>
      </w:r>
      <w:r w:rsidR="00352B27" w:rsidRPr="00CE7555">
        <w:rPr>
          <w:snapToGrid w:val="0"/>
          <w:sz w:val="25"/>
          <w:szCs w:val="25"/>
        </w:rPr>
        <w:t>-</w:t>
      </w:r>
      <w:r w:rsidRPr="00CE7555">
        <w:rPr>
          <w:snapToGrid w:val="0"/>
          <w:sz w:val="25"/>
          <w:szCs w:val="25"/>
        </w:rPr>
        <w:t>4</w:t>
      </w:r>
      <w:r w:rsidR="00D72C05" w:rsidRPr="00CE7555">
        <w:rPr>
          <w:snapToGrid w:val="0"/>
          <w:sz w:val="25"/>
          <w:szCs w:val="25"/>
        </w:rPr>
        <w:t>417</w:t>
      </w:r>
    </w:p>
    <w:p w:rsidR="007614F1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cjur@tst.jus.br</w:t>
      </w:r>
    </w:p>
    <w:sectPr w:rsidR="007614F1" w:rsidRPr="00CE7555" w:rsidSect="00D11B2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0F" w:rsidRDefault="00F16D0F">
      <w:r>
        <w:separator/>
      </w:r>
    </w:p>
  </w:endnote>
  <w:endnote w:type="continuationSeparator" w:id="0">
    <w:p w:rsidR="00F16D0F" w:rsidRDefault="00F1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65D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7684A" w:rsidRDefault="007165D4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CW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" o:allowincell="f" strokecolor="#969696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7165D4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1905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" o:allowincell="f" strokecolor="#969696"/>
          </w:pict>
        </mc:Fallback>
      </mc:AlternateContent>
    </w:r>
    <w:r w:rsidR="0027684A">
      <w:rPr>
        <w:rStyle w:val="Nmerodepgina"/>
      </w:rPr>
      <w:fldChar w:fldCharType="begin"/>
    </w:r>
    <w:r w:rsidR="0027684A">
      <w:rPr>
        <w:rStyle w:val="Nmerodepgina"/>
      </w:rPr>
      <w:instrText xml:space="preserve"> PAGE </w:instrText>
    </w:r>
    <w:r w:rsidR="0027684A">
      <w:rPr>
        <w:rStyle w:val="Nmerodepgina"/>
      </w:rPr>
      <w:fldChar w:fldCharType="separate"/>
    </w:r>
    <w:r>
      <w:rPr>
        <w:rStyle w:val="Nmerodepgina"/>
        <w:noProof/>
      </w:rPr>
      <w:t>1</w:t>
    </w:r>
    <w:r w:rsidR="0027684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0F" w:rsidRDefault="00F16D0F">
      <w:r>
        <w:separator/>
      </w:r>
    </w:p>
  </w:footnote>
  <w:footnote w:type="continuationSeparator" w:id="0">
    <w:p w:rsidR="00F16D0F" w:rsidRDefault="00F1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Pr="007165D4" w:rsidRDefault="0027684A">
    <w:pPr>
      <w:pStyle w:val="Corpodetexto"/>
      <w:jc w:val="righ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65D4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Informativo TST - nº 15</w:t>
    </w:r>
    <w:r w:rsidR="009609CB" w:rsidRPr="007165D4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</w:p>
  <w:p w:rsidR="0027684A" w:rsidRPr="005D1DE4" w:rsidRDefault="007165D4" w:rsidP="00CE7555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128905</wp:posOffset>
              </wp:positionV>
              <wp:extent cx="630936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15pt" to="497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" o:allowincell="f" strokecolor="#969696"/>
          </w:pict>
        </mc:Fallback>
      </mc:AlternateContent>
    </w:r>
    <w:r w:rsidR="0027684A" w:rsidRPr="003C0554">
      <w:rPr>
        <w:iCs/>
      </w:rPr>
      <w:t xml:space="preserve"> </w:t>
    </w:r>
    <w:r w:rsidR="0027684A">
      <w:rPr>
        <w:i/>
        <w:iCs/>
      </w:rPr>
      <w:t xml:space="preserve">Período: </w:t>
    </w:r>
    <w:r w:rsidR="009609CB">
      <w:rPr>
        <w:i/>
        <w:iCs/>
      </w:rPr>
      <w:t>7</w:t>
    </w:r>
    <w:r w:rsidR="00063834">
      <w:rPr>
        <w:i/>
        <w:iCs/>
      </w:rPr>
      <w:t xml:space="preserve"> a </w:t>
    </w:r>
    <w:r w:rsidR="009609CB">
      <w:rPr>
        <w:i/>
        <w:iCs/>
      </w:rPr>
      <w:t>13</w:t>
    </w:r>
    <w:r w:rsidR="00063834">
      <w:rPr>
        <w:i/>
        <w:iCs/>
      </w:rPr>
      <w:t xml:space="preserve"> de março de</w:t>
    </w:r>
    <w:r w:rsidR="0027684A">
      <w:rPr>
        <w:i/>
        <w:iCs/>
      </w:rPr>
      <w:t xml:space="preserve">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 w:rsidR="007165D4">
      <w:rPr>
        <w:noProof/>
      </w:rPr>
      <w:drawing>
        <wp:inline distT="0" distB="0" distL="0" distR="0">
          <wp:extent cx="1219200" cy="981075"/>
          <wp:effectExtent l="0" t="0" r="0" b="9525"/>
          <wp:docPr id="1" name="Imagem 1" descr="T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84A" w:rsidRPr="002168DE" w:rsidRDefault="0027684A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 w:rsidR="00063834">
      <w:rPr>
        <w:b/>
        <w:sz w:val="40"/>
        <w:szCs w:val="40"/>
      </w:rPr>
      <w:t>15</w:t>
    </w:r>
    <w:r w:rsidR="003B6246">
      <w:rPr>
        <w:b/>
        <w:sz w:val="40"/>
        <w:szCs w:val="40"/>
      </w:rPr>
      <w:t>4</w:t>
    </w:r>
  </w:p>
  <w:p w:rsidR="0027684A" w:rsidRPr="005D1DE4" w:rsidRDefault="0027684A">
    <w:pPr>
      <w:pStyle w:val="Cabealho"/>
      <w:jc w:val="right"/>
      <w:rPr>
        <w:i/>
        <w:iCs/>
        <w:sz w:val="10"/>
        <w:szCs w:val="10"/>
      </w:rPr>
    </w:pPr>
  </w:p>
  <w:p w:rsidR="0027684A" w:rsidRPr="005D1DE4" w:rsidRDefault="0027684A">
    <w:pPr>
      <w:pStyle w:val="Cabealho"/>
      <w:jc w:val="right"/>
    </w:pPr>
    <w:r>
      <w:rPr>
        <w:i/>
        <w:iCs/>
      </w:rPr>
      <w:t xml:space="preserve">Período: </w:t>
    </w:r>
    <w:r w:rsidR="003B6246">
      <w:rPr>
        <w:i/>
        <w:iCs/>
      </w:rPr>
      <w:t>7</w:t>
    </w:r>
    <w:r w:rsidR="00063834">
      <w:rPr>
        <w:i/>
        <w:iCs/>
      </w:rPr>
      <w:t xml:space="preserve"> a </w:t>
    </w:r>
    <w:r w:rsidR="003B6246">
      <w:rPr>
        <w:i/>
        <w:iCs/>
      </w:rPr>
      <w:t>13</w:t>
    </w:r>
    <w:r w:rsidR="00063834">
      <w:rPr>
        <w:i/>
        <w:iCs/>
      </w:rPr>
      <w:t xml:space="preserve"> de março</w:t>
    </w:r>
    <w:r>
      <w:rPr>
        <w:i/>
        <w:iCs/>
      </w:rPr>
      <w:t xml:space="preserve"> de 2017</w:t>
    </w:r>
  </w:p>
  <w:p w:rsidR="0027684A" w:rsidRDefault="0027684A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E"/>
    <w:rsid w:val="00004C36"/>
    <w:rsid w:val="00021967"/>
    <w:rsid w:val="000228E6"/>
    <w:rsid w:val="000249BA"/>
    <w:rsid w:val="00024CE9"/>
    <w:rsid w:val="00032056"/>
    <w:rsid w:val="000322FB"/>
    <w:rsid w:val="000332F1"/>
    <w:rsid w:val="00034034"/>
    <w:rsid w:val="000425FC"/>
    <w:rsid w:val="00050E85"/>
    <w:rsid w:val="0005125E"/>
    <w:rsid w:val="00052550"/>
    <w:rsid w:val="00055A9D"/>
    <w:rsid w:val="00056752"/>
    <w:rsid w:val="0005765E"/>
    <w:rsid w:val="00057B87"/>
    <w:rsid w:val="0006020E"/>
    <w:rsid w:val="00063834"/>
    <w:rsid w:val="00064486"/>
    <w:rsid w:val="00065048"/>
    <w:rsid w:val="000733B4"/>
    <w:rsid w:val="00073643"/>
    <w:rsid w:val="00073880"/>
    <w:rsid w:val="00075BDB"/>
    <w:rsid w:val="00076E4F"/>
    <w:rsid w:val="00077EAD"/>
    <w:rsid w:val="00080C40"/>
    <w:rsid w:val="00080F10"/>
    <w:rsid w:val="000858FB"/>
    <w:rsid w:val="0009237D"/>
    <w:rsid w:val="00093AE9"/>
    <w:rsid w:val="00093BA8"/>
    <w:rsid w:val="00095471"/>
    <w:rsid w:val="000A04E6"/>
    <w:rsid w:val="000A4C94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C6790"/>
    <w:rsid w:val="000E0A91"/>
    <w:rsid w:val="000E1DC1"/>
    <w:rsid w:val="000E5C57"/>
    <w:rsid w:val="000E7CBE"/>
    <w:rsid w:val="000F01F9"/>
    <w:rsid w:val="0011575C"/>
    <w:rsid w:val="0011692E"/>
    <w:rsid w:val="00122C2A"/>
    <w:rsid w:val="001257D7"/>
    <w:rsid w:val="00137564"/>
    <w:rsid w:val="00137DC1"/>
    <w:rsid w:val="00141630"/>
    <w:rsid w:val="00142C28"/>
    <w:rsid w:val="00152238"/>
    <w:rsid w:val="0015612D"/>
    <w:rsid w:val="00161CDE"/>
    <w:rsid w:val="00163142"/>
    <w:rsid w:val="001648F5"/>
    <w:rsid w:val="00167E80"/>
    <w:rsid w:val="00176D15"/>
    <w:rsid w:val="0018296E"/>
    <w:rsid w:val="00183803"/>
    <w:rsid w:val="00184590"/>
    <w:rsid w:val="00187A37"/>
    <w:rsid w:val="00187BEF"/>
    <w:rsid w:val="0019151D"/>
    <w:rsid w:val="001920CD"/>
    <w:rsid w:val="00193208"/>
    <w:rsid w:val="001932B7"/>
    <w:rsid w:val="00197B15"/>
    <w:rsid w:val="001B2C08"/>
    <w:rsid w:val="001C04D2"/>
    <w:rsid w:val="001C21FB"/>
    <w:rsid w:val="001C271F"/>
    <w:rsid w:val="001C5885"/>
    <w:rsid w:val="001C6C93"/>
    <w:rsid w:val="001D4CF9"/>
    <w:rsid w:val="001D4E17"/>
    <w:rsid w:val="001D5AB0"/>
    <w:rsid w:val="001D6AC9"/>
    <w:rsid w:val="001D757D"/>
    <w:rsid w:val="001E14A9"/>
    <w:rsid w:val="001E14BB"/>
    <w:rsid w:val="001E3B29"/>
    <w:rsid w:val="001E4B57"/>
    <w:rsid w:val="001E5BD1"/>
    <w:rsid w:val="001E713B"/>
    <w:rsid w:val="001E79B4"/>
    <w:rsid w:val="001F030F"/>
    <w:rsid w:val="001F2F34"/>
    <w:rsid w:val="001F45E0"/>
    <w:rsid w:val="00204C97"/>
    <w:rsid w:val="00206810"/>
    <w:rsid w:val="002168DE"/>
    <w:rsid w:val="00224AC2"/>
    <w:rsid w:val="00230183"/>
    <w:rsid w:val="0023559D"/>
    <w:rsid w:val="002402B0"/>
    <w:rsid w:val="002449F9"/>
    <w:rsid w:val="00255732"/>
    <w:rsid w:val="00257B4A"/>
    <w:rsid w:val="00260B37"/>
    <w:rsid w:val="002635ED"/>
    <w:rsid w:val="002662BA"/>
    <w:rsid w:val="00266D49"/>
    <w:rsid w:val="00271C5C"/>
    <w:rsid w:val="00271E67"/>
    <w:rsid w:val="002730B5"/>
    <w:rsid w:val="002766D5"/>
    <w:rsid w:val="0027684A"/>
    <w:rsid w:val="00276EA0"/>
    <w:rsid w:val="00280594"/>
    <w:rsid w:val="00285064"/>
    <w:rsid w:val="002A219D"/>
    <w:rsid w:val="002A521A"/>
    <w:rsid w:val="002A546D"/>
    <w:rsid w:val="002B0750"/>
    <w:rsid w:val="002B4738"/>
    <w:rsid w:val="002B6377"/>
    <w:rsid w:val="002C2904"/>
    <w:rsid w:val="002E78CB"/>
    <w:rsid w:val="002F28E5"/>
    <w:rsid w:val="002F71BF"/>
    <w:rsid w:val="003074FC"/>
    <w:rsid w:val="0031207D"/>
    <w:rsid w:val="003200A0"/>
    <w:rsid w:val="0033397A"/>
    <w:rsid w:val="00340D16"/>
    <w:rsid w:val="00340E8D"/>
    <w:rsid w:val="00342846"/>
    <w:rsid w:val="003503FC"/>
    <w:rsid w:val="00352B27"/>
    <w:rsid w:val="0035374D"/>
    <w:rsid w:val="00363255"/>
    <w:rsid w:val="0036325E"/>
    <w:rsid w:val="003671FE"/>
    <w:rsid w:val="003708FD"/>
    <w:rsid w:val="003726D1"/>
    <w:rsid w:val="003745DE"/>
    <w:rsid w:val="0037667D"/>
    <w:rsid w:val="00377D5F"/>
    <w:rsid w:val="00380212"/>
    <w:rsid w:val="00383A89"/>
    <w:rsid w:val="00384075"/>
    <w:rsid w:val="003908C5"/>
    <w:rsid w:val="00393131"/>
    <w:rsid w:val="0039326C"/>
    <w:rsid w:val="00396053"/>
    <w:rsid w:val="003A1F0A"/>
    <w:rsid w:val="003A4086"/>
    <w:rsid w:val="003A5E5B"/>
    <w:rsid w:val="003B045C"/>
    <w:rsid w:val="003B0538"/>
    <w:rsid w:val="003B0A59"/>
    <w:rsid w:val="003B3EB5"/>
    <w:rsid w:val="003B4E23"/>
    <w:rsid w:val="003B6246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4034A8"/>
    <w:rsid w:val="0040506F"/>
    <w:rsid w:val="004163E7"/>
    <w:rsid w:val="004166C3"/>
    <w:rsid w:val="00416D9A"/>
    <w:rsid w:val="00423641"/>
    <w:rsid w:val="0042772A"/>
    <w:rsid w:val="004323B0"/>
    <w:rsid w:val="00437995"/>
    <w:rsid w:val="0044014F"/>
    <w:rsid w:val="00444E88"/>
    <w:rsid w:val="004477EC"/>
    <w:rsid w:val="00450BAD"/>
    <w:rsid w:val="0045657C"/>
    <w:rsid w:val="00457A40"/>
    <w:rsid w:val="004655CC"/>
    <w:rsid w:val="00466DB9"/>
    <w:rsid w:val="00470EF8"/>
    <w:rsid w:val="004731B7"/>
    <w:rsid w:val="00486521"/>
    <w:rsid w:val="00486DFC"/>
    <w:rsid w:val="004922D6"/>
    <w:rsid w:val="00494DD1"/>
    <w:rsid w:val="004A094C"/>
    <w:rsid w:val="004A1432"/>
    <w:rsid w:val="004A14FC"/>
    <w:rsid w:val="004A5264"/>
    <w:rsid w:val="004A5908"/>
    <w:rsid w:val="004A7C59"/>
    <w:rsid w:val="004B21AD"/>
    <w:rsid w:val="004B63FB"/>
    <w:rsid w:val="004C011C"/>
    <w:rsid w:val="004C14EA"/>
    <w:rsid w:val="004C2118"/>
    <w:rsid w:val="004C2612"/>
    <w:rsid w:val="004C749C"/>
    <w:rsid w:val="004C759F"/>
    <w:rsid w:val="004D6000"/>
    <w:rsid w:val="004D6415"/>
    <w:rsid w:val="004D71E8"/>
    <w:rsid w:val="004E393E"/>
    <w:rsid w:val="004E4507"/>
    <w:rsid w:val="004E4619"/>
    <w:rsid w:val="004F0A7D"/>
    <w:rsid w:val="004F5040"/>
    <w:rsid w:val="00513789"/>
    <w:rsid w:val="0051538E"/>
    <w:rsid w:val="00517E01"/>
    <w:rsid w:val="00521EEC"/>
    <w:rsid w:val="00543B94"/>
    <w:rsid w:val="005460BD"/>
    <w:rsid w:val="005521C8"/>
    <w:rsid w:val="00553197"/>
    <w:rsid w:val="0055409E"/>
    <w:rsid w:val="00554139"/>
    <w:rsid w:val="00556367"/>
    <w:rsid w:val="00556B35"/>
    <w:rsid w:val="005703D6"/>
    <w:rsid w:val="00573E13"/>
    <w:rsid w:val="005811A4"/>
    <w:rsid w:val="00584F82"/>
    <w:rsid w:val="00591DFA"/>
    <w:rsid w:val="005A30AA"/>
    <w:rsid w:val="005A5695"/>
    <w:rsid w:val="005B0A1C"/>
    <w:rsid w:val="005B22CE"/>
    <w:rsid w:val="005B2F00"/>
    <w:rsid w:val="005B3792"/>
    <w:rsid w:val="005B57DE"/>
    <w:rsid w:val="005C1886"/>
    <w:rsid w:val="005C761E"/>
    <w:rsid w:val="005D0E5F"/>
    <w:rsid w:val="005D1DE4"/>
    <w:rsid w:val="005E35BD"/>
    <w:rsid w:val="005E3D4D"/>
    <w:rsid w:val="005E3F64"/>
    <w:rsid w:val="005E7FD1"/>
    <w:rsid w:val="005F0545"/>
    <w:rsid w:val="005F2858"/>
    <w:rsid w:val="006002E3"/>
    <w:rsid w:val="00602FF7"/>
    <w:rsid w:val="006145AC"/>
    <w:rsid w:val="00615F98"/>
    <w:rsid w:val="006207F5"/>
    <w:rsid w:val="00621F9C"/>
    <w:rsid w:val="00631166"/>
    <w:rsid w:val="00631F1C"/>
    <w:rsid w:val="006366A4"/>
    <w:rsid w:val="00643B60"/>
    <w:rsid w:val="006456B1"/>
    <w:rsid w:val="006564EC"/>
    <w:rsid w:val="0066084C"/>
    <w:rsid w:val="00661B23"/>
    <w:rsid w:val="00672CF9"/>
    <w:rsid w:val="00672E11"/>
    <w:rsid w:val="0068273B"/>
    <w:rsid w:val="00691234"/>
    <w:rsid w:val="00692202"/>
    <w:rsid w:val="006931CC"/>
    <w:rsid w:val="006947F2"/>
    <w:rsid w:val="00697919"/>
    <w:rsid w:val="006B3FCF"/>
    <w:rsid w:val="006B46CA"/>
    <w:rsid w:val="006C0391"/>
    <w:rsid w:val="006C28B3"/>
    <w:rsid w:val="006D0B48"/>
    <w:rsid w:val="006D1F66"/>
    <w:rsid w:val="006D306E"/>
    <w:rsid w:val="006D4497"/>
    <w:rsid w:val="006E1A9C"/>
    <w:rsid w:val="006F6C15"/>
    <w:rsid w:val="00700B1B"/>
    <w:rsid w:val="007029CF"/>
    <w:rsid w:val="0070727E"/>
    <w:rsid w:val="00710D3A"/>
    <w:rsid w:val="0071315F"/>
    <w:rsid w:val="007165D4"/>
    <w:rsid w:val="00720057"/>
    <w:rsid w:val="00721942"/>
    <w:rsid w:val="00722BE7"/>
    <w:rsid w:val="00732DF2"/>
    <w:rsid w:val="007403B3"/>
    <w:rsid w:val="007614F1"/>
    <w:rsid w:val="007618C5"/>
    <w:rsid w:val="00764066"/>
    <w:rsid w:val="00766B7B"/>
    <w:rsid w:val="0077600F"/>
    <w:rsid w:val="00776118"/>
    <w:rsid w:val="00781C77"/>
    <w:rsid w:val="00796745"/>
    <w:rsid w:val="007A4F78"/>
    <w:rsid w:val="007B0F83"/>
    <w:rsid w:val="007C0A4F"/>
    <w:rsid w:val="007D29A1"/>
    <w:rsid w:val="007D2EE9"/>
    <w:rsid w:val="007D469A"/>
    <w:rsid w:val="007D6F8C"/>
    <w:rsid w:val="007E094E"/>
    <w:rsid w:val="007E0EA7"/>
    <w:rsid w:val="007E37B1"/>
    <w:rsid w:val="007E3F23"/>
    <w:rsid w:val="007F142E"/>
    <w:rsid w:val="007F66BC"/>
    <w:rsid w:val="007F7B5E"/>
    <w:rsid w:val="00800B97"/>
    <w:rsid w:val="00801246"/>
    <w:rsid w:val="00802B1A"/>
    <w:rsid w:val="00805CD2"/>
    <w:rsid w:val="0080615C"/>
    <w:rsid w:val="0081027F"/>
    <w:rsid w:val="0081742D"/>
    <w:rsid w:val="00817AB1"/>
    <w:rsid w:val="00821F4D"/>
    <w:rsid w:val="00823906"/>
    <w:rsid w:val="008409D3"/>
    <w:rsid w:val="0084319F"/>
    <w:rsid w:val="00844374"/>
    <w:rsid w:val="00845559"/>
    <w:rsid w:val="0084797B"/>
    <w:rsid w:val="00854DB8"/>
    <w:rsid w:val="00854EF2"/>
    <w:rsid w:val="00855623"/>
    <w:rsid w:val="00855D99"/>
    <w:rsid w:val="0086211B"/>
    <w:rsid w:val="008622CF"/>
    <w:rsid w:val="008627C6"/>
    <w:rsid w:val="00863B86"/>
    <w:rsid w:val="008652A2"/>
    <w:rsid w:val="008706CD"/>
    <w:rsid w:val="00871F69"/>
    <w:rsid w:val="008842D0"/>
    <w:rsid w:val="00884AC4"/>
    <w:rsid w:val="0088579D"/>
    <w:rsid w:val="008A1A58"/>
    <w:rsid w:val="008A49DF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2AE5"/>
    <w:rsid w:val="008E3CCE"/>
    <w:rsid w:val="008E3F89"/>
    <w:rsid w:val="008F26CB"/>
    <w:rsid w:val="008F36EC"/>
    <w:rsid w:val="008F3D95"/>
    <w:rsid w:val="008F6509"/>
    <w:rsid w:val="008F79D9"/>
    <w:rsid w:val="009027C8"/>
    <w:rsid w:val="00922D1B"/>
    <w:rsid w:val="0093467A"/>
    <w:rsid w:val="009353F1"/>
    <w:rsid w:val="0094155C"/>
    <w:rsid w:val="00951531"/>
    <w:rsid w:val="00953B29"/>
    <w:rsid w:val="009609CB"/>
    <w:rsid w:val="00960A3B"/>
    <w:rsid w:val="0096375C"/>
    <w:rsid w:val="00967DE0"/>
    <w:rsid w:val="00971E07"/>
    <w:rsid w:val="00971E5F"/>
    <w:rsid w:val="00971F6D"/>
    <w:rsid w:val="009802D2"/>
    <w:rsid w:val="00980944"/>
    <w:rsid w:val="00986D77"/>
    <w:rsid w:val="00993A6E"/>
    <w:rsid w:val="009943EC"/>
    <w:rsid w:val="009A1BAD"/>
    <w:rsid w:val="009A32D5"/>
    <w:rsid w:val="009A5D37"/>
    <w:rsid w:val="009A6BD9"/>
    <w:rsid w:val="009B320F"/>
    <w:rsid w:val="009B6012"/>
    <w:rsid w:val="009C0EBA"/>
    <w:rsid w:val="009C102D"/>
    <w:rsid w:val="009C2A4F"/>
    <w:rsid w:val="009D10FB"/>
    <w:rsid w:val="009D312C"/>
    <w:rsid w:val="009D4C59"/>
    <w:rsid w:val="009D7F91"/>
    <w:rsid w:val="009E20EF"/>
    <w:rsid w:val="009E26EE"/>
    <w:rsid w:val="009F1C7B"/>
    <w:rsid w:val="009F21A2"/>
    <w:rsid w:val="00A00D70"/>
    <w:rsid w:val="00A00DEE"/>
    <w:rsid w:val="00A27889"/>
    <w:rsid w:val="00A32FBF"/>
    <w:rsid w:val="00A407EA"/>
    <w:rsid w:val="00A51749"/>
    <w:rsid w:val="00A521B6"/>
    <w:rsid w:val="00A56962"/>
    <w:rsid w:val="00A6382F"/>
    <w:rsid w:val="00A6412C"/>
    <w:rsid w:val="00A75419"/>
    <w:rsid w:val="00A76661"/>
    <w:rsid w:val="00A76D2A"/>
    <w:rsid w:val="00A81F5B"/>
    <w:rsid w:val="00A82081"/>
    <w:rsid w:val="00A8557E"/>
    <w:rsid w:val="00A903E4"/>
    <w:rsid w:val="00A91181"/>
    <w:rsid w:val="00A935AC"/>
    <w:rsid w:val="00AA3DE0"/>
    <w:rsid w:val="00AB299E"/>
    <w:rsid w:val="00AB507C"/>
    <w:rsid w:val="00AB606E"/>
    <w:rsid w:val="00AC096E"/>
    <w:rsid w:val="00AC4F6C"/>
    <w:rsid w:val="00AD6E76"/>
    <w:rsid w:val="00AE3EAA"/>
    <w:rsid w:val="00AE5EDF"/>
    <w:rsid w:val="00AE758A"/>
    <w:rsid w:val="00B06261"/>
    <w:rsid w:val="00B06914"/>
    <w:rsid w:val="00B108BA"/>
    <w:rsid w:val="00B108E6"/>
    <w:rsid w:val="00B12273"/>
    <w:rsid w:val="00B14F7F"/>
    <w:rsid w:val="00B16EB9"/>
    <w:rsid w:val="00B22F24"/>
    <w:rsid w:val="00B22F53"/>
    <w:rsid w:val="00B24DBE"/>
    <w:rsid w:val="00B335D5"/>
    <w:rsid w:val="00B34EB2"/>
    <w:rsid w:val="00B4728A"/>
    <w:rsid w:val="00B517C3"/>
    <w:rsid w:val="00B518B2"/>
    <w:rsid w:val="00B526EA"/>
    <w:rsid w:val="00B5311A"/>
    <w:rsid w:val="00B536FE"/>
    <w:rsid w:val="00B55AB4"/>
    <w:rsid w:val="00B60670"/>
    <w:rsid w:val="00B73FFA"/>
    <w:rsid w:val="00B74A6E"/>
    <w:rsid w:val="00B82CC4"/>
    <w:rsid w:val="00B838C3"/>
    <w:rsid w:val="00B874F1"/>
    <w:rsid w:val="00BC1DE7"/>
    <w:rsid w:val="00BC209E"/>
    <w:rsid w:val="00BC2C67"/>
    <w:rsid w:val="00BC54BC"/>
    <w:rsid w:val="00BC5AEE"/>
    <w:rsid w:val="00BD2A95"/>
    <w:rsid w:val="00BD2CA9"/>
    <w:rsid w:val="00BD6029"/>
    <w:rsid w:val="00BD75B0"/>
    <w:rsid w:val="00BE0541"/>
    <w:rsid w:val="00BE1ADB"/>
    <w:rsid w:val="00BE3152"/>
    <w:rsid w:val="00BF0693"/>
    <w:rsid w:val="00C028BC"/>
    <w:rsid w:val="00C070DE"/>
    <w:rsid w:val="00C15EC0"/>
    <w:rsid w:val="00C230F3"/>
    <w:rsid w:val="00C232C2"/>
    <w:rsid w:val="00C239E0"/>
    <w:rsid w:val="00C26DFB"/>
    <w:rsid w:val="00C273FA"/>
    <w:rsid w:val="00C30D06"/>
    <w:rsid w:val="00C37916"/>
    <w:rsid w:val="00C42067"/>
    <w:rsid w:val="00C432D0"/>
    <w:rsid w:val="00C4398E"/>
    <w:rsid w:val="00C44218"/>
    <w:rsid w:val="00C51600"/>
    <w:rsid w:val="00C54185"/>
    <w:rsid w:val="00C57E92"/>
    <w:rsid w:val="00C60B4A"/>
    <w:rsid w:val="00C65BDB"/>
    <w:rsid w:val="00C66C95"/>
    <w:rsid w:val="00C6738C"/>
    <w:rsid w:val="00C71A3B"/>
    <w:rsid w:val="00C757CC"/>
    <w:rsid w:val="00C76CFA"/>
    <w:rsid w:val="00C819C8"/>
    <w:rsid w:val="00C84A53"/>
    <w:rsid w:val="00C8747B"/>
    <w:rsid w:val="00C87D5B"/>
    <w:rsid w:val="00C94FF6"/>
    <w:rsid w:val="00C963F8"/>
    <w:rsid w:val="00C96BB1"/>
    <w:rsid w:val="00CA2F80"/>
    <w:rsid w:val="00CA3ECF"/>
    <w:rsid w:val="00CB0C2A"/>
    <w:rsid w:val="00CB3B98"/>
    <w:rsid w:val="00CC4B2B"/>
    <w:rsid w:val="00CC51C4"/>
    <w:rsid w:val="00CC579C"/>
    <w:rsid w:val="00CC5F5F"/>
    <w:rsid w:val="00CC6BEC"/>
    <w:rsid w:val="00CC743B"/>
    <w:rsid w:val="00CD3460"/>
    <w:rsid w:val="00CD44C9"/>
    <w:rsid w:val="00CD4B61"/>
    <w:rsid w:val="00CD5043"/>
    <w:rsid w:val="00CD59E7"/>
    <w:rsid w:val="00CE066A"/>
    <w:rsid w:val="00CE2928"/>
    <w:rsid w:val="00CE314A"/>
    <w:rsid w:val="00CE5865"/>
    <w:rsid w:val="00CE737B"/>
    <w:rsid w:val="00CE7555"/>
    <w:rsid w:val="00CF3D9D"/>
    <w:rsid w:val="00CF6B77"/>
    <w:rsid w:val="00D00018"/>
    <w:rsid w:val="00D01C50"/>
    <w:rsid w:val="00D11B24"/>
    <w:rsid w:val="00D11C18"/>
    <w:rsid w:val="00D133C8"/>
    <w:rsid w:val="00D14DB8"/>
    <w:rsid w:val="00D17339"/>
    <w:rsid w:val="00D244D5"/>
    <w:rsid w:val="00D2776A"/>
    <w:rsid w:val="00D4021B"/>
    <w:rsid w:val="00D413DB"/>
    <w:rsid w:val="00D420E2"/>
    <w:rsid w:val="00D4459D"/>
    <w:rsid w:val="00D44B24"/>
    <w:rsid w:val="00D573F9"/>
    <w:rsid w:val="00D60532"/>
    <w:rsid w:val="00D6058B"/>
    <w:rsid w:val="00D608E5"/>
    <w:rsid w:val="00D62D9E"/>
    <w:rsid w:val="00D63EC5"/>
    <w:rsid w:val="00D64BC3"/>
    <w:rsid w:val="00D72C05"/>
    <w:rsid w:val="00D73575"/>
    <w:rsid w:val="00D735BF"/>
    <w:rsid w:val="00D737B6"/>
    <w:rsid w:val="00D77672"/>
    <w:rsid w:val="00D80222"/>
    <w:rsid w:val="00D847CF"/>
    <w:rsid w:val="00D87489"/>
    <w:rsid w:val="00DA015E"/>
    <w:rsid w:val="00DA0A99"/>
    <w:rsid w:val="00DA0A9D"/>
    <w:rsid w:val="00DA54D4"/>
    <w:rsid w:val="00DA7603"/>
    <w:rsid w:val="00DA7E39"/>
    <w:rsid w:val="00DA7EDE"/>
    <w:rsid w:val="00DB0223"/>
    <w:rsid w:val="00DB047C"/>
    <w:rsid w:val="00DC0AB5"/>
    <w:rsid w:val="00DC3451"/>
    <w:rsid w:val="00DC50EB"/>
    <w:rsid w:val="00DC7F71"/>
    <w:rsid w:val="00DD19F4"/>
    <w:rsid w:val="00DD3FA0"/>
    <w:rsid w:val="00DE5B2D"/>
    <w:rsid w:val="00DE5C3E"/>
    <w:rsid w:val="00DE5CE9"/>
    <w:rsid w:val="00DF45BB"/>
    <w:rsid w:val="00E006DC"/>
    <w:rsid w:val="00E03064"/>
    <w:rsid w:val="00E04BD5"/>
    <w:rsid w:val="00E070D2"/>
    <w:rsid w:val="00E100F5"/>
    <w:rsid w:val="00E1139A"/>
    <w:rsid w:val="00E126EB"/>
    <w:rsid w:val="00E1539C"/>
    <w:rsid w:val="00E162B6"/>
    <w:rsid w:val="00E16E01"/>
    <w:rsid w:val="00E20FC8"/>
    <w:rsid w:val="00E24A50"/>
    <w:rsid w:val="00E25A69"/>
    <w:rsid w:val="00E31469"/>
    <w:rsid w:val="00E3296A"/>
    <w:rsid w:val="00E35639"/>
    <w:rsid w:val="00E4188A"/>
    <w:rsid w:val="00E420AA"/>
    <w:rsid w:val="00E432CC"/>
    <w:rsid w:val="00E47FF2"/>
    <w:rsid w:val="00E50711"/>
    <w:rsid w:val="00E52522"/>
    <w:rsid w:val="00E531C9"/>
    <w:rsid w:val="00E60AD3"/>
    <w:rsid w:val="00E60EDA"/>
    <w:rsid w:val="00E62BBC"/>
    <w:rsid w:val="00E774F6"/>
    <w:rsid w:val="00E9503C"/>
    <w:rsid w:val="00E956D9"/>
    <w:rsid w:val="00EA1958"/>
    <w:rsid w:val="00EA29F5"/>
    <w:rsid w:val="00EA482D"/>
    <w:rsid w:val="00EB5FE6"/>
    <w:rsid w:val="00EB61A5"/>
    <w:rsid w:val="00EB6C1B"/>
    <w:rsid w:val="00EB7A09"/>
    <w:rsid w:val="00EC0EDC"/>
    <w:rsid w:val="00EC5AF4"/>
    <w:rsid w:val="00EC7E0B"/>
    <w:rsid w:val="00ED4508"/>
    <w:rsid w:val="00ED661C"/>
    <w:rsid w:val="00EE41B5"/>
    <w:rsid w:val="00EE66C9"/>
    <w:rsid w:val="00EF10DB"/>
    <w:rsid w:val="00EF11A9"/>
    <w:rsid w:val="00EF38E1"/>
    <w:rsid w:val="00EF749A"/>
    <w:rsid w:val="00EF771E"/>
    <w:rsid w:val="00F012E0"/>
    <w:rsid w:val="00F02565"/>
    <w:rsid w:val="00F026EC"/>
    <w:rsid w:val="00F05542"/>
    <w:rsid w:val="00F06855"/>
    <w:rsid w:val="00F13A96"/>
    <w:rsid w:val="00F16D0F"/>
    <w:rsid w:val="00F17A2C"/>
    <w:rsid w:val="00F21A70"/>
    <w:rsid w:val="00F26708"/>
    <w:rsid w:val="00F30FF2"/>
    <w:rsid w:val="00F37F29"/>
    <w:rsid w:val="00F42243"/>
    <w:rsid w:val="00F45608"/>
    <w:rsid w:val="00F511EE"/>
    <w:rsid w:val="00F55574"/>
    <w:rsid w:val="00F558E7"/>
    <w:rsid w:val="00F62016"/>
    <w:rsid w:val="00F63F44"/>
    <w:rsid w:val="00F6401B"/>
    <w:rsid w:val="00F6746D"/>
    <w:rsid w:val="00F675D5"/>
    <w:rsid w:val="00F753D1"/>
    <w:rsid w:val="00F7766D"/>
    <w:rsid w:val="00F811CD"/>
    <w:rsid w:val="00F82D8F"/>
    <w:rsid w:val="00F83F62"/>
    <w:rsid w:val="00F907EB"/>
    <w:rsid w:val="00F9711D"/>
    <w:rsid w:val="00FA011F"/>
    <w:rsid w:val="00FA3E3A"/>
    <w:rsid w:val="00FA7544"/>
    <w:rsid w:val="00FA75E0"/>
    <w:rsid w:val="00FA7771"/>
    <w:rsid w:val="00FB0DC9"/>
    <w:rsid w:val="00FB20B1"/>
    <w:rsid w:val="00FB3AB4"/>
    <w:rsid w:val="00FB6188"/>
    <w:rsid w:val="00FC35EC"/>
    <w:rsid w:val="00FC56A4"/>
    <w:rsid w:val="00FD029A"/>
    <w:rsid w:val="00FD3D06"/>
    <w:rsid w:val="00FD5662"/>
    <w:rsid w:val="00FD72B6"/>
    <w:rsid w:val="00FE00AD"/>
    <w:rsid w:val="00FE206E"/>
    <w:rsid w:val="00FE421F"/>
    <w:rsid w:val="00FE499F"/>
    <w:rsid w:val="00FF03DC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1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1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licacao4.tst.jus.br/consultaProcessual/consultaTstNumUnica.do?consulta=Consultar&amp;conscsjt=&amp;numeroTst=1268&amp;digitoTst=95&amp;anoTst=2011&amp;orgaoTst=5&amp;tribunalTst=04&amp;varaTst=002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licacao4.tst.jus.br/consultaProcessual/consultaTstNumUnica.do?consulta=Consultar&amp;conscsjt=&amp;numeroTst=2983500&amp;digitoTst=63&amp;anoTst=1998&amp;orgaoTst=5&amp;tribunalTst=09&amp;varaTst=001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licacao4.tst.jus.br/consultaProcessual/consultaTstNumUnica.do?consulta=Consultar&amp;conscsjt=&amp;numeroTst=65800&amp;digitoTst=46&amp;anoTst=2009&amp;orgaoTst=5&amp;tribunalTst=02&amp;varaTst=004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aplicacao4.tst.jus.br/consultaProcessual/consultaTstNumUnica.do?consulta=Consultar&amp;conscsjt=&amp;numeroTst=76&amp;digitoTst=64&amp;anoTst=2016&amp;orgaoTst=5&amp;tribunalTst=10&amp;varaTst=0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plicacao4.tst.jus.br/consultaProcessual/consultaTstNumUnica.do?consulta=Consultar&amp;conscsjt=&amp;numeroTst=296&amp;digitoTst=96&amp;anoTst=2015&amp;orgaoTst=5&amp;tribunalTst=10&amp;varaTst=0000" TargetMode="External"/><Relationship Id="rId14" Type="http://schemas.openxmlformats.org/officeDocument/2006/relationships/hyperlink" Target="http://www.tst.jus.br/web/guest/informativo-tst/-/document_library_display/G3Xz/view_file/24194121?_110_INSTANCE_G3Xz_redirect=http%3A%2F%2Fwww.tst.jus.br%2Fweb%2Fguest%2Finformativo-tst%2F-%2Fdocument_library_display%2FG3Xz%2Fview%2F1204330%3F_110_INSTANCE_G3Xz_advancedSearch%3Dfalse%26_110_INSTANCE_G3Xz_cur2%3D8%26_110_INSTANCE_G3Xz_keywords%3D%26_110_INSTANCE_G3Xz_topLink%3Dhome%26p_r_p_564233524_resetCur%3Dfalse%26_110_INSTANCE_G3Xz_delta2%3D20%26_110_INSTANCE_G3Xz_andOperator%3Dtru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09F6-3E1D-4193-81B6-C1FB251C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1373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8771</CharactersWithSpaces>
  <SharedDoc>false</SharedDoc>
  <HLinks>
    <vt:vector size="36" baseType="variant">
      <vt:variant>
        <vt:i4>5963814</vt:i4>
      </vt:variant>
      <vt:variant>
        <vt:i4>15</vt:i4>
      </vt:variant>
      <vt:variant>
        <vt:i4>0</vt:i4>
      </vt:variant>
      <vt:variant>
        <vt:i4>5</vt:i4>
      </vt:variant>
      <vt:variant>
        <vt:lpwstr>http://www.tst.jus.br/web/guest/informativo-tst/-/document_library_display/G3Xz/view_file/24194121?_110_INSTANCE_G3Xz_redirect=http%3A%2F%2Fwww.tst.jus.br%2Fweb%2Fguest%2Finformativo-tst%2F-%2Fdocument_library_display%2FG3Xz%2Fview%2F1204330%3F_110_INSTANCE_G3Xz_advancedSearch%3Dfalse%26_110_INSTANCE_G3Xz_cur2%3D8%26_110_INSTANCE_G3Xz_keywords%3D%26_110_INSTANCE_G3Xz_topLink%3Dhome%26p_r_p_564233524_resetCur%3Dfalse%26_110_INSTANCE_G3Xz_delta2%3D20%26_110_INSTANCE_G3Xz_andOperator%3Dtrue</vt:lpwstr>
      </vt:variant>
      <vt:variant>
        <vt:lpwstr/>
      </vt:variant>
      <vt:variant>
        <vt:i4>2359415</vt:i4>
      </vt:variant>
      <vt:variant>
        <vt:i4>12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http://aplicacao4.tst.jus.br/consultaProcessual/consultaTstNumUnica.do?consulta=Consultar&amp;conscsjt=&amp;numeroTst=1268&amp;digitoTst=95&amp;anoTst=2011&amp;orgaoTst=5&amp;tribunalTst=04&amp;varaTst=0025</vt:lpwstr>
      </vt:variant>
      <vt:variant>
        <vt:lpwstr/>
      </vt:variant>
      <vt:variant>
        <vt:i4>6225933</vt:i4>
      </vt:variant>
      <vt:variant>
        <vt:i4>9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http://aplicacao4.tst.jus.br/consultaProcessual/consultaTstNumUnica.do?consulta=Consultar&amp;conscsjt=&amp;numeroTst=2983500&amp;digitoTst=63&amp;anoTst=1998&amp;orgaoTst=5&amp;tribunalTst=09&amp;varaTst=0012</vt:lpwstr>
      </vt:variant>
      <vt:variant>
        <vt:lpwstr/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http://aplicacao4.tst.jus.br/consultaProcessual/consultaTstNumUnica.do?consulta=Consultar&amp;conscsjt=&amp;numeroTst=65800&amp;digitoTst=46&amp;anoTst=2009&amp;orgaoTst=5&amp;tribunalTst=02&amp;varaTst=0044</vt:lpwstr>
      </vt:variant>
      <vt:variant>
        <vt:lpwstr/>
      </vt:variant>
      <vt:variant>
        <vt:i4>1245255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http://aplicacao4.tst.jus.br/consultaProcessual/consultaTstNumUnica.do?consulta=Consultar&amp;conscsjt=&amp;numeroTst=76&amp;digitoTst=64&amp;anoTst=2016&amp;orgaoTst=5&amp;tribunalTst=10&amp;varaTst=0000</vt:lpwstr>
      </vt:variant>
      <vt:variant>
        <vt:lpwstr/>
      </vt:variant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http://aplicacao4.tst.jus.br/consultaProcessual/consultaTstNumUnica.do?consulta=Consultar&amp;conscsjt=&amp;numeroTst=296&amp;digitoTst=96&amp;anoTst=2015&amp;orgaoTst=5&amp;tribunalTst=10&amp;varaTst=0000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creator>C037163</dc:creator>
  <cp:lastModifiedBy>C050728</cp:lastModifiedBy>
  <cp:revision>2</cp:revision>
  <cp:lastPrinted>2017-03-06T19:28:00Z</cp:lastPrinted>
  <dcterms:created xsi:type="dcterms:W3CDTF">2017-07-26T16:54:00Z</dcterms:created>
  <dcterms:modified xsi:type="dcterms:W3CDTF">2017-07-26T16:54:00Z</dcterms:modified>
</cp:coreProperties>
</file>