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Pr="00E531C9" w:rsidRDefault="00B55AB4" w:rsidP="00DC50EB">
            <w:pPr>
              <w:pStyle w:val="Cabealho"/>
              <w:tabs>
                <w:tab w:val="clear" w:pos="4419"/>
                <w:tab w:val="clear" w:pos="8838"/>
              </w:tabs>
              <w:jc w:val="both"/>
              <w:rPr>
                <w:sz w:val="10"/>
                <w:szCs w:val="10"/>
              </w:rPr>
            </w:pPr>
          </w:p>
        </w:tc>
      </w:tr>
    </w:tbl>
    <w:p w:rsidR="009D10FB" w:rsidRPr="00F605DD" w:rsidRDefault="00963D6F" w:rsidP="009D10F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F605DD">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963D6F" w:rsidRPr="00963D6F" w:rsidRDefault="00963D6F" w:rsidP="00F13A96">
      <w:pPr>
        <w:jc w:val="both"/>
        <w:rPr>
          <w:bCs/>
          <w:u w:val="single"/>
        </w:rPr>
      </w:pPr>
    </w:p>
    <w:p w:rsidR="00963D6F" w:rsidRPr="007A0AC5" w:rsidRDefault="00963D6F" w:rsidP="00963D6F">
      <w:pPr>
        <w:jc w:val="both"/>
        <w:rPr>
          <w:b/>
          <w:i/>
          <w:sz w:val="24"/>
          <w:szCs w:val="24"/>
        </w:rPr>
      </w:pPr>
      <w:r>
        <w:rPr>
          <w:b/>
          <w:i/>
          <w:sz w:val="24"/>
          <w:szCs w:val="24"/>
        </w:rPr>
        <w:t>Embargos de declaração em incidente de arguição de inconstitucionalidade. Atualização monetária dos débitos trabalhistas. Art. 39 da Lei nº 8.177/91. Declaração de inconstitucionalidade da expressão “equivalentes à TRD”.  Aplicação do índice IPCA-E. Efeito modificativo. Modulação de efeitos.</w:t>
      </w:r>
    </w:p>
    <w:p w:rsidR="00963D6F" w:rsidRPr="007A0AC5" w:rsidRDefault="00963D6F" w:rsidP="00963D6F">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O Tribunal Pleno, em sede de embargos de declaração em incidente de arguição de inconstitucionalidade, decidiu, por maioria, conferir efeito modificativo ao julgado para modular os efeitos da decisão que declarou inconstitucional, por arrastamento, a expressão “equivalentes à TRD”, contida no art. 39 da Lei nº 8.177/91, e acolheu </w:t>
      </w:r>
      <w:r w:rsidRPr="006B2EB7">
        <w:rPr>
          <w:rFonts w:ascii="Times New Roman" w:eastAsia="Calibri" w:hAnsi="Times New Roman" w:cs="Times New Roman"/>
          <w:color w:val="auto"/>
          <w:lang w:val="pt-BR" w:eastAsia="en-US"/>
        </w:rPr>
        <w:t>o IPCA-E como índice de atualização monetária dos débitos trabalhistas</w:t>
      </w:r>
      <w:r>
        <w:rPr>
          <w:rFonts w:ascii="Times New Roman" w:eastAsia="Calibri" w:hAnsi="Times New Roman" w:cs="Times New Roman"/>
          <w:color w:val="auto"/>
          <w:lang w:val="pt-BR" w:eastAsia="en-US"/>
        </w:rPr>
        <w:t xml:space="preserve">, para que produza efeitos somente a partir de 25.3.2015, </w:t>
      </w:r>
      <w:r w:rsidRPr="006B2EB7">
        <w:rPr>
          <w:rFonts w:ascii="Times New Roman" w:eastAsia="Calibri" w:hAnsi="Times New Roman" w:cs="Times New Roman"/>
          <w:color w:val="auto"/>
          <w:lang w:val="pt-BR" w:eastAsia="en-US"/>
        </w:rPr>
        <w:t xml:space="preserve">data </w:t>
      </w:r>
      <w:r>
        <w:rPr>
          <w:rFonts w:ascii="Times New Roman" w:eastAsia="Calibri" w:hAnsi="Times New Roman" w:cs="Times New Roman"/>
          <w:color w:val="auto"/>
          <w:lang w:val="pt-BR" w:eastAsia="en-US"/>
        </w:rPr>
        <w:t>coincidente</w:t>
      </w:r>
      <w:r w:rsidRPr="006B2EB7">
        <w:rPr>
          <w:rFonts w:ascii="Times New Roman" w:eastAsia="Calibri" w:hAnsi="Times New Roman" w:cs="Times New Roman"/>
          <w:color w:val="auto"/>
          <w:lang w:val="pt-BR" w:eastAsia="en-US"/>
        </w:rPr>
        <w:t xml:space="preserve"> com aquela</w:t>
      </w:r>
      <w:r>
        <w:rPr>
          <w:rFonts w:ascii="Times New Roman" w:eastAsia="Calibri" w:hAnsi="Times New Roman" w:cs="Times New Roman"/>
          <w:color w:val="auto"/>
          <w:lang w:val="pt-BR" w:eastAsia="en-US"/>
        </w:rPr>
        <w:t xml:space="preserve"> adotada pelo </w:t>
      </w:r>
      <w:r w:rsidRPr="006B2EB7">
        <w:rPr>
          <w:rFonts w:ascii="Times New Roman" w:eastAsia="Calibri" w:hAnsi="Times New Roman" w:cs="Times New Roman"/>
          <w:color w:val="auto"/>
          <w:lang w:val="pt-BR" w:eastAsia="en-US"/>
        </w:rPr>
        <w:t>S</w:t>
      </w:r>
      <w:r>
        <w:rPr>
          <w:rFonts w:ascii="Times New Roman" w:eastAsia="Calibri" w:hAnsi="Times New Roman" w:cs="Times New Roman"/>
          <w:color w:val="auto"/>
          <w:lang w:val="pt-BR" w:eastAsia="en-US"/>
        </w:rPr>
        <w:t xml:space="preserve">upremo </w:t>
      </w:r>
      <w:r w:rsidRPr="006B2EB7">
        <w:rPr>
          <w:rFonts w:ascii="Times New Roman" w:eastAsia="Calibri" w:hAnsi="Times New Roman" w:cs="Times New Roman"/>
          <w:color w:val="auto"/>
          <w:lang w:val="pt-BR" w:eastAsia="en-US"/>
        </w:rPr>
        <w:t>T</w:t>
      </w:r>
      <w:r>
        <w:rPr>
          <w:rFonts w:ascii="Times New Roman" w:eastAsia="Calibri" w:hAnsi="Times New Roman" w:cs="Times New Roman"/>
          <w:color w:val="auto"/>
          <w:lang w:val="pt-BR" w:eastAsia="en-US"/>
        </w:rPr>
        <w:t xml:space="preserve">ribunal </w:t>
      </w:r>
      <w:r w:rsidRPr="006B2EB7">
        <w:rPr>
          <w:rFonts w:ascii="Times New Roman" w:eastAsia="Calibri" w:hAnsi="Times New Roman" w:cs="Times New Roman"/>
          <w:color w:val="auto"/>
          <w:lang w:val="pt-BR" w:eastAsia="en-US"/>
        </w:rPr>
        <w:t>F</w:t>
      </w:r>
      <w:r>
        <w:rPr>
          <w:rFonts w:ascii="Times New Roman" w:eastAsia="Calibri" w:hAnsi="Times New Roman" w:cs="Times New Roman"/>
          <w:color w:val="auto"/>
          <w:lang w:val="pt-BR" w:eastAsia="en-US"/>
        </w:rPr>
        <w:t>ederal</w:t>
      </w:r>
      <w:r w:rsidRPr="006B2EB7">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no acórdão prolatado na ADI 4.357. De outra sorte, por unanimidade, </w:t>
      </w:r>
      <w:r w:rsidRPr="007C22A9">
        <w:rPr>
          <w:rFonts w:ascii="Times New Roman" w:eastAsia="Calibri" w:hAnsi="Times New Roman" w:cs="Times New Roman"/>
          <w:color w:val="auto"/>
          <w:lang w:val="pt-BR" w:eastAsia="en-US"/>
        </w:rPr>
        <w:t xml:space="preserve">em </w:t>
      </w:r>
      <w:r>
        <w:rPr>
          <w:rFonts w:ascii="Times New Roman" w:eastAsia="Calibri" w:hAnsi="Times New Roman" w:cs="Times New Roman"/>
          <w:color w:val="auto"/>
          <w:lang w:val="pt-BR" w:eastAsia="en-US"/>
        </w:rPr>
        <w:t xml:space="preserve">cumprimento à decisão </w:t>
      </w:r>
      <w:r w:rsidRPr="007C22A9">
        <w:rPr>
          <w:rFonts w:ascii="Times New Roman" w:eastAsia="Calibri" w:hAnsi="Times New Roman" w:cs="Times New Roman"/>
          <w:color w:val="auto"/>
          <w:lang w:val="pt-BR" w:eastAsia="en-US"/>
        </w:rPr>
        <w:t>liminar concedida</w:t>
      </w:r>
      <w:r>
        <w:rPr>
          <w:rFonts w:ascii="Times New Roman" w:eastAsia="Calibri" w:hAnsi="Times New Roman" w:cs="Times New Roman"/>
          <w:color w:val="auto"/>
          <w:lang w:val="pt-BR" w:eastAsia="en-US"/>
        </w:rPr>
        <w:t xml:space="preserve"> no processo STF-Rcl-22.012, rel. Min. D</w:t>
      </w:r>
      <w:r w:rsidRPr="007C22A9">
        <w:rPr>
          <w:rFonts w:ascii="Times New Roman" w:eastAsia="Calibri" w:hAnsi="Times New Roman" w:cs="Times New Roman"/>
          <w:color w:val="auto"/>
          <w:lang w:val="pt-BR" w:eastAsia="en-US"/>
        </w:rPr>
        <w:t>ias T</w:t>
      </w:r>
      <w:r>
        <w:rPr>
          <w:rFonts w:ascii="Times New Roman" w:eastAsia="Calibri" w:hAnsi="Times New Roman" w:cs="Times New Roman"/>
          <w:color w:val="auto"/>
          <w:lang w:val="pt-BR" w:eastAsia="en-US"/>
        </w:rPr>
        <w:t>o</w:t>
      </w:r>
      <w:r w:rsidRPr="007C22A9">
        <w:rPr>
          <w:rFonts w:ascii="Times New Roman" w:eastAsia="Calibri" w:hAnsi="Times New Roman" w:cs="Times New Roman"/>
          <w:color w:val="auto"/>
          <w:lang w:val="pt-BR" w:eastAsia="en-US"/>
        </w:rPr>
        <w:t xml:space="preserve">ffoli, </w:t>
      </w:r>
      <w:r>
        <w:rPr>
          <w:rFonts w:ascii="Times New Roman" w:eastAsia="Calibri" w:hAnsi="Times New Roman" w:cs="Times New Roman"/>
          <w:color w:val="auto"/>
          <w:lang w:val="pt-BR" w:eastAsia="en-US"/>
        </w:rPr>
        <w:t>o Pleno excluiu</w:t>
      </w:r>
      <w:r w:rsidRPr="007C22A9">
        <w:rPr>
          <w:rFonts w:ascii="Times New Roman" w:eastAsia="Calibri" w:hAnsi="Times New Roman" w:cs="Times New Roman"/>
          <w:color w:val="auto"/>
          <w:lang w:val="pt-BR" w:eastAsia="en-US"/>
        </w:rPr>
        <w:t xml:space="preserve"> a determinação contida na decisão embargada </w:t>
      </w:r>
      <w:r>
        <w:rPr>
          <w:rFonts w:ascii="Times New Roman" w:eastAsia="Calibri" w:hAnsi="Times New Roman" w:cs="Times New Roman"/>
          <w:color w:val="auto"/>
          <w:lang w:val="pt-BR" w:eastAsia="en-US"/>
        </w:rPr>
        <w:t>de</w:t>
      </w:r>
      <w:r w:rsidRPr="007C22A9">
        <w:rPr>
          <w:rFonts w:ascii="Times New Roman" w:eastAsia="Calibri" w:hAnsi="Times New Roman" w:cs="Times New Roman"/>
          <w:color w:val="auto"/>
          <w:lang w:val="pt-BR" w:eastAsia="en-US"/>
        </w:rPr>
        <w:t xml:space="preserve"> reedição da Tabela Única de cálculo de débitos trabalhistas, a fim de que fosse adotado o índice IPCA-E</w:t>
      </w:r>
      <w:r>
        <w:rPr>
          <w:rFonts w:ascii="Times New Roman" w:eastAsia="Calibri" w:hAnsi="Times New Roman" w:cs="Times New Roman"/>
          <w:color w:val="auto"/>
          <w:lang w:val="pt-BR" w:eastAsia="en-US"/>
        </w:rPr>
        <w:t>, visto que tal comando poderia significar a concessão de efeito “</w:t>
      </w:r>
      <w:r w:rsidRPr="007C22A9">
        <w:rPr>
          <w:rFonts w:ascii="Times New Roman" w:eastAsia="Calibri" w:hAnsi="Times New Roman" w:cs="Times New Roman"/>
          <w:color w:val="auto"/>
          <w:lang w:val="pt-BR" w:eastAsia="en-US"/>
        </w:rPr>
        <w:t>erga omnes</w:t>
      </w:r>
      <w:r>
        <w:rPr>
          <w:rFonts w:ascii="Times New Roman" w:eastAsia="Calibri" w:hAnsi="Times New Roman" w:cs="Times New Roman"/>
          <w:color w:val="auto"/>
          <w:lang w:val="pt-BR" w:eastAsia="en-US"/>
        </w:rPr>
        <w:t>”, o que não é o caso</w:t>
      </w:r>
      <w:r w:rsidRPr="007C22A9">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r w:rsidRPr="007C22A9">
        <w:rPr>
          <w:rFonts w:ascii="Times New Roman" w:eastAsia="Calibri" w:hAnsi="Times New Roman" w:cs="Times New Roman"/>
          <w:color w:val="auto"/>
          <w:lang w:val="pt-BR" w:eastAsia="en-US"/>
        </w:rPr>
        <w:t>Vencidos</w:t>
      </w:r>
      <w:r>
        <w:rPr>
          <w:rFonts w:ascii="Times New Roman" w:eastAsia="Calibri" w:hAnsi="Times New Roman" w:cs="Times New Roman"/>
          <w:color w:val="auto"/>
          <w:lang w:val="pt-BR" w:eastAsia="en-US"/>
        </w:rPr>
        <w:t>, totalmente,</w:t>
      </w:r>
      <w:r w:rsidRPr="007C22A9">
        <w:rPr>
          <w:rFonts w:ascii="Times New Roman" w:eastAsia="Calibri" w:hAnsi="Times New Roman" w:cs="Times New Roman"/>
          <w:color w:val="auto"/>
          <w:lang w:val="pt-BR" w:eastAsia="en-US"/>
        </w:rPr>
        <w:t xml:space="preserve"> os Ministros Maria de Assis Calsing, Antonio José de Barros Levenhagen, Maria Cristina Irigoyen Peduzzi, Dora Maria da Costa e Ives Gandra Martins Filho, que julgavam prejudic</w:t>
      </w:r>
      <w:r>
        <w:rPr>
          <w:rFonts w:ascii="Times New Roman" w:eastAsia="Calibri" w:hAnsi="Times New Roman" w:cs="Times New Roman"/>
          <w:color w:val="auto"/>
          <w:lang w:val="pt-BR" w:eastAsia="en-US"/>
        </w:rPr>
        <w:t xml:space="preserve">ados os embargos de declaração em razão da liminar deferida pelo STF e, </w:t>
      </w:r>
      <w:r w:rsidRPr="007C22A9">
        <w:rPr>
          <w:rFonts w:ascii="Times New Roman" w:eastAsia="Calibri" w:hAnsi="Times New Roman" w:cs="Times New Roman"/>
          <w:color w:val="auto"/>
          <w:lang w:val="pt-BR" w:eastAsia="en-US"/>
        </w:rPr>
        <w:t>parcialmente</w:t>
      </w:r>
      <w:r>
        <w:rPr>
          <w:rFonts w:ascii="Times New Roman" w:eastAsia="Calibri" w:hAnsi="Times New Roman" w:cs="Times New Roman"/>
          <w:color w:val="auto"/>
          <w:lang w:val="pt-BR" w:eastAsia="en-US"/>
        </w:rPr>
        <w:t xml:space="preserve">, </w:t>
      </w:r>
      <w:r w:rsidRPr="007C22A9">
        <w:rPr>
          <w:rFonts w:ascii="Times New Roman" w:eastAsia="Calibri" w:hAnsi="Times New Roman" w:cs="Times New Roman"/>
          <w:color w:val="auto"/>
          <w:lang w:val="pt-BR" w:eastAsia="en-US"/>
        </w:rPr>
        <w:t>o Ministro Brito Pereira</w:t>
      </w:r>
      <w:r>
        <w:rPr>
          <w:rFonts w:ascii="Times New Roman" w:eastAsia="Calibri" w:hAnsi="Times New Roman" w:cs="Times New Roman"/>
          <w:color w:val="auto"/>
          <w:lang w:val="pt-BR" w:eastAsia="en-US"/>
        </w:rPr>
        <w:t>,</w:t>
      </w:r>
      <w:r w:rsidRPr="007C22A9">
        <w:rPr>
          <w:rFonts w:ascii="Times New Roman" w:eastAsia="Calibri" w:hAnsi="Times New Roman" w:cs="Times New Roman"/>
          <w:color w:val="auto"/>
          <w:lang w:val="pt-BR" w:eastAsia="en-US"/>
        </w:rPr>
        <w:t xml:space="preserve"> que acolhia os embargos declaratórios para prestar esclarecimentos, sem modular os efeitos da decisão.</w:t>
      </w:r>
      <w:r w:rsidRPr="007A0AC5">
        <w:rPr>
          <w:rFonts w:ascii="Times New Roman" w:eastAsia="Calibri" w:hAnsi="Times New Roman" w:cs="Times New Roman"/>
          <w:color w:val="auto"/>
          <w:lang w:val="pt-BR" w:eastAsia="en-US"/>
        </w:rPr>
        <w:t xml:space="preserve"> </w:t>
      </w:r>
      <w:hyperlink r:id="rId9" w:history="1">
        <w:r w:rsidRPr="00EA10DA">
          <w:rPr>
            <w:rStyle w:val="Hyperlink"/>
            <w:rFonts w:ascii="Times New Roman" w:hAnsi="Times New Roman" w:cs="Courier New"/>
            <w:lang w:val="pt-BR"/>
          </w:rPr>
          <w:t>TST-ED-ArgInc-479-60.2011.5.04.0231</w:t>
        </w:r>
      </w:hyperlink>
      <w:r w:rsidRPr="007A0AC5">
        <w:rPr>
          <w:rFonts w:ascii="Times New Roman" w:hAnsi="Times New Roman"/>
          <w:u w:val="single"/>
          <w:lang w:val="pt-BR"/>
        </w:rPr>
        <w:t>,</w:t>
      </w:r>
      <w:r>
        <w:rPr>
          <w:rFonts w:ascii="Times New Roman" w:hAnsi="Times New Roman"/>
          <w:u w:val="single"/>
          <w:lang w:val="pt-BR"/>
        </w:rPr>
        <w:t xml:space="preserve"> Tribunal</w:t>
      </w:r>
      <w:r w:rsidRPr="007A0AC5">
        <w:rPr>
          <w:rFonts w:ascii="Times New Roman" w:hAnsi="Times New Roman"/>
          <w:u w:val="single"/>
          <w:lang w:val="pt-BR"/>
        </w:rPr>
        <w:t xml:space="preserve"> </w:t>
      </w:r>
      <w:r>
        <w:rPr>
          <w:rFonts w:ascii="Times New Roman" w:hAnsi="Times New Roman"/>
          <w:u w:val="single"/>
          <w:lang w:val="pt-BR"/>
        </w:rPr>
        <w:t>Pleno</w:t>
      </w:r>
      <w:r w:rsidRPr="007A0AC5">
        <w:rPr>
          <w:rFonts w:ascii="Times New Roman" w:hAnsi="Times New Roman"/>
          <w:u w:val="single"/>
          <w:lang w:val="pt-BR"/>
        </w:rPr>
        <w:t xml:space="preserve">, </w:t>
      </w:r>
      <w:r>
        <w:rPr>
          <w:rFonts w:ascii="Times New Roman" w:hAnsi="Times New Roman"/>
          <w:u w:val="single"/>
          <w:lang w:val="pt-BR"/>
        </w:rPr>
        <w:t>r</w:t>
      </w:r>
      <w:r w:rsidRPr="007A0AC5">
        <w:rPr>
          <w:rFonts w:ascii="Times New Roman" w:hAnsi="Times New Roman"/>
          <w:u w:val="single"/>
          <w:lang w:val="pt-BR"/>
        </w:rPr>
        <w:t xml:space="preserve">el. Min. </w:t>
      </w:r>
      <w:r>
        <w:rPr>
          <w:rFonts w:ascii="Times New Roman" w:hAnsi="Times New Roman"/>
          <w:u w:val="single"/>
          <w:lang w:val="pt-BR"/>
        </w:rPr>
        <w:t>Cláudio Mascarenhas Brandão</w:t>
      </w:r>
      <w:r w:rsidRPr="007A0AC5">
        <w:rPr>
          <w:rFonts w:ascii="Times New Roman" w:hAnsi="Times New Roman"/>
          <w:u w:val="single"/>
          <w:lang w:val="pt-BR"/>
        </w:rPr>
        <w:t>, 20.</w:t>
      </w:r>
      <w:r>
        <w:rPr>
          <w:rFonts w:ascii="Times New Roman" w:hAnsi="Times New Roman"/>
          <w:u w:val="single"/>
          <w:lang w:val="pt-BR"/>
        </w:rPr>
        <w:t>3</w:t>
      </w:r>
      <w:r w:rsidRPr="007A0AC5">
        <w:rPr>
          <w:rFonts w:ascii="Times New Roman" w:hAnsi="Times New Roman"/>
          <w:u w:val="single"/>
          <w:lang w:val="pt-BR"/>
        </w:rPr>
        <w:t>.2017</w:t>
      </w:r>
    </w:p>
    <w:p w:rsidR="00F13A96" w:rsidRPr="00F13A96" w:rsidRDefault="00F13A96" w:rsidP="00F13A96">
      <w:pPr>
        <w:jc w:val="both"/>
        <w:rPr>
          <w:bCs/>
          <w:u w:val="single"/>
        </w:rPr>
      </w:pPr>
    </w:p>
    <w:p w:rsidR="00063834" w:rsidRPr="00F605DD" w:rsidRDefault="00063834" w:rsidP="0006383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F605DD">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052550" w:rsidRDefault="00052550" w:rsidP="009D10FB">
      <w:pPr>
        <w:jc w:val="both"/>
        <w:rPr>
          <w:u w:val="single"/>
        </w:rPr>
      </w:pPr>
    </w:p>
    <w:p w:rsidR="00963D6F" w:rsidRDefault="00963D6F" w:rsidP="00963D6F">
      <w:pPr>
        <w:jc w:val="both"/>
        <w:rPr>
          <w:sz w:val="24"/>
          <w:szCs w:val="24"/>
        </w:rPr>
      </w:pPr>
      <w:r>
        <w:rPr>
          <w:b/>
          <w:i/>
          <w:sz w:val="24"/>
          <w:szCs w:val="24"/>
        </w:rPr>
        <w:t>Negativa de prestação jurisdicional alegada em recurso de revista.</w:t>
      </w:r>
      <w:r w:rsidRPr="00AF43E4">
        <w:rPr>
          <w:b/>
          <w:i/>
          <w:sz w:val="24"/>
          <w:szCs w:val="24"/>
        </w:rPr>
        <w:t xml:space="preserve"> </w:t>
      </w:r>
      <w:r>
        <w:rPr>
          <w:b/>
          <w:i/>
          <w:sz w:val="24"/>
          <w:szCs w:val="24"/>
        </w:rPr>
        <w:t xml:space="preserve"> C</w:t>
      </w:r>
      <w:r w:rsidRPr="00265FE3">
        <w:rPr>
          <w:b/>
          <w:i/>
          <w:sz w:val="24"/>
          <w:szCs w:val="24"/>
        </w:rPr>
        <w:t>umprimento do disposto no art</w:t>
      </w:r>
      <w:r>
        <w:rPr>
          <w:b/>
          <w:i/>
          <w:sz w:val="24"/>
          <w:szCs w:val="24"/>
        </w:rPr>
        <w:t xml:space="preserve">. </w:t>
      </w:r>
      <w:r w:rsidRPr="00265FE3">
        <w:rPr>
          <w:b/>
          <w:i/>
          <w:sz w:val="24"/>
          <w:szCs w:val="24"/>
        </w:rPr>
        <w:t>896, § 1º-</w:t>
      </w:r>
      <w:r>
        <w:rPr>
          <w:b/>
          <w:i/>
          <w:sz w:val="24"/>
          <w:szCs w:val="24"/>
        </w:rPr>
        <w:t>A</w:t>
      </w:r>
      <w:r w:rsidRPr="00265FE3">
        <w:rPr>
          <w:b/>
          <w:i/>
          <w:sz w:val="24"/>
          <w:szCs w:val="24"/>
        </w:rPr>
        <w:t>,</w:t>
      </w:r>
      <w:r>
        <w:rPr>
          <w:b/>
          <w:i/>
          <w:sz w:val="24"/>
          <w:szCs w:val="24"/>
        </w:rPr>
        <w:t xml:space="preserve"> I</w:t>
      </w:r>
      <w:r w:rsidRPr="00265FE3">
        <w:rPr>
          <w:b/>
          <w:i/>
          <w:sz w:val="24"/>
          <w:szCs w:val="24"/>
        </w:rPr>
        <w:t xml:space="preserve">, da </w:t>
      </w:r>
      <w:r>
        <w:rPr>
          <w:b/>
          <w:i/>
          <w:sz w:val="24"/>
          <w:szCs w:val="24"/>
        </w:rPr>
        <w:t xml:space="preserve">CLT. Transcrição do </w:t>
      </w:r>
      <w:r w:rsidRPr="00265FE3">
        <w:rPr>
          <w:b/>
          <w:i/>
          <w:sz w:val="24"/>
          <w:szCs w:val="24"/>
        </w:rPr>
        <w:t xml:space="preserve">trecho dos </w:t>
      </w:r>
      <w:r>
        <w:rPr>
          <w:b/>
          <w:i/>
          <w:sz w:val="24"/>
          <w:szCs w:val="24"/>
        </w:rPr>
        <w:t>e</w:t>
      </w:r>
      <w:r w:rsidRPr="00265FE3">
        <w:rPr>
          <w:b/>
          <w:i/>
          <w:sz w:val="24"/>
          <w:szCs w:val="24"/>
        </w:rPr>
        <w:t xml:space="preserve">mbargos de </w:t>
      </w:r>
      <w:r>
        <w:rPr>
          <w:b/>
          <w:i/>
          <w:sz w:val="24"/>
          <w:szCs w:val="24"/>
        </w:rPr>
        <w:t>d</w:t>
      </w:r>
      <w:r w:rsidRPr="00265FE3">
        <w:rPr>
          <w:b/>
          <w:i/>
          <w:sz w:val="24"/>
          <w:szCs w:val="24"/>
        </w:rPr>
        <w:t>eclaração</w:t>
      </w:r>
      <w:r>
        <w:rPr>
          <w:b/>
          <w:i/>
          <w:sz w:val="24"/>
          <w:szCs w:val="24"/>
        </w:rPr>
        <w:t xml:space="preserve"> e do acórdão que os julgou. Necessidade. Princípios da </w:t>
      </w:r>
      <w:r w:rsidRPr="00265FE3">
        <w:rPr>
          <w:b/>
          <w:i/>
          <w:sz w:val="24"/>
          <w:szCs w:val="24"/>
        </w:rPr>
        <w:t>impugnação específica e da dialeticidade recursal</w:t>
      </w:r>
      <w:r>
        <w:rPr>
          <w:b/>
          <w:i/>
          <w:sz w:val="24"/>
          <w:szCs w:val="24"/>
        </w:rPr>
        <w:t>.</w:t>
      </w:r>
    </w:p>
    <w:p w:rsidR="00963D6F" w:rsidRPr="00A742B7" w:rsidRDefault="00963D6F" w:rsidP="00963D6F">
      <w:pPr>
        <w:jc w:val="both"/>
        <w:rPr>
          <w:sz w:val="24"/>
          <w:szCs w:val="24"/>
        </w:rPr>
      </w:pPr>
      <w:r>
        <w:rPr>
          <w:sz w:val="24"/>
          <w:szCs w:val="24"/>
        </w:rPr>
        <w:t>N</w:t>
      </w:r>
      <w:r w:rsidRPr="00BF0B96">
        <w:rPr>
          <w:sz w:val="24"/>
          <w:szCs w:val="24"/>
        </w:rPr>
        <w:t>os casos em que a parte busca</w:t>
      </w:r>
      <w:r>
        <w:rPr>
          <w:sz w:val="24"/>
          <w:szCs w:val="24"/>
        </w:rPr>
        <w:t xml:space="preserve"> </w:t>
      </w:r>
      <w:r w:rsidRPr="00BF0B96">
        <w:rPr>
          <w:sz w:val="24"/>
          <w:szCs w:val="24"/>
        </w:rPr>
        <w:t>o reconhecimento da negativa de prestação jurisdicional</w:t>
      </w:r>
      <w:r>
        <w:rPr>
          <w:sz w:val="24"/>
          <w:szCs w:val="24"/>
        </w:rPr>
        <w:t xml:space="preserve"> </w:t>
      </w:r>
      <w:r w:rsidRPr="00190440">
        <w:rPr>
          <w:sz w:val="24"/>
          <w:szCs w:val="24"/>
        </w:rPr>
        <w:t xml:space="preserve">no </w:t>
      </w:r>
      <w:r>
        <w:rPr>
          <w:sz w:val="24"/>
          <w:szCs w:val="24"/>
        </w:rPr>
        <w:t>r</w:t>
      </w:r>
      <w:r w:rsidRPr="00190440">
        <w:rPr>
          <w:sz w:val="24"/>
          <w:szCs w:val="24"/>
        </w:rPr>
        <w:t xml:space="preserve">ecurso de </w:t>
      </w:r>
      <w:r>
        <w:rPr>
          <w:sz w:val="24"/>
          <w:szCs w:val="24"/>
        </w:rPr>
        <w:t>r</w:t>
      </w:r>
      <w:r w:rsidRPr="00190440">
        <w:rPr>
          <w:sz w:val="24"/>
          <w:szCs w:val="24"/>
        </w:rPr>
        <w:t>evista</w:t>
      </w:r>
      <w:r>
        <w:rPr>
          <w:sz w:val="24"/>
          <w:szCs w:val="24"/>
        </w:rPr>
        <w:t xml:space="preserve">, exige-se, com fulcro no artigo 896, §1º-A, I, da CLT, </w:t>
      </w:r>
      <w:r w:rsidRPr="00BF0B96">
        <w:rPr>
          <w:sz w:val="24"/>
          <w:szCs w:val="24"/>
        </w:rPr>
        <w:t xml:space="preserve">a transcrição do trecho dos </w:t>
      </w:r>
      <w:r>
        <w:rPr>
          <w:sz w:val="24"/>
          <w:szCs w:val="24"/>
        </w:rPr>
        <w:t>e</w:t>
      </w:r>
      <w:r w:rsidRPr="00BF0B96">
        <w:rPr>
          <w:sz w:val="24"/>
          <w:szCs w:val="24"/>
        </w:rPr>
        <w:t xml:space="preserve">mbargos </w:t>
      </w:r>
      <w:r>
        <w:rPr>
          <w:sz w:val="24"/>
          <w:szCs w:val="24"/>
        </w:rPr>
        <w:t xml:space="preserve">de declaração </w:t>
      </w:r>
      <w:r w:rsidRPr="00BF0B96">
        <w:rPr>
          <w:sz w:val="24"/>
          <w:szCs w:val="24"/>
        </w:rPr>
        <w:t>em que a parte</w:t>
      </w:r>
      <w:r>
        <w:rPr>
          <w:sz w:val="24"/>
          <w:szCs w:val="24"/>
        </w:rPr>
        <w:t>, de forma inequívoca,</w:t>
      </w:r>
      <w:r w:rsidRPr="00BF0B96">
        <w:rPr>
          <w:sz w:val="24"/>
          <w:szCs w:val="24"/>
        </w:rPr>
        <w:t xml:space="preserve"> provoca o Tribunal</w:t>
      </w:r>
      <w:r>
        <w:rPr>
          <w:sz w:val="24"/>
          <w:szCs w:val="24"/>
        </w:rPr>
        <w:t xml:space="preserve"> Regional a se manifestar sobre determinada matéria e, em consequência o acórdão prolatado no julgamento dos aludidos embargos. Tal exigência </w:t>
      </w:r>
      <w:r w:rsidRPr="00422768">
        <w:rPr>
          <w:sz w:val="24"/>
          <w:szCs w:val="24"/>
        </w:rPr>
        <w:t>representa a materialização dos princípios da impugnação específica e</w:t>
      </w:r>
      <w:r>
        <w:rPr>
          <w:sz w:val="24"/>
          <w:szCs w:val="24"/>
        </w:rPr>
        <w:t xml:space="preserve"> da</w:t>
      </w:r>
      <w:r w:rsidRPr="00422768">
        <w:rPr>
          <w:sz w:val="24"/>
          <w:szCs w:val="24"/>
        </w:rPr>
        <w:t xml:space="preserve"> dialeticidade recursal, pois objetiva evitar que seja do órgão julgador a tarefa de interpretar a decisão impugnada, para deduzir a tese nela veiculada e a fundamentação que ampara a pretensão </w:t>
      </w:r>
      <w:r>
        <w:rPr>
          <w:sz w:val="24"/>
          <w:szCs w:val="24"/>
        </w:rPr>
        <w:t>quanto</w:t>
      </w:r>
      <w:r w:rsidRPr="00422768">
        <w:rPr>
          <w:sz w:val="24"/>
          <w:szCs w:val="24"/>
        </w:rPr>
        <w:t xml:space="preserve"> ao atendimento dos pressupostos singulares do recurso interposto</w:t>
      </w:r>
      <w:r>
        <w:rPr>
          <w:sz w:val="24"/>
          <w:szCs w:val="24"/>
        </w:rPr>
        <w:t>, notadamente quanto à indicação</w:t>
      </w:r>
      <w:r w:rsidRPr="00466622">
        <w:rPr>
          <w:sz w:val="24"/>
          <w:szCs w:val="24"/>
        </w:rPr>
        <w:t xml:space="preserve"> </w:t>
      </w:r>
      <w:r>
        <w:rPr>
          <w:sz w:val="24"/>
          <w:szCs w:val="24"/>
        </w:rPr>
        <w:t>d</w:t>
      </w:r>
      <w:r w:rsidRPr="00466622">
        <w:rPr>
          <w:sz w:val="24"/>
          <w:szCs w:val="24"/>
        </w:rPr>
        <w:t>o trecho da decisão recorrida que consubstancia o prequestionamento da controvérsia</w:t>
      </w:r>
      <w:r w:rsidRPr="00422768">
        <w:rPr>
          <w:sz w:val="24"/>
          <w:szCs w:val="24"/>
        </w:rPr>
        <w:t>.</w:t>
      </w:r>
      <w:r>
        <w:rPr>
          <w:sz w:val="24"/>
          <w:szCs w:val="24"/>
        </w:rPr>
        <w:t xml:space="preserve"> </w:t>
      </w:r>
      <w:r w:rsidRPr="007D253C">
        <w:rPr>
          <w:sz w:val="24"/>
          <w:szCs w:val="24"/>
        </w:rPr>
        <w:t xml:space="preserve">Sob esses fundamentos, </w:t>
      </w:r>
      <w:r w:rsidRPr="00041B7F">
        <w:rPr>
          <w:sz w:val="24"/>
          <w:szCs w:val="24"/>
        </w:rPr>
        <w:t xml:space="preserve">a </w:t>
      </w:r>
      <w:r>
        <w:rPr>
          <w:sz w:val="24"/>
          <w:szCs w:val="24"/>
        </w:rPr>
        <w:t>SBDI-I, em sua composição plena,</w:t>
      </w:r>
      <w:r w:rsidRPr="00C72F2E">
        <w:rPr>
          <w:sz w:val="24"/>
          <w:szCs w:val="24"/>
        </w:rPr>
        <w:t xml:space="preserve"> </w:t>
      </w:r>
      <w:r>
        <w:rPr>
          <w:sz w:val="24"/>
          <w:szCs w:val="24"/>
        </w:rPr>
        <w:t>decidiu</w:t>
      </w:r>
      <w:r w:rsidRPr="00041B7F">
        <w:rPr>
          <w:sz w:val="24"/>
          <w:szCs w:val="24"/>
        </w:rPr>
        <w:t xml:space="preserve">, </w:t>
      </w:r>
      <w:r w:rsidRPr="00F1541D">
        <w:rPr>
          <w:sz w:val="24"/>
          <w:szCs w:val="24"/>
        </w:rPr>
        <w:t>pelo voto prevalente da Presidência, conhecer do recurso de embargos, por divergência jurisprudencial, e, no mérito, negar-lhe provimento</w:t>
      </w:r>
      <w:r>
        <w:rPr>
          <w:sz w:val="24"/>
          <w:szCs w:val="24"/>
        </w:rPr>
        <w:t>.</w:t>
      </w:r>
      <w:r w:rsidRPr="00F1541D">
        <w:rPr>
          <w:sz w:val="24"/>
          <w:szCs w:val="24"/>
        </w:rPr>
        <w:t xml:space="preserve"> </w:t>
      </w:r>
      <w:r>
        <w:rPr>
          <w:sz w:val="24"/>
          <w:szCs w:val="24"/>
        </w:rPr>
        <w:t>V</w:t>
      </w:r>
      <w:r w:rsidRPr="00F1541D">
        <w:rPr>
          <w:sz w:val="24"/>
          <w:szCs w:val="24"/>
        </w:rPr>
        <w:t>encidos os Ministros João Oreste Dalazen,</w:t>
      </w:r>
      <w:r>
        <w:rPr>
          <w:sz w:val="24"/>
          <w:szCs w:val="24"/>
        </w:rPr>
        <w:t xml:space="preserve"> </w:t>
      </w:r>
      <w:r w:rsidRPr="00F1541D">
        <w:rPr>
          <w:sz w:val="24"/>
          <w:szCs w:val="24"/>
        </w:rPr>
        <w:t>José Roberto Freire Pimenta, Renato de Lacerda Paiva, Emmanoel Pereira, Márcio Eurico Vitral Amaro, Augusto César Leite de Carvalho e A</w:t>
      </w:r>
      <w:r>
        <w:rPr>
          <w:sz w:val="24"/>
          <w:szCs w:val="24"/>
        </w:rPr>
        <w:t xml:space="preserve">lexandre de Souza Agra Belmonte, os quais proviam os embargos sob o </w:t>
      </w:r>
      <w:r>
        <w:rPr>
          <w:sz w:val="24"/>
          <w:szCs w:val="24"/>
        </w:rPr>
        <w:lastRenderedPageBreak/>
        <w:t>entendimento de que é prescindível</w:t>
      </w:r>
      <w:r w:rsidRPr="00265FE3">
        <w:rPr>
          <w:sz w:val="24"/>
          <w:szCs w:val="24"/>
        </w:rPr>
        <w:t xml:space="preserve"> a demonstração do prequestionamento</w:t>
      </w:r>
      <w:r>
        <w:rPr>
          <w:sz w:val="24"/>
          <w:szCs w:val="24"/>
        </w:rPr>
        <w:t xml:space="preserve"> </w:t>
      </w:r>
      <w:r w:rsidRPr="00265FE3">
        <w:rPr>
          <w:sz w:val="24"/>
          <w:szCs w:val="24"/>
        </w:rPr>
        <w:t xml:space="preserve">no caso de preliminar </w:t>
      </w:r>
      <w:r>
        <w:rPr>
          <w:sz w:val="24"/>
          <w:szCs w:val="24"/>
        </w:rPr>
        <w:t xml:space="preserve">de </w:t>
      </w:r>
      <w:r w:rsidRPr="00265FE3">
        <w:rPr>
          <w:sz w:val="24"/>
          <w:szCs w:val="24"/>
        </w:rPr>
        <w:t>nulidade decorrente de suposta negativa de prestação jurisdicional</w:t>
      </w:r>
      <w:r>
        <w:rPr>
          <w:sz w:val="24"/>
          <w:szCs w:val="24"/>
        </w:rPr>
        <w:t xml:space="preserve">. </w:t>
      </w:r>
      <w:hyperlink r:id="rId10" w:history="1">
        <w:r w:rsidRPr="00EA10DA">
          <w:rPr>
            <w:rStyle w:val="Hyperlink"/>
            <w:sz w:val="24"/>
            <w:szCs w:val="24"/>
          </w:rPr>
          <w:t>TST-E-RR-1522-62.2013.5.15.0067</w:t>
        </w:r>
      </w:hyperlink>
      <w:r w:rsidRPr="007D253C">
        <w:rPr>
          <w:sz w:val="24"/>
          <w:szCs w:val="24"/>
          <w:u w:val="single"/>
        </w:rPr>
        <w:t xml:space="preserve">, </w:t>
      </w:r>
      <w:r>
        <w:rPr>
          <w:sz w:val="24"/>
          <w:szCs w:val="24"/>
          <w:u w:val="single"/>
        </w:rPr>
        <w:t>SBDI-I</w:t>
      </w:r>
      <w:r w:rsidRPr="007D253C">
        <w:rPr>
          <w:sz w:val="24"/>
          <w:szCs w:val="24"/>
          <w:u w:val="single"/>
        </w:rPr>
        <w:t>, rel. Min.</w:t>
      </w:r>
      <w:r>
        <w:rPr>
          <w:sz w:val="24"/>
          <w:szCs w:val="24"/>
          <w:u w:val="single"/>
        </w:rPr>
        <w:t xml:space="preserve"> </w:t>
      </w:r>
      <w:r w:rsidRPr="003F06B0">
        <w:rPr>
          <w:sz w:val="24"/>
          <w:szCs w:val="24"/>
          <w:u w:val="single"/>
        </w:rPr>
        <w:t>Cláudio Mascarenhas Brandão</w:t>
      </w:r>
      <w:r w:rsidRPr="007D253C">
        <w:rPr>
          <w:sz w:val="24"/>
          <w:szCs w:val="24"/>
          <w:u w:val="single"/>
        </w:rPr>
        <w:t xml:space="preserve">, </w:t>
      </w:r>
      <w:r>
        <w:rPr>
          <w:sz w:val="24"/>
          <w:szCs w:val="24"/>
          <w:u w:val="single"/>
        </w:rPr>
        <w:t>16.3</w:t>
      </w:r>
      <w:r w:rsidRPr="00A742B7">
        <w:rPr>
          <w:sz w:val="24"/>
          <w:szCs w:val="24"/>
          <w:u w:val="single"/>
        </w:rPr>
        <w:t>.2017</w:t>
      </w:r>
      <w:r w:rsidRPr="00A742B7">
        <w:rPr>
          <w:sz w:val="24"/>
          <w:szCs w:val="24"/>
        </w:rPr>
        <w:t xml:space="preserve"> </w:t>
      </w:r>
    </w:p>
    <w:p w:rsidR="00963D6F" w:rsidRDefault="00963D6F" w:rsidP="009D10FB">
      <w:pPr>
        <w:jc w:val="both"/>
        <w:rPr>
          <w:u w:val="single"/>
        </w:rPr>
      </w:pPr>
    </w:p>
    <w:p w:rsidR="00963D6F" w:rsidRDefault="00963D6F" w:rsidP="00963D6F">
      <w:pPr>
        <w:jc w:val="both"/>
        <w:rPr>
          <w:b/>
          <w:i/>
          <w:sz w:val="24"/>
          <w:szCs w:val="24"/>
        </w:rPr>
      </w:pPr>
      <w:r>
        <w:rPr>
          <w:b/>
          <w:i/>
          <w:sz w:val="24"/>
          <w:szCs w:val="24"/>
        </w:rPr>
        <w:t>Dano moral</w:t>
      </w:r>
      <w:r w:rsidRPr="00B4525E">
        <w:rPr>
          <w:b/>
          <w:i/>
          <w:sz w:val="24"/>
          <w:szCs w:val="24"/>
        </w:rPr>
        <w:t xml:space="preserve">. </w:t>
      </w:r>
      <w:r>
        <w:rPr>
          <w:b/>
          <w:i/>
          <w:sz w:val="24"/>
          <w:szCs w:val="24"/>
        </w:rPr>
        <w:t xml:space="preserve">Configuração. Doença adquirida em razão das atividades desempenhadas. Moléstia não incapacitante. Indenização devida. </w:t>
      </w:r>
    </w:p>
    <w:p w:rsidR="00963D6F" w:rsidRPr="001A507F" w:rsidRDefault="00963D6F" w:rsidP="00963D6F">
      <w:pPr>
        <w:jc w:val="both"/>
        <w:rPr>
          <w:sz w:val="24"/>
          <w:szCs w:val="24"/>
        </w:rPr>
      </w:pPr>
      <w:r>
        <w:rPr>
          <w:sz w:val="24"/>
          <w:szCs w:val="24"/>
        </w:rPr>
        <w:t>A SBDI-I, por maioria, conheceu dos embargos, por divergência jurisprudencial, e, no mérito, negou-lhes provimento para manter a decisão turmária que condenara a reclamada ao pagamento de indenização por danos morais no valor de R$ 15.000.00. Na hipótese, restou incontroverso que a patologia adquirida pelo empregado (tendinopatia do supraespinhoso/síndrome do impacto) teve origem na atividade desempenhada para a empresa reclamada (desossa na área de dianteiro e traseiro), sendo irrelevante, para a configuração do dano moral, o fato de a doença adquirida não ter causado incapacidade laborativa para as funções exercidas. A responsabilidade civil do empregador por dano moral em casos de doença deve resultar da análise independente entre a legislação civil e a previdenciária. Segundo o art. 186 do Código Civil, aquele que por conduta ativa, omissiva, negligente ou imprudente viole direito e cause dano a outrem, ainda que exclusivamente moral, comete ato ilícito e, por conseguinte, tem o dever de indenizar. Assim, a despeito do art. 20 da Lei nº 8.213/1991 equiparar as moléstias profissionais ao acidente de trabalho apenas quando houver incapacidade laborativa, tal conclusão não afasta a caracterização do dano moral, pois patente a lesão à saúde do empregado advinda do exercício da atividade profissional. V</w:t>
      </w:r>
      <w:r w:rsidRPr="00C14423">
        <w:rPr>
          <w:sz w:val="24"/>
          <w:szCs w:val="24"/>
        </w:rPr>
        <w:t>encidos os Ministros Márcio Eurico Vitral Amaro, relator, Ives Gandra Martins Filho e Aloysio Corrêa da Veiga</w:t>
      </w:r>
      <w:r>
        <w:rPr>
          <w:sz w:val="24"/>
          <w:szCs w:val="24"/>
        </w:rPr>
        <w:t xml:space="preserve">, os quais conheciam e proviam os embargos ao fundamento de que a ausência de incapacidade laborativa afasta o direito à indenização por dano moral. </w:t>
      </w:r>
      <w:hyperlink r:id="rId11" w:history="1">
        <w:r w:rsidRPr="00EA10DA">
          <w:rPr>
            <w:rStyle w:val="Hyperlink"/>
            <w:sz w:val="24"/>
            <w:szCs w:val="24"/>
          </w:rPr>
          <w:t>TST-E-ED-RR-641-74.2012.5.24.0001</w:t>
        </w:r>
      </w:hyperlink>
      <w:r>
        <w:rPr>
          <w:sz w:val="24"/>
          <w:szCs w:val="24"/>
          <w:u w:val="single"/>
        </w:rPr>
        <w:t>, SBDI-I, rel. Min. Márcio Eurico Vitral Amaro, red</w:t>
      </w:r>
      <w:r w:rsidRPr="00B4525E">
        <w:rPr>
          <w:sz w:val="24"/>
          <w:szCs w:val="24"/>
          <w:u w:val="single"/>
        </w:rPr>
        <w:t>.</w:t>
      </w:r>
      <w:r>
        <w:rPr>
          <w:sz w:val="24"/>
          <w:szCs w:val="24"/>
          <w:u w:val="single"/>
        </w:rPr>
        <w:t xml:space="preserve"> p/ acórdão</w:t>
      </w:r>
      <w:r w:rsidRPr="00B4525E">
        <w:rPr>
          <w:sz w:val="24"/>
          <w:szCs w:val="24"/>
          <w:u w:val="single"/>
        </w:rPr>
        <w:t xml:space="preserve"> Min.</w:t>
      </w:r>
      <w:r>
        <w:rPr>
          <w:sz w:val="24"/>
          <w:szCs w:val="24"/>
          <w:u w:val="single"/>
        </w:rPr>
        <w:t xml:space="preserve"> José Roberto Freire Pimenta</w:t>
      </w:r>
      <w:r w:rsidRPr="00B4525E">
        <w:rPr>
          <w:sz w:val="24"/>
          <w:szCs w:val="24"/>
          <w:u w:val="single"/>
        </w:rPr>
        <w:t xml:space="preserve">, </w:t>
      </w:r>
      <w:r>
        <w:rPr>
          <w:sz w:val="24"/>
          <w:szCs w:val="24"/>
          <w:u w:val="single"/>
        </w:rPr>
        <w:t>23.3.2017</w:t>
      </w:r>
    </w:p>
    <w:p w:rsidR="00963D6F" w:rsidRPr="00963D6F" w:rsidRDefault="00963D6F" w:rsidP="00F13A96">
      <w:pPr>
        <w:contextualSpacing/>
        <w:jc w:val="both"/>
        <w:rPr>
          <w:rFonts w:eastAsia="Calibri"/>
          <w:u w:val="single"/>
        </w:rPr>
      </w:pPr>
    </w:p>
    <w:p w:rsidR="00963D6F" w:rsidRPr="00963D6F" w:rsidRDefault="00963D6F" w:rsidP="00963D6F">
      <w:pPr>
        <w:jc w:val="both"/>
        <w:rPr>
          <w:b/>
          <w:i/>
          <w:sz w:val="24"/>
          <w:szCs w:val="24"/>
        </w:rPr>
      </w:pPr>
      <w:r w:rsidRPr="00963D6F">
        <w:rPr>
          <w:b/>
          <w:i/>
          <w:sz w:val="24"/>
          <w:szCs w:val="24"/>
        </w:rPr>
        <w:t xml:space="preserve">Embargos. Interposição em face de decisão que refuta juízo de retratação. Não cabimento. </w:t>
      </w:r>
    </w:p>
    <w:p w:rsidR="00963D6F" w:rsidRPr="00963D6F" w:rsidRDefault="00963D6F" w:rsidP="00963D6F">
      <w:pPr>
        <w:jc w:val="both"/>
        <w:rPr>
          <w:sz w:val="24"/>
          <w:szCs w:val="24"/>
          <w:u w:val="single"/>
        </w:rPr>
      </w:pPr>
      <w:r w:rsidRPr="00963D6F">
        <w:rPr>
          <w:sz w:val="24"/>
          <w:szCs w:val="24"/>
        </w:rPr>
        <w:t xml:space="preserve">É incabível recurso de embargos contra decisão de Turma do Tribunal Superior do Trabalho que refuta juízo de retratação, admitindo-se apenas a devolução dos autos à Vice-Presidência do TST para análise do juízo de admissibilidade do recurso extraordinário, nos termos da alínea “c” do inciso V do art. 1.030 do CPC de 2015. No caso, a Oitava Turma deu provimento ao recurso de revista da reclamada, entendendo válida a dispensa imotivada de empregado de sociedade de economia mista. Após a apreciação da matéria sobrestada pelo Supremo Tribunal Federal, os autos retornaram à Turma, que não exerceu o juízo de retratação ao argumento de que a decisão do STF que reconheceu a impossibilidade de dispensa imotivada de empregado público alcança apenas a Empresa de Correios e Telégrafos - ECT. Sob esses fundamentos, a SBDI-I, por unanimidade, não conheceu dos embargos, determinando o retorno dos autos à Vice-Presidência para exercer o juízo de admissibilidade do recurso extraordinário como entender de direito. </w:t>
      </w:r>
      <w:hyperlink r:id="rId12" w:history="1">
        <w:r w:rsidRPr="00EA10DA">
          <w:rPr>
            <w:rStyle w:val="Hyperlink"/>
            <w:sz w:val="24"/>
            <w:szCs w:val="24"/>
          </w:rPr>
          <w:t>TST-E-RR-125700-85.2007.5.05.0192</w:t>
        </w:r>
      </w:hyperlink>
      <w:r w:rsidRPr="00963D6F">
        <w:rPr>
          <w:sz w:val="24"/>
          <w:szCs w:val="24"/>
          <w:u w:val="single"/>
        </w:rPr>
        <w:t>, SBDI-I, rel. Min. Aloysio Corrêa da Veiga, 23.3.2017</w:t>
      </w:r>
    </w:p>
    <w:p w:rsidR="00963D6F" w:rsidRPr="00963D6F" w:rsidRDefault="00963D6F" w:rsidP="00F13A96">
      <w:pPr>
        <w:contextualSpacing/>
        <w:jc w:val="both"/>
        <w:rPr>
          <w:rFonts w:eastAsia="Calibri"/>
          <w:u w:val="single"/>
        </w:rPr>
      </w:pPr>
    </w:p>
    <w:p w:rsidR="00963D6F" w:rsidRPr="00963D6F" w:rsidRDefault="00963D6F" w:rsidP="00963D6F">
      <w:pPr>
        <w:jc w:val="both"/>
        <w:rPr>
          <w:b/>
          <w:i/>
          <w:sz w:val="24"/>
          <w:szCs w:val="24"/>
        </w:rPr>
      </w:pPr>
      <w:r w:rsidRPr="00963D6F">
        <w:rPr>
          <w:b/>
          <w:i/>
          <w:sz w:val="24"/>
          <w:szCs w:val="24"/>
        </w:rPr>
        <w:t xml:space="preserve">Recurso de revista. Conhecimento. Indicação expressa de afronta a dispositivo de lei ou da Constituição. Necessidade. Súmula nº 221 do TST.  Orientação Jurisprudencial nº 257 da SDBI-I. </w:t>
      </w:r>
    </w:p>
    <w:p w:rsidR="00963D6F" w:rsidRPr="00963D6F" w:rsidRDefault="00963D6F" w:rsidP="00963D6F">
      <w:pPr>
        <w:jc w:val="both"/>
        <w:rPr>
          <w:sz w:val="24"/>
          <w:szCs w:val="24"/>
          <w:u w:val="single"/>
        </w:rPr>
      </w:pPr>
      <w:r w:rsidRPr="00963D6F">
        <w:rPr>
          <w:sz w:val="24"/>
          <w:szCs w:val="24"/>
        </w:rPr>
        <w:t xml:space="preserve">Para viabilizar o conhecimento do recurso de revista, deve a parte demonstrar, claramente, a intenção de indicar ofensa a preceito de lei ou da Constituição Federal. Assim, nos termos do art. 896 da CLT e da jurisprudência pacífica do TST (Súmula nº 221 do TST e Orientação Jurisprudencial nº 257 da SBDI-I), não é viável o conhecimento de recurso de revista que faz mera referência superficial a dispositivo de lei não expressamente indicado como violado. Embora não se imponha à parte o emprego de termos como “contrariar”, “violar” ou “afrontar”, é vital que das razões recursais extraia-se, clara e objetivamente, o propósito de indicar afronta a determinado dispositivo legal ou constitucional, no tocante ao tema objeto da impugnação recursal. Na espécie, a Turma conhecera do recurso de revista por violação do art. 186 do Código Civil quanto ao tema “configuração de dano moral”. Todavia, a menção ao dispositivo em comento foi registrada apenas </w:t>
      </w:r>
      <w:r w:rsidRPr="00963D6F">
        <w:rPr>
          <w:sz w:val="24"/>
          <w:szCs w:val="24"/>
        </w:rPr>
        <w:lastRenderedPageBreak/>
        <w:t xml:space="preserve">de forma circunstancial no capítulo do recurso destinado a impugnar o valor fixado a título de indenização por dano moral, não configurando, portanto, arguição de violação literal, como exigia o art. 896, “c”, da CLT, com a redação vigente à época da interposição do recurso. Sob esse entendimento, a SBDI-I, por maioria, vencido o Ministro Aloysio Corrêa da Veiga, conheceu dos embargos, por divergência jurisprudencial, e, no mérito, ainda por maioria, deu-lhes provimento parcial para, afastado o conhecimento do recurso de revista da reclamada por violação do art. 186 do Código Civil, determinar o retorno dos autos à turma de origem, a fim de que prossiga no exame do conhecimento do referido recurso, como entender de direito. Vencidos os Ministros Cláudio Mascarenhas Brandão, Aloysio Corrêa da Veiga e Márcio Eurico Vitral Amaro. </w:t>
      </w:r>
      <w:hyperlink r:id="rId13" w:history="1">
        <w:r w:rsidRPr="00963D6F">
          <w:rPr>
            <w:rStyle w:val="Hyperlink"/>
            <w:sz w:val="24"/>
            <w:szCs w:val="24"/>
          </w:rPr>
          <w:t>E-ED-RR - 35000-19.2006.5.07.0006</w:t>
        </w:r>
      </w:hyperlink>
      <w:r w:rsidRPr="00963D6F">
        <w:rPr>
          <w:sz w:val="24"/>
          <w:szCs w:val="24"/>
          <w:u w:val="single"/>
        </w:rPr>
        <w:t>, SBDI-I, rel. Min. João Oreste Dalazen, 23.3.2017</w:t>
      </w:r>
    </w:p>
    <w:p w:rsidR="00963D6F" w:rsidRPr="00963D6F" w:rsidRDefault="00963D6F" w:rsidP="00F13A96">
      <w:pPr>
        <w:jc w:val="both"/>
        <w:rPr>
          <w:u w:val="single"/>
        </w:rPr>
      </w:pPr>
    </w:p>
    <w:p w:rsidR="00963D6F" w:rsidRPr="00F605DD" w:rsidRDefault="00963D6F" w:rsidP="00963D6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F605DD">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963D6F" w:rsidRDefault="00963D6F" w:rsidP="00963D6F">
      <w:pPr>
        <w:jc w:val="both"/>
        <w:rPr>
          <w:u w:val="single"/>
        </w:rPr>
      </w:pPr>
    </w:p>
    <w:p w:rsidR="00963D6F" w:rsidRPr="00963D6F" w:rsidRDefault="00963D6F" w:rsidP="00963D6F">
      <w:pPr>
        <w:jc w:val="both"/>
        <w:rPr>
          <w:b/>
          <w:i/>
          <w:sz w:val="24"/>
          <w:szCs w:val="24"/>
        </w:rPr>
      </w:pPr>
      <w:r w:rsidRPr="00963D6F">
        <w:rPr>
          <w:b/>
          <w:i/>
          <w:sz w:val="24"/>
          <w:szCs w:val="24"/>
        </w:rPr>
        <w:t xml:space="preserve">Ação rescisória. Servidor público municipal celetista submetido a concurso público. Dispensa com fundamento no art. 21, parágrafo único, da LRF. Inexistência de procedimento administrativo em que assegurado o devido processo legal e o direito à ampla defesa. Retorno ao trabalho. Aplicação dos arts. 169 e 182 do Código Civil. </w:t>
      </w:r>
    </w:p>
    <w:p w:rsidR="0040506F" w:rsidRDefault="00963D6F" w:rsidP="006D0B48">
      <w:pPr>
        <w:jc w:val="both"/>
        <w:rPr>
          <w:sz w:val="24"/>
          <w:szCs w:val="24"/>
        </w:rPr>
      </w:pPr>
      <w:r w:rsidRPr="00963D6F">
        <w:rPr>
          <w:sz w:val="24"/>
          <w:szCs w:val="24"/>
        </w:rPr>
        <w:t>Conforme precedentes do Supremo Tribunal Federal, o servidor público celetista da administração direta, autárquica ou fundacional ou o empregado de empresa pública ou de sociedade de economia mista, ainda que admitidos por meio de aprovação em concurso público, não têm direito à estabilidade do art. 41 da CF, a não ser que a contratação tenha se dado anteriormente à Emenda Constitucional nº 19/1998. Todavia, também de acordo com o entendimento consolidado pela Suprema Corte, viola o art. 5º, LV, da CF a dispensa de servidor municipal nomeado após aprovação em concurso público, ainda que em estágio probatório, com fundamento no art. 21, parágrafo único, da Lei de Responsabilidade Fiscal, quando não assegurado o contraditório e a ampla defesa em procedimento administrativo. Sob esses fundamentos, a SBDI-II, por unanimidade, conheceu do recurso ordinário em ação rescisória e, no mérito, negou-lhe provimento, assentando que, a despeito de não se tratar de servidor público estável, na forma do art. 41 da CF, a dispensa, sem o precedente procedimento administrativo, é nula, razão pela qual se determina o retorno ao trabalho, com pagamento dos salários vencidos e vincendos desde a data da dispensa, nos termos dos arts. 169 e 185 do Código Civil, ficando, no entanto, assegurado ao Município empregador o direito de renovar o despedimento, desde que observe a exigência do prévio procedimento administrativo em que assegurado o devido processo legal e o direito à ampla defesa. Vencidos os Ministros Luiz Philippe Vieira de Mello Filho e Ives Gandra Martins Filho.</w:t>
      </w:r>
      <w:hyperlink r:id="rId14" w:history="1">
        <w:r w:rsidRPr="00EA10DA">
          <w:rPr>
            <w:rStyle w:val="Hyperlink"/>
            <w:sz w:val="24"/>
            <w:szCs w:val="24"/>
          </w:rPr>
          <w:t xml:space="preserve"> TST-RO-5904-64.2012.5.07.0000</w:t>
        </w:r>
      </w:hyperlink>
      <w:r w:rsidRPr="00963D6F">
        <w:rPr>
          <w:sz w:val="24"/>
          <w:szCs w:val="24"/>
          <w:u w:val="single"/>
        </w:rPr>
        <w:t>, SBDI-II, rel. Min</w:t>
      </w:r>
      <w:r w:rsidR="00EA10DA">
        <w:rPr>
          <w:sz w:val="24"/>
          <w:szCs w:val="24"/>
          <w:u w:val="single"/>
        </w:rPr>
        <w:t>.</w:t>
      </w:r>
      <w:r w:rsidRPr="00963D6F">
        <w:rPr>
          <w:sz w:val="24"/>
          <w:szCs w:val="24"/>
          <w:u w:val="single"/>
        </w:rPr>
        <w:t xml:space="preserve"> Douglas Alencar Rodrigues, 21.3.2017 </w:t>
      </w:r>
    </w:p>
    <w:p w:rsidR="006D0B48" w:rsidRDefault="006D0B48" w:rsidP="00C6738C">
      <w:pPr>
        <w:rPr>
          <w:sz w:val="10"/>
          <w:szCs w:val="10"/>
        </w:rPr>
      </w:pPr>
    </w:p>
    <w:p w:rsidR="00963D6F" w:rsidRDefault="00963D6F" w:rsidP="00C6738C">
      <w:pPr>
        <w:rPr>
          <w:sz w:val="10"/>
          <w:szCs w:val="10"/>
        </w:rPr>
      </w:pPr>
    </w:p>
    <w:p w:rsidR="00963D6F" w:rsidRDefault="00963D6F" w:rsidP="00C6738C">
      <w:pPr>
        <w:rPr>
          <w:sz w:val="10"/>
          <w:szCs w:val="10"/>
        </w:rPr>
      </w:pPr>
    </w:p>
    <w:p w:rsidR="00963D6F" w:rsidRDefault="00963D6F" w:rsidP="00C6738C">
      <w:pPr>
        <w:rPr>
          <w:sz w:val="10"/>
          <w:szCs w:val="10"/>
        </w:rPr>
      </w:pPr>
    </w:p>
    <w:p w:rsidR="00963D6F" w:rsidRDefault="00963D6F" w:rsidP="00C6738C">
      <w:pPr>
        <w:rPr>
          <w:sz w:val="10"/>
          <w:szCs w:val="10"/>
        </w:rPr>
      </w:pPr>
    </w:p>
    <w:p w:rsidR="00963D6F" w:rsidRDefault="00963D6F"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8E" w:rsidRDefault="000F0A8E">
      <w:r>
        <w:separator/>
      </w:r>
    </w:p>
  </w:endnote>
  <w:endnote w:type="continuationSeparator" w:id="0">
    <w:p w:rsidR="000F0A8E" w:rsidRDefault="000F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05DD">
      <w:rPr>
        <w:rStyle w:val="Nmerodepgina"/>
        <w:noProof/>
      </w:rPr>
      <w:t>3</w:t>
    </w:r>
    <w:r>
      <w:rPr>
        <w:rStyle w:val="Nmerodepgina"/>
      </w:rPr>
      <w:fldChar w:fldCharType="end"/>
    </w:r>
  </w:p>
  <w:p w:rsidR="0027684A" w:rsidRDefault="00F605DD">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F605DD">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8E" w:rsidRDefault="000F0A8E">
      <w:r>
        <w:separator/>
      </w:r>
    </w:p>
  </w:footnote>
  <w:footnote w:type="continuationSeparator" w:id="0">
    <w:p w:rsidR="000F0A8E" w:rsidRDefault="000F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F605DD"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F605DD">
      <w:rPr>
        <w:sz w:val="24"/>
        <w:szCs w:val="24"/>
        <w14:shadow w14:blurRad="50800" w14:dist="38100" w14:dir="2700000" w14:sx="100000" w14:sy="100000" w14:kx="0" w14:ky="0" w14:algn="tl">
          <w14:srgbClr w14:val="000000">
            <w14:alpha w14:val="60000"/>
          </w14:srgbClr>
        </w14:shadow>
      </w:rPr>
      <w:t>Informativo TST - nº 15</w:t>
    </w:r>
    <w:r w:rsidR="00963D6F" w:rsidRPr="00F605DD">
      <w:rPr>
        <w:sz w:val="24"/>
        <w:szCs w:val="24"/>
        <w14:shadow w14:blurRad="50800" w14:dist="38100" w14:dir="2700000" w14:sx="100000" w14:sy="100000" w14:kx="0" w14:ky="0" w14:algn="tl">
          <w14:srgbClr w14:val="000000">
            <w14:alpha w14:val="60000"/>
          </w14:srgbClr>
        </w14:shadow>
      </w:rPr>
      <w:t>5</w:t>
    </w:r>
  </w:p>
  <w:p w:rsidR="0027684A" w:rsidRPr="005D1DE4" w:rsidRDefault="00F605DD"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963D6F">
      <w:rPr>
        <w:i/>
        <w:iCs/>
      </w:rPr>
      <w:t>14</w:t>
    </w:r>
    <w:r w:rsidR="00063834">
      <w:rPr>
        <w:i/>
        <w:iCs/>
      </w:rPr>
      <w:t xml:space="preserve"> a </w:t>
    </w:r>
    <w:r w:rsidR="00963D6F">
      <w:rPr>
        <w:i/>
        <w:iCs/>
      </w:rPr>
      <w:t>27</w:t>
    </w:r>
    <w:r w:rsidR="00063834">
      <w:rPr>
        <w:i/>
        <w:iCs/>
      </w:rPr>
      <w:t xml:space="preserve"> de março de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F605DD">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15</w:t>
    </w:r>
    <w:r w:rsidR="00963D6F">
      <w:rPr>
        <w:b/>
        <w:sz w:val="40"/>
        <w:szCs w:val="40"/>
      </w:rPr>
      <w:t>5</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963D6F">
      <w:rPr>
        <w:i/>
        <w:iCs/>
      </w:rPr>
      <w:t>14</w:t>
    </w:r>
    <w:r w:rsidR="00063834">
      <w:rPr>
        <w:i/>
        <w:iCs/>
      </w:rPr>
      <w:t xml:space="preserve"> a </w:t>
    </w:r>
    <w:r w:rsidR="00963D6F">
      <w:rPr>
        <w:i/>
        <w:iCs/>
      </w:rPr>
      <w:t>27</w:t>
    </w:r>
    <w:r w:rsidR="00063834">
      <w:rPr>
        <w:i/>
        <w:iCs/>
      </w:rPr>
      <w:t xml:space="preserve"> de março</w:t>
    </w:r>
    <w:r>
      <w:rPr>
        <w:i/>
        <w:iCs/>
      </w:rPr>
      <w:t xml:space="preserve"> 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3142"/>
    <w:rsid w:val="001648F5"/>
    <w:rsid w:val="00167E80"/>
    <w:rsid w:val="00176D15"/>
    <w:rsid w:val="0018296E"/>
    <w:rsid w:val="00183803"/>
    <w:rsid w:val="00184590"/>
    <w:rsid w:val="00187A37"/>
    <w:rsid w:val="00187BEF"/>
    <w:rsid w:val="0019151D"/>
    <w:rsid w:val="001920CD"/>
    <w:rsid w:val="00193208"/>
    <w:rsid w:val="001932B7"/>
    <w:rsid w:val="00197B15"/>
    <w:rsid w:val="001B025A"/>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5064"/>
    <w:rsid w:val="002A219D"/>
    <w:rsid w:val="002A521A"/>
    <w:rsid w:val="002A546D"/>
    <w:rsid w:val="002B0750"/>
    <w:rsid w:val="002B4738"/>
    <w:rsid w:val="002B6377"/>
    <w:rsid w:val="002C2904"/>
    <w:rsid w:val="002E78CB"/>
    <w:rsid w:val="002F28E5"/>
    <w:rsid w:val="002F71BF"/>
    <w:rsid w:val="003074FC"/>
    <w:rsid w:val="0031207D"/>
    <w:rsid w:val="003200A0"/>
    <w:rsid w:val="0033397A"/>
    <w:rsid w:val="00340D16"/>
    <w:rsid w:val="00340E8D"/>
    <w:rsid w:val="00342846"/>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1F0A"/>
    <w:rsid w:val="003A4086"/>
    <w:rsid w:val="003A5E5B"/>
    <w:rsid w:val="003B045C"/>
    <w:rsid w:val="003B0538"/>
    <w:rsid w:val="003B0A59"/>
    <w:rsid w:val="003B3EB5"/>
    <w:rsid w:val="003B4E23"/>
    <w:rsid w:val="003B6246"/>
    <w:rsid w:val="003B767E"/>
    <w:rsid w:val="003C01E8"/>
    <w:rsid w:val="003C0554"/>
    <w:rsid w:val="003C1AB7"/>
    <w:rsid w:val="003C6FE7"/>
    <w:rsid w:val="003D032E"/>
    <w:rsid w:val="003D4205"/>
    <w:rsid w:val="003E1C53"/>
    <w:rsid w:val="003F2078"/>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03D6"/>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0B48"/>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A4F78"/>
    <w:rsid w:val="007B0F83"/>
    <w:rsid w:val="007C0A4F"/>
    <w:rsid w:val="007D29A1"/>
    <w:rsid w:val="007D2EE9"/>
    <w:rsid w:val="007D469A"/>
    <w:rsid w:val="007D6F8C"/>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4797B"/>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BD9"/>
    <w:rsid w:val="009B320F"/>
    <w:rsid w:val="009B6012"/>
    <w:rsid w:val="009C0EBA"/>
    <w:rsid w:val="009C102D"/>
    <w:rsid w:val="009C2A4F"/>
    <w:rsid w:val="009D10FB"/>
    <w:rsid w:val="009D312C"/>
    <w:rsid w:val="009D4C59"/>
    <w:rsid w:val="009D7F91"/>
    <w:rsid w:val="009E20EF"/>
    <w:rsid w:val="009E26EE"/>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C4F6C"/>
    <w:rsid w:val="00AD6E76"/>
    <w:rsid w:val="00AE3EAA"/>
    <w:rsid w:val="00AE5EDF"/>
    <w:rsid w:val="00AE758A"/>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15EC0"/>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4A53"/>
    <w:rsid w:val="00C8747B"/>
    <w:rsid w:val="00C87D5B"/>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774F6"/>
    <w:rsid w:val="00E9503C"/>
    <w:rsid w:val="00E956D9"/>
    <w:rsid w:val="00EA10DA"/>
    <w:rsid w:val="00EA1958"/>
    <w:rsid w:val="00EA29F5"/>
    <w:rsid w:val="00EA482D"/>
    <w:rsid w:val="00EB5FE6"/>
    <w:rsid w:val="00EB61A5"/>
    <w:rsid w:val="00EB6C1B"/>
    <w:rsid w:val="00EB7A09"/>
    <w:rsid w:val="00EC0EDC"/>
    <w:rsid w:val="00EC5AF4"/>
    <w:rsid w:val="00EC7E0B"/>
    <w:rsid w:val="00ED4508"/>
    <w:rsid w:val="00ED661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21A70"/>
    <w:rsid w:val="00F26708"/>
    <w:rsid w:val="00F30FF2"/>
    <w:rsid w:val="00F37F29"/>
    <w:rsid w:val="00F42243"/>
    <w:rsid w:val="00F45608"/>
    <w:rsid w:val="00F511EE"/>
    <w:rsid w:val="00F55574"/>
    <w:rsid w:val="00F558E7"/>
    <w:rsid w:val="00F605DD"/>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35000&amp;digitoTst=19&amp;anoTst=2006&amp;orgaoTst=5&amp;tribunalTst=07&amp;varaTst=000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25700&amp;digitoTst=85&amp;anoTst=2007&amp;orgaoTst=5&amp;tribunalTst=05&amp;varaTst=01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641&amp;digitoTst=74&amp;anoTst=2012&amp;orgaoTst=5&amp;tribunalTst=24&amp;varaTst=00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licacao4.tst.jus.br/consultaProcessual/consultaTstNumUnica.do?consulta=Consultar&amp;conscsjt=&amp;numeroTst=1522&amp;digitoTst=62&amp;anoTst=2013&amp;orgaoTst=5&amp;tribunalTst=15&amp;varaTst=006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479&amp;digitoTst=60&amp;anoTst=2011&amp;orgaoTst=5&amp;tribunalTst=04&amp;varaTst=0231" TargetMode="External"/><Relationship Id="rId14" Type="http://schemas.openxmlformats.org/officeDocument/2006/relationships/hyperlink" Target="http://aplicacao4.tst.jus.br/consultaProcessual/consultaTstNumUnica.do?consulta=Consultar&amp;conscsjt=&amp;numeroTst=5904&amp;digitoTst=64&amp;anoTst=2012&amp;orgaoTst=5&amp;tribunalTst=07&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4187-41C0-47F9-AEC3-193D31E2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1955</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12488</CharactersWithSpaces>
  <SharedDoc>false</SharedDoc>
  <HLinks>
    <vt:vector size="36" baseType="variant">
      <vt:variant>
        <vt:i4>2687094</vt:i4>
      </vt:variant>
      <vt:variant>
        <vt:i4>15</vt:i4>
      </vt:variant>
      <vt:variant>
        <vt:i4>0</vt:i4>
      </vt:variant>
      <vt:variant>
        <vt:i4>5</vt:i4>
      </vt:variant>
      <vt:variant>
        <vt:lpwstr>http://aplicacao4.tst.jus.br/consultaProcessual/consultaTstNumUnica.do?consulta=Consultar&amp;conscsjt=&amp;numeroTst=5904&amp;digitoTst=64&amp;anoTst=2012&amp;orgaoTst=5&amp;tribunalTst=07&amp;varaTst=0000</vt:lpwstr>
      </vt:variant>
      <vt:variant>
        <vt:lpwstr/>
      </vt:variant>
      <vt:variant>
        <vt:i4>6422588</vt:i4>
      </vt:variant>
      <vt:variant>
        <vt:i4>12</vt:i4>
      </vt:variant>
      <vt:variant>
        <vt:i4>0</vt:i4>
      </vt:variant>
      <vt:variant>
        <vt:i4>5</vt:i4>
      </vt:variant>
      <vt:variant>
        <vt:lpwstr>http://aplicacao4.tst.jus.br/consultaProcessual/consultaTstNumUnica.do?consulta=Consultar&amp;conscsjt=&amp;numeroTst=35000&amp;digitoTst=19&amp;anoTst=2006&amp;orgaoTst=5&amp;tribunalTst=07&amp;varaTst=0006</vt:lpwstr>
      </vt:variant>
      <vt:variant>
        <vt:lpwstr/>
      </vt:variant>
      <vt:variant>
        <vt:i4>1900616</vt:i4>
      </vt:variant>
      <vt:variant>
        <vt:i4>9</vt:i4>
      </vt:variant>
      <vt:variant>
        <vt:i4>0</vt:i4>
      </vt:variant>
      <vt:variant>
        <vt:i4>5</vt:i4>
      </vt:variant>
      <vt:variant>
        <vt:lpwstr>http://aplicacao4.tst.jus.br/consultaProcessual/consultaTstNumUnica.do?consulta=Consultar&amp;conscsjt=&amp;numeroTst=125700&amp;digitoTst=85&amp;anoTst=2007&amp;orgaoTst=5&amp;tribunalTst=05&amp;varaTst=0192</vt:lpwstr>
      </vt:variant>
      <vt:variant>
        <vt:lpwstr/>
      </vt:variant>
      <vt:variant>
        <vt:i4>5832717</vt:i4>
      </vt:variant>
      <vt:variant>
        <vt:i4>6</vt:i4>
      </vt:variant>
      <vt:variant>
        <vt:i4>0</vt:i4>
      </vt:variant>
      <vt:variant>
        <vt:i4>5</vt:i4>
      </vt:variant>
      <vt:variant>
        <vt:lpwstr>http://aplicacao4.tst.jus.br/consultaProcessual/consultaTstNumUnica.do?consulta=Consultar&amp;conscsjt=&amp;numeroTst=641&amp;digitoTst=74&amp;anoTst=2012&amp;orgaoTst=5&amp;tribunalTst=24&amp;varaTst=0001</vt:lpwstr>
      </vt:variant>
      <vt:variant>
        <vt:lpwstr/>
      </vt:variant>
      <vt:variant>
        <vt:i4>2424947</vt:i4>
      </vt:variant>
      <vt:variant>
        <vt:i4>3</vt:i4>
      </vt:variant>
      <vt:variant>
        <vt:i4>0</vt:i4>
      </vt:variant>
      <vt:variant>
        <vt:i4>5</vt:i4>
      </vt:variant>
      <vt:variant>
        <vt:lpwstr>http://aplicacao4.tst.jus.br/consultaProcessual/consultaTstNumUnica.do?consulta=Consultar&amp;conscsjt=&amp;numeroTst=1522&amp;digitoTst=62&amp;anoTst=2013&amp;orgaoTst=5&amp;tribunalTst=15&amp;varaTst=0067</vt:lpwstr>
      </vt:variant>
      <vt:variant>
        <vt:lpwstr/>
      </vt:variant>
      <vt:variant>
        <vt:i4>6160390</vt:i4>
      </vt:variant>
      <vt:variant>
        <vt:i4>0</vt:i4>
      </vt:variant>
      <vt:variant>
        <vt:i4>0</vt:i4>
      </vt:variant>
      <vt:variant>
        <vt:i4>5</vt:i4>
      </vt:variant>
      <vt:variant>
        <vt:lpwstr>http://aplicacao4.tst.jus.br/consultaProcessual/consultaTstNumUnica.do?consulta=Consultar&amp;conscsjt=&amp;numeroTst=479&amp;digitoTst=60&amp;anoTst=2011&amp;orgaoTst=5&amp;tribunalTst=04&amp;varaTst=0231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2017-03-06T19:28:00Z</cp:lastPrinted>
  <dcterms:created xsi:type="dcterms:W3CDTF">2017-07-26T17:57:00Z</dcterms:created>
  <dcterms:modified xsi:type="dcterms:W3CDTF">2017-07-26T17:57:00Z</dcterms:modified>
</cp:coreProperties>
</file>