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3F7ADC" w:rsidRDefault="00E41702" w:rsidP="005460BD">
      <w:pPr>
        <w:ind w:right="-71"/>
        <w:jc w:val="both"/>
        <w:rPr>
          <w:b/>
          <w:i/>
          <w:sz w:val="10"/>
          <w:szCs w:val="10"/>
        </w:rPr>
      </w:pPr>
    </w:p>
    <w:p w:rsidR="00D30931" w:rsidRPr="00622CA0" w:rsidRDefault="00B27FB0" w:rsidP="00D30931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CA0">
        <w:rPr>
          <w:rFonts w:ascii="Times New Roman" w:hAnsi="Times New Roman" w:cs="Times New Roman"/>
          <w:b/>
          <w:bCs/>
          <w:color w:val="auto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TRIBUNAL PLENO</w:t>
      </w:r>
    </w:p>
    <w:p w:rsidR="00B27FB0" w:rsidRPr="008828E4" w:rsidRDefault="00B27FB0" w:rsidP="00A232FF">
      <w:pPr>
        <w:jc w:val="both"/>
        <w:rPr>
          <w:sz w:val="24"/>
          <w:szCs w:val="24"/>
          <w:u w:val="single"/>
        </w:rPr>
      </w:pPr>
    </w:p>
    <w:p w:rsidR="00B27FB0" w:rsidRDefault="00B27FB0" w:rsidP="00B27F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Matéria afetada ao Tribunal Pleno. Execução. Ação anulatória de arrematação. Recurso de revista. Admissibilidade. Óbice restritivo contido no art. 896, § 2º, da CLT. Incidência da Súmula nº 266 do TST.</w:t>
      </w:r>
    </w:p>
    <w:p w:rsidR="00B27FB0" w:rsidRDefault="00B27FB0" w:rsidP="00B27FB0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As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 xml:space="preserve"> restri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ções previstas no art. 896, § 2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>º, da CLT, em conformidade com a Súmula n.º 266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TST, são aplicáveis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 xml:space="preserve"> às ações anulatórias ajuizadas em sede de execução, por versarem sobre matéria incidente ao p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rocesso de execução trabalhista. A 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>ação anulatória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 arrematação, embora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seja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 xml:space="preserve"> en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quadrável, abstratamente, como ação autônoma de cognição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 xml:space="preserve">, quando proposta na fase de execução,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configura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 xml:space="preserve"> instrumento hábil a resolver as questões incidentais, devendo, por conexão lógica e critério de sistematicidade, ser tratada como simples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D624F7">
        <w:rPr>
          <w:rFonts w:ascii="Times New Roman" w:eastAsia="Calibri" w:hAnsi="Times New Roman" w:cs="Times New Roman"/>
          <w:color w:val="auto"/>
          <w:lang w:val="pt-BR" w:eastAsia="en-US"/>
        </w:rPr>
        <w:t>in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cidente do processo de execução. Assim, a admissibilidade do recurso de revista interposto de acórdão proferido em ação anulatória de arrematação depende de demonstração inequívoca de violência direta à Constituição da República. Sob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fundamento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Tribunal Pleno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por maioria, 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conheceu dos embargos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interpostos pelo autor, por divergência jurisprudencial, vencidos os Ministros </w:t>
      </w:r>
      <w:r w:rsidRPr="00183D46">
        <w:rPr>
          <w:rFonts w:ascii="Times New Roman" w:eastAsia="Calibri" w:hAnsi="Times New Roman" w:cs="Times New Roman"/>
          <w:color w:val="auto"/>
          <w:lang w:val="pt-BR" w:eastAsia="en-US"/>
        </w:rPr>
        <w:t>Mauricio Godinho Delgado,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relator,</w:t>
      </w:r>
      <w:r w:rsidRPr="00183D46">
        <w:rPr>
          <w:rFonts w:ascii="Times New Roman" w:eastAsia="Calibri" w:hAnsi="Times New Roman" w:cs="Times New Roman"/>
          <w:color w:val="auto"/>
          <w:lang w:val="pt-BR" w:eastAsia="en-US"/>
        </w:rPr>
        <w:t xml:space="preserve"> Kátia Magalhães Arruda, Augusto César Leite de Carvalho, José Roberto Freire Pimenta, Delaíde Miranda Arantes, Hugo Scheuermann, Maria Helena Mallmann, Alberto Luiz Bresciani de Fontan Pereira, Maria de Assis Calsing e Walmir Oliveira da Costa</w:t>
      </w:r>
      <w:r w:rsidRPr="00733DCC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No mérito, também por maioria, reafirmou-se a tese jurídica de que </w:t>
      </w:r>
      <w:r w:rsidRPr="00155DDE">
        <w:rPr>
          <w:rFonts w:ascii="Times New Roman" w:eastAsia="Calibri" w:hAnsi="Times New Roman" w:cs="Times New Roman"/>
          <w:color w:val="auto"/>
          <w:lang w:val="pt-BR" w:eastAsia="en-US"/>
        </w:rPr>
        <w:t xml:space="preserve">se aplicam às ações anulatórias ajuizadas em sede de execução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óbice contido na</w:t>
      </w:r>
      <w:r w:rsidRPr="00155DDE">
        <w:rPr>
          <w:rFonts w:ascii="Times New Roman" w:eastAsia="Calibri" w:hAnsi="Times New Roman" w:cs="Times New Roman"/>
          <w:color w:val="auto"/>
          <w:lang w:val="pt-BR" w:eastAsia="en-US"/>
        </w:rPr>
        <w:t xml:space="preserve"> Súmula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nº</w:t>
      </w:r>
      <w:r w:rsidRPr="00155DDE">
        <w:rPr>
          <w:rFonts w:ascii="Times New Roman" w:eastAsia="Calibri" w:hAnsi="Times New Roman" w:cs="Times New Roman"/>
          <w:color w:val="auto"/>
          <w:lang w:val="pt-BR" w:eastAsia="en-US"/>
        </w:rPr>
        <w:t xml:space="preserve"> 266 do TST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vencidos os</w:t>
      </w:r>
      <w:r w:rsidRPr="00493DB2">
        <w:rPr>
          <w:lang w:val="pt-BR"/>
        </w:rPr>
        <w:t xml:space="preserve"> </w:t>
      </w:r>
      <w:r w:rsidRPr="0044753D">
        <w:rPr>
          <w:rFonts w:ascii="Times New Roman" w:eastAsia="Calibri" w:hAnsi="Times New Roman" w:cs="Times New Roman"/>
          <w:color w:val="auto"/>
          <w:lang w:val="pt-BR" w:eastAsia="en-US"/>
        </w:rPr>
        <w:t xml:space="preserve">Ministros Aloysio Corrêa da Veiga, Alexandre de Souza Agra Belmonte, Douglas Alencar Rodrigues, João Oreste Dalazen,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Antônio José de </w:t>
      </w:r>
      <w:r w:rsidRPr="0044753D">
        <w:rPr>
          <w:rFonts w:ascii="Times New Roman" w:eastAsia="Calibri" w:hAnsi="Times New Roman" w:cs="Times New Roman"/>
          <w:color w:val="auto"/>
          <w:lang w:val="pt-BR" w:eastAsia="en-US"/>
        </w:rPr>
        <w:t>Barros Levenhagen, Maria Cristina Irigoyen Peduzzi, Emmanoel Pereira, Luiz Philippe Vieira de Mello Filho, Dora Maria da Costa e Guilherme Augusto Caputo Bastos.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9" w:history="1">
        <w:r w:rsidRPr="00B27FB0">
          <w:rPr>
            <w:rStyle w:val="Hyperlink"/>
            <w:rFonts w:ascii="Times New Roman" w:hAnsi="Times New Roman" w:cs="Courier New"/>
            <w:lang w:val="pt-BR"/>
          </w:rPr>
          <w:t>TST-E-ED-RR-68700-21.2006.5.02.0007</w:t>
        </w:r>
      </w:hyperlink>
      <w:r>
        <w:rPr>
          <w:rFonts w:ascii="Times New Roman" w:hAnsi="Times New Roman"/>
          <w:u w:val="single"/>
          <w:lang w:val="pt-BR"/>
        </w:rPr>
        <w:t xml:space="preserve">, Tribunal Pleno, rel. </w:t>
      </w:r>
      <w:r w:rsidRPr="00C52AFB">
        <w:rPr>
          <w:rFonts w:ascii="Times New Roman" w:hAnsi="Times New Roman"/>
          <w:u w:val="single"/>
          <w:lang w:val="pt-BR"/>
        </w:rPr>
        <w:t>Min.</w:t>
      </w:r>
      <w:r>
        <w:rPr>
          <w:rFonts w:ascii="Times New Roman" w:hAnsi="Times New Roman"/>
          <w:u w:val="single"/>
          <w:lang w:val="pt-BR"/>
        </w:rPr>
        <w:t xml:space="preserve"> Mauricio Godinho Delgado, 20</w:t>
      </w:r>
      <w:r w:rsidRPr="009C5D63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2.2017</w:t>
      </w:r>
    </w:p>
    <w:p w:rsidR="00B27FB0" w:rsidRPr="008828E4" w:rsidRDefault="00B27FB0" w:rsidP="005347E7">
      <w:pPr>
        <w:jc w:val="both"/>
        <w:rPr>
          <w:sz w:val="24"/>
          <w:szCs w:val="24"/>
        </w:rPr>
      </w:pPr>
    </w:p>
    <w:p w:rsidR="00C76810" w:rsidRPr="00622CA0" w:rsidRDefault="00C76810" w:rsidP="00C7681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CA0">
        <w:rPr>
          <w:rFonts w:ascii="Times New Roman" w:hAnsi="Times New Roman" w:cs="Times New Roman"/>
          <w:b/>
          <w:bCs/>
          <w:color w:val="auto"/>
          <w:sz w:val="26"/>
          <w:szCs w:val="2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B27FB0" w:rsidRDefault="00B27FB0" w:rsidP="00B27FB0">
      <w:pPr>
        <w:jc w:val="both"/>
        <w:rPr>
          <w:b/>
          <w:i/>
          <w:sz w:val="24"/>
          <w:szCs w:val="24"/>
        </w:rPr>
      </w:pPr>
    </w:p>
    <w:p w:rsidR="00B27FB0" w:rsidRPr="00CC19DF" w:rsidRDefault="00B27FB0" w:rsidP="00B27FB0">
      <w:pPr>
        <w:jc w:val="both"/>
        <w:rPr>
          <w:b/>
          <w:i/>
          <w:sz w:val="24"/>
          <w:szCs w:val="24"/>
        </w:rPr>
      </w:pPr>
      <w:r w:rsidRPr="00CC19DF">
        <w:rPr>
          <w:b/>
          <w:i/>
          <w:sz w:val="24"/>
          <w:szCs w:val="24"/>
        </w:rPr>
        <w:t>Execução. Agravo de petição. Exigência de valores atualizados até a data de interposição do recurso. Requisito não previsto no art. 897, § 1º, da CLT. Afronta ao art. 5º, II e LV, da CF. Configuração.</w:t>
      </w:r>
    </w:p>
    <w:p w:rsidR="00B27FB0" w:rsidRDefault="00B27FB0" w:rsidP="00B27FB0">
      <w:pPr>
        <w:jc w:val="both"/>
        <w:rPr>
          <w:sz w:val="18"/>
          <w:szCs w:val="18"/>
        </w:rPr>
      </w:pPr>
      <w:r w:rsidRPr="00CC19DF">
        <w:rPr>
          <w:sz w:val="24"/>
          <w:szCs w:val="24"/>
        </w:rPr>
        <w:t xml:space="preserve">A decisão do TRT que condiciona o exame do agravo de petição à apresentação de valores atualizados até a data de interposição do recurso viola o art. 5º, II e LV, da CF, pois estabelece requisito não previsto em lei. O art. 897, § 1º, da CLT impõe ao agravante tão somente a delimitação justificada das matérias e dos valores impugnados. Sob esse entendimento, a SBDI-I, por unanimidade, conheceu de embargos, por divergência jurisprudencial, e, no mérito, negou-lhes provimento, mantendo, portanto, decisão turmária que determinou o retorno dos autos ao TRT de origem a fim de que prossiga no exame do agravo de petição da executada, afastada a necessidade de delimitação dos valores atualizados. </w:t>
      </w:r>
      <w:hyperlink r:id="rId10" w:history="1">
        <w:r w:rsidRPr="00B27FB0">
          <w:rPr>
            <w:rStyle w:val="Hyperlink"/>
            <w:sz w:val="24"/>
            <w:szCs w:val="24"/>
          </w:rPr>
          <w:t>TST-E-RR-48900-10.2007.5.04.0203</w:t>
        </w:r>
      </w:hyperlink>
      <w:r w:rsidRPr="00CC19DF">
        <w:rPr>
          <w:sz w:val="24"/>
          <w:szCs w:val="24"/>
          <w:u w:val="single"/>
        </w:rPr>
        <w:t>, SBDI-I, rel. Min. Aloysio Corrêa da Veiga, 16.2.2017</w:t>
      </w:r>
      <w:r w:rsidRPr="00CC19DF">
        <w:rPr>
          <w:sz w:val="18"/>
          <w:szCs w:val="18"/>
        </w:rPr>
        <w:t xml:space="preserve"> (*CF. Informativo TST n.º 59)</w:t>
      </w:r>
    </w:p>
    <w:p w:rsidR="008828E4" w:rsidRDefault="008828E4" w:rsidP="00B27FB0">
      <w:pPr>
        <w:jc w:val="both"/>
        <w:rPr>
          <w:sz w:val="18"/>
          <w:szCs w:val="18"/>
        </w:rPr>
      </w:pPr>
    </w:p>
    <w:p w:rsidR="008828E4" w:rsidRDefault="008828E4" w:rsidP="008828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Contribuição previdenciária. Fato gerador. Incidência de multa e juros de mora. Data da prestação dos serviços. Alteração do art. 43 da Lei nº 8.2012/1991 pela Medida Provisória nº 449/2008, convertida na Lei nº 11.941/2009. </w:t>
      </w:r>
    </w:p>
    <w:p w:rsidR="008828E4" w:rsidRPr="00C6356F" w:rsidRDefault="008828E4" w:rsidP="008828E4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/>
        </w:rPr>
        <w:t xml:space="preserve">Na vigência do art. 276, </w:t>
      </w:r>
      <w:r>
        <w:rPr>
          <w:rFonts w:ascii="Times New Roman" w:eastAsia="Calibri" w:hAnsi="Times New Roman" w:cs="Times New Roman"/>
          <w:i/>
          <w:color w:val="auto"/>
          <w:lang w:val="pt-BR"/>
        </w:rPr>
        <w:t>caput</w:t>
      </w:r>
      <w:r>
        <w:rPr>
          <w:rFonts w:ascii="Times New Roman" w:eastAsia="Calibri" w:hAnsi="Times New Roman" w:cs="Times New Roman"/>
          <w:color w:val="auto"/>
          <w:lang w:val="pt-BR"/>
        </w:rPr>
        <w:t xml:space="preserve">, do Decreto nº 3.048/99, o fato gerador da contribuição previdenciária era o pagamento do crédito devido ao trabalhador e, no caso de decisão judicial trabalhista, somente seria cabível a incidência de multa e juros de mora após o dia dois do mês subsequente ao trânsito em julgado da decisão que pôs fim à discussão acerca dos cálculos de liquidação. Porém, desde a edição da Medida Provisória nº 449/2008, convertida na Lei nº 11.941/2009, que modificou o art. 43 da Lei nº 8.212/1991, as contribuições sociais apuradas em virtude de sentença judicial ou acordo homologado judicialmente passaram a ser devidas a partir da data de prestação do serviço, considerando-se como marco de incidência do novo dispositivo de lei o dia 5.3.2009, em atenção aos princípios da anterioridade tributária e nonagesimal (arts. 150, III, “a”, e 195, § 6º, da CF). Entendimento consolidado pelo Tribunal Pleno no julgamento do processo TST-E-RR-1125-36.2010.5.06.0171, em 20.10.2015. Sob esses fundamentos, e tendo em conta os limites da insurgência recursal, ou seja, a prestação de serviços ocorrida após 5.3.2009, a SBDI-I, por unanimidade, conheceu dos embargos, por divergência jurisprudencial, e, no mérito, deu-lhes parcial provimento para determinar: a) </w:t>
      </w:r>
      <w:r w:rsidRPr="00C6356F">
        <w:rPr>
          <w:rFonts w:ascii="Times New Roman" w:eastAsia="Calibri" w:hAnsi="Times New Roman" w:cs="Times New Roman"/>
          <w:color w:val="auto"/>
          <w:lang w:val="pt-BR"/>
        </w:rPr>
        <w:t>no tocante aos juros de mora devidos nas contribuições previdenciárias decorrentes do crédito trabalhista reconhecido judicialmente, que a sua incidência se dê a partir da data da efetiva prestação dos serviços, nos moldes do que dispõe a nova redação do artigo 4</w:t>
      </w:r>
      <w:r>
        <w:rPr>
          <w:rFonts w:ascii="Times New Roman" w:eastAsia="Calibri" w:hAnsi="Times New Roman" w:cs="Times New Roman"/>
          <w:color w:val="auto"/>
          <w:lang w:val="pt-BR"/>
        </w:rPr>
        <w:t>3, § 2º, da Lei nº 8.212/91; e b)</w:t>
      </w:r>
      <w:r w:rsidRPr="00C6356F">
        <w:rPr>
          <w:rFonts w:ascii="Times New Roman" w:eastAsia="Calibri" w:hAnsi="Times New Roman" w:cs="Times New Roman"/>
          <w:color w:val="auto"/>
          <w:lang w:val="pt-BR"/>
        </w:rPr>
        <w:t xml:space="preserve"> quanto à multa, que ela incida somente depois de exaurido o prazo da intimação para o seu pagamento, ou seja, a partir do primeiro dia subsequente ao término do prazo de 48 horas para pagamento, após a citação, limitada a 20% </w:t>
      </w:r>
      <w:r>
        <w:rPr>
          <w:rFonts w:ascii="Times New Roman" w:eastAsia="Calibri" w:hAnsi="Times New Roman"/>
          <w:color w:val="auto"/>
          <w:lang w:val="pt-BR"/>
        </w:rPr>
        <w:t xml:space="preserve">(art. 61, § 2º, da Lei nº 9.430/96). </w:t>
      </w:r>
      <w:hyperlink r:id="rId11" w:history="1">
        <w:r w:rsidRPr="008828E4">
          <w:rPr>
            <w:rStyle w:val="Hyperlink"/>
            <w:rFonts w:ascii="Times New Roman" w:eastAsia="Calibri" w:hAnsi="Times New Roman" w:cs="Courier New"/>
            <w:lang w:val="pt-BR"/>
          </w:rPr>
          <w:t>TST-E-ARR-4001138-73.2010.5.03.0001</w:t>
        </w:r>
      </w:hyperlink>
      <w:r w:rsidRPr="00C6356F">
        <w:rPr>
          <w:rFonts w:ascii="Times New Roman" w:eastAsia="Calibri" w:hAnsi="Times New Roman"/>
          <w:color w:val="auto"/>
          <w:u w:val="single"/>
          <w:lang w:val="pt-BR"/>
        </w:rPr>
        <w:t>, SBDI-I, rel. Min. Guilherme Augusto Caputo Bastos, 23.2.2017</w:t>
      </w:r>
    </w:p>
    <w:p w:rsidR="008828E4" w:rsidRPr="00CC19DF" w:rsidRDefault="008828E4" w:rsidP="00B27FB0">
      <w:pPr>
        <w:jc w:val="both"/>
        <w:rPr>
          <w:sz w:val="24"/>
          <w:szCs w:val="24"/>
        </w:rPr>
      </w:pPr>
    </w:p>
    <w:p w:rsidR="00B27FB0" w:rsidRDefault="00B27FB0" w:rsidP="00A232FF">
      <w:pPr>
        <w:jc w:val="both"/>
        <w:rPr>
          <w:rFonts w:eastAsia="Calibri"/>
          <w:sz w:val="24"/>
          <w:szCs w:val="24"/>
          <w:u w:val="single"/>
        </w:rPr>
      </w:pPr>
    </w:p>
    <w:p w:rsidR="00A232FF" w:rsidRPr="00F1711D" w:rsidRDefault="00A232FF" w:rsidP="00A232FF">
      <w:pPr>
        <w:jc w:val="both"/>
        <w:rPr>
          <w:rFonts w:eastAsia="Calibri"/>
          <w:u w:val="single"/>
        </w:rPr>
      </w:pPr>
    </w:p>
    <w:p w:rsidR="00F1711D" w:rsidRDefault="00F1711D" w:rsidP="00A232FF">
      <w:pPr>
        <w:jc w:val="both"/>
        <w:rPr>
          <w:sz w:val="24"/>
          <w:szCs w:val="24"/>
          <w:u w:val="single"/>
        </w:rPr>
      </w:pPr>
    </w:p>
    <w:p w:rsidR="00A232FF" w:rsidRDefault="00A232FF" w:rsidP="00A232FF">
      <w:pPr>
        <w:jc w:val="both"/>
        <w:rPr>
          <w:rFonts w:eastAsia="Calibri"/>
          <w:sz w:val="24"/>
          <w:szCs w:val="24"/>
          <w:u w:val="single"/>
        </w:rPr>
      </w:pPr>
    </w:p>
    <w:p w:rsidR="00A232FF" w:rsidRPr="00D30931" w:rsidRDefault="00A232FF">
      <w:pPr>
        <w:jc w:val="both"/>
        <w:rPr>
          <w:sz w:val="10"/>
          <w:szCs w:val="10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A" w:rsidRDefault="00E14DAA">
      <w:r>
        <w:separator/>
      </w:r>
    </w:p>
  </w:endnote>
  <w:endnote w:type="continuationSeparator" w:id="0">
    <w:p w:rsidR="00E14DAA" w:rsidRDefault="00E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C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622CA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622CA0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A" w:rsidRDefault="00E14DAA">
      <w:r>
        <w:separator/>
      </w:r>
    </w:p>
  </w:footnote>
  <w:footnote w:type="continuationSeparator" w:id="0">
    <w:p w:rsidR="00E14DAA" w:rsidRDefault="00E1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622CA0" w:rsidRDefault="00FE00AD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</w:t>
    </w:r>
    <w:r w:rsidR="00072A6F"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Execução</w:t>
    </w:r>
    <w:r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r w:rsidR="00986D77"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º </w:t>
    </w:r>
    <w:r w:rsidR="00F40388"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B27FB0" w:rsidRPr="00622CA0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:rsidR="00FE00AD" w:rsidRPr="00971E07" w:rsidRDefault="00622CA0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168DE">
      <w:rPr>
        <w:sz w:val="20"/>
        <w:szCs w:val="20"/>
      </w:rPr>
      <w:t xml:space="preserve">Período: </w:t>
    </w:r>
    <w:r w:rsidR="0079433C">
      <w:rPr>
        <w:sz w:val="20"/>
        <w:szCs w:val="20"/>
      </w:rPr>
      <w:t>1</w:t>
    </w:r>
    <w:r w:rsidR="00B27FB0">
      <w:rPr>
        <w:sz w:val="20"/>
        <w:szCs w:val="20"/>
      </w:rPr>
      <w:t>3</w:t>
    </w:r>
    <w:r w:rsidR="00F40388">
      <w:rPr>
        <w:sz w:val="20"/>
        <w:szCs w:val="20"/>
      </w:rPr>
      <w:t xml:space="preserve"> de</w:t>
    </w:r>
    <w:r w:rsidR="00C20DC8">
      <w:rPr>
        <w:sz w:val="20"/>
        <w:szCs w:val="20"/>
      </w:rPr>
      <w:t xml:space="preserve"> </w:t>
    </w:r>
    <w:r w:rsidR="00F1711D">
      <w:rPr>
        <w:sz w:val="20"/>
        <w:szCs w:val="20"/>
      </w:rPr>
      <w:t>dezembro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  <w:r w:rsidR="00B27FB0">
      <w:rPr>
        <w:sz w:val="20"/>
        <w:szCs w:val="20"/>
      </w:rPr>
      <w:t xml:space="preserve"> a 6 de março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622CA0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B27FB0">
      <w:rPr>
        <w:b/>
        <w:sz w:val="40"/>
        <w:szCs w:val="40"/>
      </w:rPr>
      <w:t>9</w:t>
    </w:r>
  </w:p>
  <w:p w:rsidR="00FE00AD" w:rsidRPr="005D1DE4" w:rsidRDefault="005221E4">
    <w:pPr>
      <w:pStyle w:val="Cabealho"/>
      <w:jc w:val="right"/>
      <w:rPr>
        <w:i/>
        <w:iCs/>
        <w:sz w:val="10"/>
        <w:szCs w:val="10"/>
      </w:rPr>
    </w:pPr>
    <w:r>
      <w:rPr>
        <w:i/>
        <w:iCs/>
      </w:rPr>
      <w:t>Período:</w:t>
    </w:r>
    <w:r w:rsidR="00876932">
      <w:rPr>
        <w:i/>
        <w:iCs/>
      </w:rPr>
      <w:t xml:space="preserve"> </w:t>
    </w:r>
    <w:r w:rsidR="00F1711D">
      <w:rPr>
        <w:i/>
        <w:iCs/>
      </w:rPr>
      <w:t>1</w:t>
    </w:r>
    <w:r w:rsidR="00B27FB0">
      <w:rPr>
        <w:i/>
        <w:iCs/>
      </w:rPr>
      <w:t>3</w:t>
    </w:r>
    <w:r w:rsidR="00A232FF">
      <w:rPr>
        <w:i/>
        <w:iCs/>
      </w:rPr>
      <w:t xml:space="preserve"> de </w:t>
    </w:r>
    <w:r w:rsidR="00F1711D">
      <w:rPr>
        <w:i/>
        <w:iCs/>
      </w:rPr>
      <w:t xml:space="preserve">dezembro </w:t>
    </w:r>
    <w:r w:rsidR="00A232FF">
      <w:rPr>
        <w:i/>
        <w:iCs/>
      </w:rPr>
      <w:t>de 2016</w:t>
    </w:r>
    <w:r w:rsidR="00B27FB0">
      <w:rPr>
        <w:i/>
        <w:iCs/>
      </w:rPr>
      <w:t xml:space="preserve"> a 6 de março de 2017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0E766E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2774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3F7ADC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3238"/>
    <w:rsid w:val="00474C4A"/>
    <w:rsid w:val="00481282"/>
    <w:rsid w:val="00486521"/>
    <w:rsid w:val="00486DFC"/>
    <w:rsid w:val="004922D6"/>
    <w:rsid w:val="004A14FC"/>
    <w:rsid w:val="004A4DC6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4F6939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854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22CA0"/>
    <w:rsid w:val="00631166"/>
    <w:rsid w:val="00631F1C"/>
    <w:rsid w:val="006366A4"/>
    <w:rsid w:val="006456B1"/>
    <w:rsid w:val="006564EC"/>
    <w:rsid w:val="00660228"/>
    <w:rsid w:val="0066084C"/>
    <w:rsid w:val="006672B8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131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9433C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28E4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36352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232F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2CCB"/>
    <w:rsid w:val="00B14F7F"/>
    <w:rsid w:val="00B16EB9"/>
    <w:rsid w:val="00B22F24"/>
    <w:rsid w:val="00B22F53"/>
    <w:rsid w:val="00B24DBE"/>
    <w:rsid w:val="00B27FB0"/>
    <w:rsid w:val="00B328A2"/>
    <w:rsid w:val="00B34EB2"/>
    <w:rsid w:val="00B514FE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10C3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810"/>
    <w:rsid w:val="00C76CFA"/>
    <w:rsid w:val="00C963F8"/>
    <w:rsid w:val="00C96BB1"/>
    <w:rsid w:val="00CA1806"/>
    <w:rsid w:val="00CA2F80"/>
    <w:rsid w:val="00CB0C2A"/>
    <w:rsid w:val="00CC0DA6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4840"/>
    <w:rsid w:val="00D2776A"/>
    <w:rsid w:val="00D30931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4DAF"/>
    <w:rsid w:val="00E070D2"/>
    <w:rsid w:val="00E14DAA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2CD7"/>
    <w:rsid w:val="00EA482D"/>
    <w:rsid w:val="00EB5FE6"/>
    <w:rsid w:val="00EB61A5"/>
    <w:rsid w:val="00EB7A09"/>
    <w:rsid w:val="00EC5AF4"/>
    <w:rsid w:val="00ED273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11D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4001138&amp;digitoTst=73&amp;anoTst=2010&amp;orgaoTst=5&amp;tribunalTst=03&amp;varaTst=00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48900&amp;digitoTst=10&amp;anoTst=2007&amp;orgaoTst=5&amp;tribunalTst=04&amp;varaTst=02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68700&amp;digitoTst=21&amp;anoTst=2006&amp;orgaoTst=5&amp;tribunalTst=02&amp;varaTst=000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11F4-34A6-41FB-AC0F-98CF5042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6348</CharactersWithSpaces>
  <SharedDoc>false</SharedDoc>
  <HLinks>
    <vt:vector size="18" baseType="variant"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http://aplicacao4.tst.jus.br/consultaProcessual/consultaTstNumUnica.do?consulta=Consultar&amp;conscsjt=&amp;numeroTst=4001138&amp;digitoTst=73&amp;anoTst=2010&amp;orgaoTst=5&amp;tribunalTst=03&amp;varaTst=0001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http://aplicacao4.tst.jus.br/consultaProcessual/consultaTstNumUnica.do?consulta=Consultar&amp;conscsjt=&amp;numeroTst=48900&amp;digitoTst=10&amp;anoTst=2007&amp;orgaoTst=5&amp;tribunalTst=04&amp;varaTst=0203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http://aplicacao4.tst.jus.br/consultaProcessual/consultaTstNumUnica.do?consulta=Consultar&amp;conscsjt=&amp;numeroTst=68700&amp;digitoTst=21&amp;anoTst=2006&amp;orgaoTst=5&amp;tribunalTst=02&amp;varaTst=0007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c041658</dc:creator>
  <cp:lastModifiedBy>c041658</cp:lastModifiedBy>
  <cp:revision>2</cp:revision>
  <cp:lastPrinted>2016-02-26T19:47:00Z</cp:lastPrinted>
  <dcterms:created xsi:type="dcterms:W3CDTF">2017-12-24T01:33:00Z</dcterms:created>
  <dcterms:modified xsi:type="dcterms:W3CDTF">2017-12-24T01:33:00Z</dcterms:modified>
</cp:coreProperties>
</file>