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CE7555" w:rsidTr="00FB20B1">
        <w:tblPrEx>
          <w:tblCellMar>
            <w:top w:w="0" w:type="dxa"/>
            <w:bottom w:w="0" w:type="dxa"/>
          </w:tblCellMar>
        </w:tblPrEx>
        <w:trPr>
          <w:trHeight w:val="537"/>
        </w:trPr>
        <w:tc>
          <w:tcPr>
            <w:tcW w:w="9538" w:type="dxa"/>
          </w:tcPr>
          <w:p w:rsidR="00C26DFB" w:rsidRDefault="00C26DFB" w:rsidP="00DC50EB">
            <w:pPr>
              <w:pStyle w:val="Cabealho"/>
              <w:tabs>
                <w:tab w:val="clear" w:pos="4419"/>
                <w:tab w:val="clear" w:pos="8838"/>
              </w:tabs>
              <w:jc w:val="both"/>
            </w:pPr>
            <w:bookmarkStart w:id="0" w:name="_GoBack"/>
            <w:bookmarkEnd w:id="0"/>
            <w:r w:rsidRPr="00CE7555">
              <w:t>Este Informativo, elaborado a partir de notas tomadas nas sessões de julgamentos, contém resumos não</w:t>
            </w:r>
            <w:r w:rsidR="00DC50EB" w:rsidRPr="00CE7555">
              <w:t xml:space="preserve"> </w:t>
            </w:r>
            <w:r w:rsidRPr="00CE7555">
              <w:t>oficiais de decisões proferidas pelo Tribunal. A fidelidade dos resumos ao conteúdo efetivo das decisões, embora seja uma das metas perseguidas neste trabalho, somente poderá ser aferida após a sua publicação no Diário</w:t>
            </w:r>
            <w:r w:rsidR="00980944" w:rsidRPr="00CE7555">
              <w:t xml:space="preserve"> Eletrônico </w:t>
            </w:r>
            <w:r w:rsidRPr="00CE7555">
              <w:t>da Justiça</w:t>
            </w:r>
            <w:r w:rsidR="00980944" w:rsidRPr="00CE7555">
              <w:t xml:space="preserve"> do Trabalho</w:t>
            </w:r>
            <w:r w:rsidRPr="00CE7555">
              <w:t>.</w:t>
            </w:r>
          </w:p>
          <w:p w:rsidR="00B55AB4" w:rsidRPr="00E531C9" w:rsidRDefault="00B55AB4" w:rsidP="00DC50EB">
            <w:pPr>
              <w:pStyle w:val="Cabealho"/>
              <w:tabs>
                <w:tab w:val="clear" w:pos="4419"/>
                <w:tab w:val="clear" w:pos="8838"/>
              </w:tabs>
              <w:jc w:val="both"/>
              <w:rPr>
                <w:sz w:val="10"/>
                <w:szCs w:val="10"/>
              </w:rPr>
            </w:pPr>
          </w:p>
        </w:tc>
      </w:tr>
    </w:tbl>
    <w:p w:rsidR="00077EAD" w:rsidRPr="00CE7555" w:rsidRDefault="00077EAD" w:rsidP="00077EAD">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w:t>
      </w:r>
      <w:r w:rsidR="009D10FB">
        <w:rPr>
          <w:rFonts w:ascii="Times New Roman" w:hAnsi="Times New Roman" w:cs="Times New Roman"/>
          <w:b/>
          <w:bCs/>
          <w:shadow/>
          <w:color w:val="auto"/>
          <w:sz w:val="25"/>
          <w:szCs w:val="25"/>
          <w:lang w:val="pt-BR"/>
        </w:rPr>
        <w:t>EÇÃO ESPECIALIZADA EM DISSÍDIOS COLETIVOS</w:t>
      </w:r>
    </w:p>
    <w:p w:rsidR="00971F6D" w:rsidRPr="00052550" w:rsidRDefault="00971F6D" w:rsidP="00971F6D">
      <w:pPr>
        <w:jc w:val="both"/>
        <w:rPr>
          <w:sz w:val="24"/>
          <w:szCs w:val="24"/>
          <w:u w:val="single"/>
        </w:rPr>
      </w:pPr>
    </w:p>
    <w:p w:rsidR="009D10FB" w:rsidRPr="001F2F34" w:rsidRDefault="009D10FB" w:rsidP="009D10FB">
      <w:pPr>
        <w:jc w:val="both"/>
        <w:rPr>
          <w:rFonts w:eastAsia="Calibri"/>
          <w:b/>
          <w:i/>
          <w:sz w:val="24"/>
          <w:szCs w:val="24"/>
        </w:rPr>
      </w:pPr>
      <w:r w:rsidRPr="001F2F34">
        <w:rPr>
          <w:rFonts w:eastAsia="Calibri"/>
          <w:b/>
          <w:i/>
          <w:sz w:val="24"/>
          <w:szCs w:val="24"/>
        </w:rPr>
        <w:t>Dissídio coletivo de natureza econômica. Terceirização. Limitação por sentença normativa. Impossibilidade</w:t>
      </w:r>
    </w:p>
    <w:p w:rsidR="009D10FB" w:rsidRPr="001F2F34" w:rsidRDefault="009D10FB" w:rsidP="009D10FB">
      <w:pPr>
        <w:jc w:val="both"/>
        <w:rPr>
          <w:rFonts w:eastAsia="Calibri"/>
          <w:sz w:val="24"/>
          <w:szCs w:val="24"/>
        </w:rPr>
      </w:pPr>
      <w:r w:rsidRPr="001F2F34">
        <w:rPr>
          <w:rFonts w:eastAsia="Calibri"/>
          <w:sz w:val="24"/>
          <w:szCs w:val="24"/>
        </w:rPr>
        <w:t xml:space="preserve">A Súmula nº 331 do TST não contém uma proibição absoluta à terceirização em atividade-fim, razão pela qual não é possível, em sede de sentença normativa, deferir cláusula estabelecendo que “todas as atividades permanentes serão realizadas por pessoal próprio e que as atividades realizadas por serviços de terceiros serão limitadas às atividades esporádicas ou não rotineiras”. O deferimento de cláusula que proíba terminantemente a terceirização, sem que tenha havido negociação entre as partes, pode inviabilizar a criação de novos métodos de gerenciamento da atividade produtiva que não necessariamente resultem em fraude à legislação trabalhista ou contrariedade à Súmula nº 331 do TST. Sob esses fundamentos, a SDC, por maioria, negou provimento à cláusula em questão, mantendo o seu indeferimento. Vencidos os Ministros Mauricio Godinho Delgado, relator, e Maria de Assis Calsing. </w:t>
      </w:r>
      <w:hyperlink r:id="rId8" w:history="1">
        <w:r w:rsidRPr="0027684A">
          <w:rPr>
            <w:rStyle w:val="Hyperlink"/>
            <w:rFonts w:eastAsia="Calibri"/>
            <w:sz w:val="24"/>
            <w:szCs w:val="24"/>
          </w:rPr>
          <w:t>TST-RO-361-12.2014.5.07.0000</w:t>
        </w:r>
      </w:hyperlink>
      <w:r w:rsidRPr="001F2F34">
        <w:rPr>
          <w:rFonts w:eastAsia="Calibri"/>
          <w:sz w:val="24"/>
          <w:szCs w:val="24"/>
          <w:u w:val="single"/>
        </w:rPr>
        <w:t>, SDC, rel. Min. Mauricio Godinho Delgado, 13.2.2017</w:t>
      </w:r>
    </w:p>
    <w:p w:rsidR="009D10FB" w:rsidRPr="00052550" w:rsidRDefault="009D10FB" w:rsidP="00052550">
      <w:pPr>
        <w:rPr>
          <w:b/>
          <w:i/>
        </w:rPr>
      </w:pPr>
    </w:p>
    <w:p w:rsidR="009D10FB" w:rsidRPr="001F2F34" w:rsidRDefault="009D10FB" w:rsidP="009D10FB">
      <w:pPr>
        <w:pStyle w:val="Identificao"/>
        <w:rPr>
          <w:rFonts w:ascii="Times New Roman" w:eastAsia="Calibri" w:hAnsi="Times New Roman" w:cs="Times New Roman"/>
          <w:b/>
          <w:i/>
          <w:color w:val="auto"/>
          <w:lang w:val="pt-BR" w:eastAsia="en-US"/>
        </w:rPr>
      </w:pPr>
      <w:r w:rsidRPr="001F2F34">
        <w:rPr>
          <w:rFonts w:ascii="Times New Roman" w:eastAsia="Calibri" w:hAnsi="Times New Roman" w:cs="Times New Roman"/>
          <w:b/>
          <w:i/>
          <w:color w:val="auto"/>
          <w:lang w:val="pt-BR" w:eastAsia="en-US"/>
        </w:rPr>
        <w:t>Dissídio coletivo de greve. Não cumprimento imediato da sentença normativa pela empresa. Irregular exercício do direito de greve pela categoria profissional. Culpa recíproca. Descontos dos dias parados. Estabilidade provisória indevida.</w:t>
      </w:r>
    </w:p>
    <w:p w:rsidR="009D10FB" w:rsidRPr="001F2F34" w:rsidRDefault="009D10FB" w:rsidP="009D10FB">
      <w:pPr>
        <w:pStyle w:val="Identificao"/>
        <w:rPr>
          <w:rFonts w:ascii="Times New Roman" w:eastAsia="Calibri" w:hAnsi="Times New Roman" w:cs="Times New Roman"/>
          <w:color w:val="auto"/>
          <w:lang w:eastAsia="en-US"/>
        </w:rPr>
      </w:pPr>
      <w:r w:rsidRPr="001F2F34">
        <w:rPr>
          <w:rFonts w:ascii="Times New Roman" w:eastAsia="Calibri" w:hAnsi="Times New Roman" w:cs="Times New Roman"/>
          <w:color w:val="auto"/>
          <w:lang w:val="pt-BR" w:eastAsia="en-US"/>
        </w:rPr>
        <w:t xml:space="preserve">A SDC, por maioria, conheceu do recurso ordinário e, no mérito, deu-lhe parcial provimento para declarar a culpa recíproca das partes no tocante à greve deflagrada em 10.7.2014, determinar o desconto dos dias de paralisação e indeferir a estabilidade provisória, nos termos da Orientação Jurisprudencial nº 10 da SDC. Na hipótese, a empresa agiu mal ao decidir pelo não cumprimento imediato da sentença normativa quanto ao reajuste ali fixado, a pretexto da interposição de embargos de declaração. Todavia, a categoria profissional também atuou em desconformidade com o direito, pois deflagrou nova greve, sem as notificações devidas, e mesmo após a existência de sentença normativa a seu favor, passível de ação de cumprimento, portanto. Vencidos os Ministros Mauricio Godinho Delgado e Kátia Magalhães Arruda. </w:t>
      </w:r>
      <w:hyperlink r:id="rId9" w:history="1">
        <w:r w:rsidRPr="0027684A">
          <w:rPr>
            <w:rStyle w:val="Hyperlink"/>
            <w:rFonts w:ascii="Times New Roman" w:eastAsia="Calibri" w:hAnsi="Times New Roman"/>
            <w:lang w:eastAsia="en-US"/>
          </w:rPr>
          <w:t>TST-RO-1000974-53.2014.5.02.0000</w:t>
        </w:r>
      </w:hyperlink>
      <w:r w:rsidRPr="001F2F34">
        <w:rPr>
          <w:rFonts w:ascii="Times New Roman" w:eastAsia="Calibri" w:hAnsi="Times New Roman" w:cs="Times New Roman"/>
          <w:color w:val="auto"/>
          <w:u w:val="single"/>
          <w:lang w:eastAsia="en-US"/>
        </w:rPr>
        <w:t>, SDC, rel. Min. Maria de Assis Calsing, 13.2.2017</w:t>
      </w:r>
    </w:p>
    <w:p w:rsidR="0040506F" w:rsidRDefault="0040506F" w:rsidP="00077EAD">
      <w:pPr>
        <w:jc w:val="both"/>
        <w:rPr>
          <w:u w:val="single"/>
        </w:rPr>
      </w:pPr>
    </w:p>
    <w:p w:rsidR="009D10FB" w:rsidRPr="00CE7555" w:rsidRDefault="009D10FB" w:rsidP="009D10FB">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5"/>
          <w:szCs w:val="25"/>
          <w:lang w:val="pt-BR"/>
        </w:rPr>
      </w:pPr>
      <w:r>
        <w:rPr>
          <w:rFonts w:ascii="Times New Roman" w:hAnsi="Times New Roman" w:cs="Times New Roman"/>
          <w:b/>
          <w:bCs/>
          <w:shadow/>
          <w:color w:val="auto"/>
          <w:sz w:val="25"/>
          <w:szCs w:val="25"/>
          <w:lang w:val="pt-BR"/>
        </w:rPr>
        <w:t>SUBSEÇÃO I ESPECIALIZADA EM DISSÍDIOS INDIVIDUAIS</w:t>
      </w:r>
    </w:p>
    <w:p w:rsidR="009D10FB" w:rsidRPr="00052550" w:rsidRDefault="009D10FB" w:rsidP="009D10FB">
      <w:pPr>
        <w:jc w:val="both"/>
        <w:rPr>
          <w:sz w:val="24"/>
          <w:szCs w:val="24"/>
          <w:u w:val="single"/>
        </w:rPr>
      </w:pPr>
    </w:p>
    <w:p w:rsidR="009D10FB" w:rsidRPr="001F2F34" w:rsidRDefault="009D10FB" w:rsidP="009D10FB">
      <w:pPr>
        <w:pStyle w:val="Identificao"/>
        <w:rPr>
          <w:rFonts w:ascii="Times New Roman" w:eastAsia="Calibri" w:hAnsi="Times New Roman" w:cs="Times New Roman"/>
          <w:b/>
          <w:i/>
          <w:color w:val="auto"/>
          <w:lang w:val="pt-BR" w:eastAsia="en-US"/>
        </w:rPr>
      </w:pPr>
      <w:r w:rsidRPr="001F2F34">
        <w:rPr>
          <w:rFonts w:ascii="Times New Roman" w:eastAsia="Calibri" w:hAnsi="Times New Roman" w:cs="Times New Roman"/>
          <w:b/>
          <w:i/>
          <w:color w:val="auto"/>
          <w:lang w:val="pt-BR" w:eastAsia="en-US"/>
        </w:rPr>
        <w:t>Rescisão indireta. Caracterização. Art. 483 da CLT. Princípio da imediatidade. Inaplicabilidade. Necessidade de manutenção do contrato de emprego por parte do empregado.</w:t>
      </w:r>
    </w:p>
    <w:p w:rsidR="009D10FB" w:rsidRPr="001F2F34" w:rsidRDefault="009D10FB" w:rsidP="009D10FB">
      <w:pPr>
        <w:pStyle w:val="Identificao"/>
        <w:rPr>
          <w:rFonts w:ascii="Times New Roman" w:eastAsia="Calibri" w:hAnsi="Times New Roman" w:cs="Times New Roman"/>
          <w:color w:val="auto"/>
          <w:lang w:val="pt-BR" w:eastAsia="en-US"/>
        </w:rPr>
      </w:pPr>
      <w:r w:rsidRPr="001F2F34">
        <w:rPr>
          <w:rFonts w:ascii="Times New Roman" w:eastAsia="Calibri" w:hAnsi="Times New Roman" w:cs="Times New Roman"/>
          <w:color w:val="auto"/>
          <w:lang w:val="pt-BR" w:eastAsia="en-US"/>
        </w:rPr>
        <w:t xml:space="preserve">Não constitui óbice ao reconhecimento da rescisão indireta do contrato de trabalho a ausência de imediatidade entre a ocorrência da conduta patronal faltosa e a propositura da reclamação pelo empregado, diante do desequilíbrio econômico entre as partes e a necessidade de manutenção do contrato de emprego, fator preponderante para a subsistência do trabalhador e de sua família. No caso, o descumprimento reiterado das obrigações trabalhistas pelo empregador (não pagamento de adicionais, horas extras e intervalos) caracteriza a hipótese de falta grave empresarial tipificada no art. 483, “d”, da CLT, de modo a autorizar a rescisão indireta do contrato de trabalho, com ônus rescisórios para a empresa. Sob esses fundamentos, a SBDI-I, por unanimidade, conheceu dos </w:t>
      </w:r>
      <w:r w:rsidRPr="001F2F34">
        <w:rPr>
          <w:rFonts w:ascii="Times New Roman" w:eastAsia="Calibri" w:hAnsi="Times New Roman" w:cs="Times New Roman"/>
          <w:color w:val="auto"/>
          <w:lang w:val="pt-BR" w:eastAsia="en-US"/>
        </w:rPr>
        <w:lastRenderedPageBreak/>
        <w:t xml:space="preserve">embargos por contrariedade à Súmula nº 126 do TST e, no mérito, deu-lhes provimento para reconhecer a rescisão indireta do contrato de trabalho e, por corolário, acrescer à condenação o pagamento das verbas rescisórias correlatas. </w:t>
      </w:r>
      <w:hyperlink r:id="rId10" w:history="1">
        <w:r w:rsidRPr="0027684A">
          <w:rPr>
            <w:rStyle w:val="Hyperlink"/>
            <w:rFonts w:ascii="Times New Roman" w:eastAsia="Calibri" w:hAnsi="Times New Roman"/>
            <w:lang w:val="pt-BR" w:eastAsia="en-US"/>
          </w:rPr>
          <w:t>TST-E-RR-1044-36.2014.5.03.0105</w:t>
        </w:r>
      </w:hyperlink>
      <w:r w:rsidRPr="001F2F34">
        <w:rPr>
          <w:rFonts w:ascii="Times New Roman" w:eastAsia="Calibri" w:hAnsi="Times New Roman" w:cs="Times New Roman"/>
          <w:color w:val="auto"/>
          <w:u w:val="single"/>
          <w:lang w:val="pt-BR" w:eastAsia="en-US"/>
        </w:rPr>
        <w:t>, SBDI-I, rel. Min. Walmir Oliveira da Costa, 9.2.2017</w:t>
      </w:r>
    </w:p>
    <w:p w:rsidR="009D10FB" w:rsidRPr="00052550" w:rsidRDefault="009D10FB" w:rsidP="009D10FB">
      <w:pPr>
        <w:pStyle w:val="Corpo"/>
        <w:spacing w:line="240" w:lineRule="auto"/>
        <w:ind w:firstLine="0"/>
        <w:rPr>
          <w:rFonts w:ascii="Times New Roman" w:eastAsia="Calibri" w:hAnsi="Times New Roman" w:cs="Times New Roman"/>
          <w:color w:val="auto"/>
          <w:sz w:val="20"/>
          <w:szCs w:val="20"/>
          <w:lang w:val="pt-BR" w:eastAsia="en-US"/>
        </w:rPr>
      </w:pPr>
    </w:p>
    <w:p w:rsidR="009D10FB" w:rsidRPr="001F2F34" w:rsidRDefault="009D10FB" w:rsidP="00052550">
      <w:pPr>
        <w:jc w:val="both"/>
        <w:rPr>
          <w:b/>
          <w:i/>
          <w:sz w:val="24"/>
          <w:szCs w:val="24"/>
        </w:rPr>
      </w:pPr>
      <w:r w:rsidRPr="001F2F34">
        <w:rPr>
          <w:b/>
          <w:i/>
          <w:sz w:val="24"/>
          <w:szCs w:val="24"/>
        </w:rPr>
        <w:t xml:space="preserve">Redução salarial. Diferenças. Violação do art. 7º, VI, da CF e dos arts. 444 e 468 da CLT. </w:t>
      </w:r>
      <w:r w:rsidR="00052550">
        <w:rPr>
          <w:b/>
          <w:i/>
          <w:sz w:val="24"/>
          <w:szCs w:val="24"/>
        </w:rPr>
        <w:t>P</w:t>
      </w:r>
      <w:r w:rsidRPr="001F2F34">
        <w:rPr>
          <w:b/>
          <w:i/>
          <w:sz w:val="24"/>
          <w:szCs w:val="24"/>
        </w:rPr>
        <w:t xml:space="preserve">rescrição Parcial.  Parte final da Súmula nº 294 do TST.  </w:t>
      </w:r>
    </w:p>
    <w:p w:rsidR="009D10FB" w:rsidRPr="001F2F34" w:rsidRDefault="009D10FB" w:rsidP="009D10FB">
      <w:pPr>
        <w:jc w:val="both"/>
        <w:rPr>
          <w:sz w:val="24"/>
          <w:szCs w:val="24"/>
          <w:u w:val="single"/>
        </w:rPr>
      </w:pPr>
      <w:r w:rsidRPr="001F2F34">
        <w:rPr>
          <w:sz w:val="24"/>
          <w:szCs w:val="24"/>
        </w:rPr>
        <w:t xml:space="preserve">Aplica-se a prescrição parcial à pretensão de diferenças salariais na hipótese em que o reclamante, ao retornar ao trabalho após afastamento por auxílio-doença, teve seu salário reduzido sob o argumento de que não teria mais condições físicas para exercer sua antiga função. A proteção ao salário está consagrada no art. 7º, VI, da CF e também nos arts. 444 e 468 da CLT, referentes à irredutibilidade salarial e à inalterabilidade contratual lesiva. Assim, incide a parte final da Súmula nº 294 do TST, pois a cada mês se renova a violação da norma constitucional e da CLT. Sob esses fundamentos, a SBDI-I, por maioria, conheceu dos embargos por divergência jurisprudencial, e, no mérito, deu-lhes provimento para aplicar a prescrição parcial à pretensão de diferenças salariais decorrentes da redução salarial e determinar o retorno dos autos à Vara do Trabalho de origem para que analise esse pedido, como entender de direito. Vencidos os Ministros João Oreste Dalazen, Brito Pereira, Renato de Lacerda Paiva, Márcio Eurico Vitral Amaro e Walmir Oliveira da Costa. </w:t>
      </w:r>
      <w:hyperlink r:id="rId11" w:history="1">
        <w:r w:rsidRPr="001F2F34">
          <w:rPr>
            <w:rStyle w:val="Hyperlink"/>
            <w:sz w:val="24"/>
            <w:szCs w:val="24"/>
          </w:rPr>
          <w:t>TST-E-ED-RR-44500-65.2005.5.10.0005</w:t>
        </w:r>
      </w:hyperlink>
      <w:r w:rsidRPr="001F2F34">
        <w:rPr>
          <w:sz w:val="24"/>
          <w:szCs w:val="24"/>
          <w:u w:val="single"/>
        </w:rPr>
        <w:t>, SBDI-I, rel. Min. José Roberto Freire Pimenta, 9.2.2017</w:t>
      </w:r>
    </w:p>
    <w:p w:rsidR="009D10FB" w:rsidRPr="00052550" w:rsidRDefault="009D10FB" w:rsidP="009D10FB">
      <w:pPr>
        <w:jc w:val="both"/>
        <w:rPr>
          <w:u w:val="single"/>
        </w:rPr>
      </w:pPr>
    </w:p>
    <w:p w:rsidR="009D10FB" w:rsidRPr="001F2F34" w:rsidRDefault="009D10FB" w:rsidP="009D10FB">
      <w:pPr>
        <w:jc w:val="both"/>
        <w:rPr>
          <w:b/>
          <w:i/>
          <w:sz w:val="24"/>
          <w:szCs w:val="24"/>
        </w:rPr>
      </w:pPr>
      <w:r w:rsidRPr="001F2F34">
        <w:rPr>
          <w:b/>
          <w:i/>
          <w:sz w:val="24"/>
          <w:szCs w:val="24"/>
        </w:rPr>
        <w:t>Vendedor-propagandista. Aplicação das normas coletivas firmadas no local da prestação dos serviços. Principio da territorialidade. Inaplicabilidade da Súmula nº 374 do TST.</w:t>
      </w:r>
    </w:p>
    <w:p w:rsidR="009D10FB" w:rsidRPr="001F2F34" w:rsidRDefault="009D10FB" w:rsidP="009D10FB">
      <w:pPr>
        <w:jc w:val="both"/>
        <w:rPr>
          <w:sz w:val="24"/>
          <w:szCs w:val="24"/>
        </w:rPr>
      </w:pPr>
      <w:r w:rsidRPr="001F2F34">
        <w:rPr>
          <w:sz w:val="24"/>
          <w:szCs w:val="24"/>
        </w:rPr>
        <w:t xml:space="preserve">O âmbito de eficácia da norma coletiva é definido de acordo com o local da prestação dos serviços pelo empregado e não da sede da empresa. No caso, verificou-se que o autor foi admitido como vendedor-propagandista no Estado de São Paulo, mas prestou serviços no Estado do Rio Grande do Sul, onde, inclusive, foi homologada a sua rescisão contratual. Assim, com base no princípio da territorialidade, são aplicáveis ao empregado as normas coletivas negociadas pelos sindicatos da categoria profissional e econômica do Estado do Rio Grande do Sul, não incidindo, portanto, o entendimento contido na Súmula nº 374 do TST. Sob esse fundamento, a SBDI-I, por maioria, conheceu do recurso de embargos por divergência jurisprudencial e por má-aplicação da Súmula nº 374 do TST e, no mérito, deu-lhe provimento para restabelecer o acórdão do Regional, no qual se determinou a incidência das normas coletivas firmadas no local da prestação dos serviços. Vencidos os Ministros Márcio Eurico Vitral Amaro, relator, João Oreste Dalazen, Ives Gandra Martins Filho, Brito Pereira, Guilherme Augusto Caputo Bastos e Alexandre Agra Belmonte. Ainda por maioria, a Subseção rejeitou a proposta de afetação da questão jurídica ao rito dos recursos repetitivos, vencidos os Ministros Guilherme Augusto Caputo Bastos, proponente, João Oreste Dalazen, Brito Pereira, Renato de Lacerda Paiva, Walmir Oliveira da Costa e Alexandre Agra Belmonte. </w:t>
      </w:r>
      <w:hyperlink r:id="rId12" w:history="1">
        <w:r w:rsidRPr="0027684A">
          <w:rPr>
            <w:rStyle w:val="Hyperlink"/>
            <w:sz w:val="24"/>
            <w:szCs w:val="24"/>
          </w:rPr>
          <w:t>TST-E-ED-RR-96900-23.2007.5.04.0015</w:t>
        </w:r>
      </w:hyperlink>
      <w:r w:rsidRPr="001F2F34">
        <w:rPr>
          <w:sz w:val="24"/>
          <w:szCs w:val="24"/>
          <w:u w:val="single"/>
        </w:rPr>
        <w:t>, SBDI-I, rel. Min. Márcio Eurico Vitral Amaro, red. p/ acórdão Min. José Roberto Freire Pimenta, 9.2.2017</w:t>
      </w:r>
    </w:p>
    <w:p w:rsidR="009D10FB" w:rsidRPr="00052550" w:rsidRDefault="009D10FB" w:rsidP="009D10FB">
      <w:pPr>
        <w:ind w:right="-567"/>
        <w:jc w:val="both"/>
      </w:pPr>
    </w:p>
    <w:p w:rsidR="009D10FB" w:rsidRPr="001F2F34" w:rsidRDefault="009D10FB" w:rsidP="009D10FB">
      <w:pPr>
        <w:ind w:right="-71"/>
        <w:jc w:val="both"/>
        <w:rPr>
          <w:b/>
          <w:i/>
          <w:sz w:val="24"/>
          <w:szCs w:val="24"/>
        </w:rPr>
      </w:pPr>
      <w:r w:rsidRPr="001F2F34">
        <w:rPr>
          <w:b/>
          <w:i/>
          <w:sz w:val="24"/>
          <w:szCs w:val="24"/>
        </w:rPr>
        <w:t xml:space="preserve">Caixa bancário. Intervalo do digitador. Indevido. </w:t>
      </w:r>
    </w:p>
    <w:p w:rsidR="009D10FB" w:rsidRPr="001F2F34" w:rsidRDefault="009D10FB" w:rsidP="009D10FB">
      <w:pPr>
        <w:ind w:right="-71"/>
        <w:jc w:val="both"/>
        <w:rPr>
          <w:sz w:val="24"/>
          <w:szCs w:val="24"/>
        </w:rPr>
      </w:pPr>
      <w:r w:rsidRPr="001F2F34">
        <w:rPr>
          <w:sz w:val="24"/>
          <w:szCs w:val="24"/>
        </w:rPr>
        <w:t xml:space="preserve">O caixa bancário não tem direito ao intervalo do digitador previsto no art. 72 da CLT, na NR 17 e nas normas coletivas da categoria, porquanto não desenvolve atividade preponderantemente de digitação. Com esses fundamentos, a SBDI-I, por unanimidade, conheceu do recurso de embargos, por divergência jurisprudencial, e, no mérito, por maioria, deu-lhe provimento para, reformando a decisão embargada, restabelecer o acórdão do Regional que indeferiu o pagamento dos 10 minutos de intervalo para cada 50 minutos trabalhados. Vencidos os Ministros Cláudio Mascarenhas Brandão, Augusto César Leite de Carvalho, José Roberto Freire Pimenta e Hugo Carlos Scheuermann. </w:t>
      </w:r>
      <w:hyperlink r:id="rId13" w:history="1">
        <w:r w:rsidRPr="0027684A">
          <w:rPr>
            <w:rStyle w:val="Hyperlink"/>
            <w:sz w:val="24"/>
            <w:szCs w:val="24"/>
          </w:rPr>
          <w:t>TST-E-RR-100499-71.2013.5.17.0152</w:t>
        </w:r>
      </w:hyperlink>
      <w:r w:rsidRPr="001F2F34">
        <w:rPr>
          <w:sz w:val="24"/>
          <w:szCs w:val="24"/>
          <w:u w:val="single"/>
        </w:rPr>
        <w:t>, SBDI-I, rel. Min. Alexandre de Agra Belmonte , 9.2.2017</w:t>
      </w:r>
    </w:p>
    <w:p w:rsidR="009D10FB" w:rsidRDefault="009D10FB" w:rsidP="009D10FB">
      <w:pPr>
        <w:jc w:val="both"/>
        <w:rPr>
          <w:u w:val="single"/>
        </w:rPr>
      </w:pPr>
    </w:p>
    <w:p w:rsidR="00052550" w:rsidRDefault="00052550" w:rsidP="009D10FB">
      <w:pPr>
        <w:jc w:val="both"/>
        <w:rPr>
          <w:u w:val="single"/>
        </w:rPr>
      </w:pPr>
    </w:p>
    <w:p w:rsidR="00052550" w:rsidRDefault="00052550" w:rsidP="009D10FB">
      <w:pPr>
        <w:jc w:val="both"/>
        <w:rPr>
          <w:u w:val="single"/>
        </w:rPr>
      </w:pPr>
    </w:p>
    <w:p w:rsidR="00052550" w:rsidRPr="0040506F" w:rsidRDefault="00052550" w:rsidP="009D10FB">
      <w:pPr>
        <w:jc w:val="both"/>
        <w:rPr>
          <w:u w:val="single"/>
        </w:rPr>
      </w:pPr>
    </w:p>
    <w:p w:rsidR="00077EAD" w:rsidRPr="0040506F" w:rsidRDefault="00077EAD" w:rsidP="006D0B48">
      <w:pPr>
        <w:jc w:val="both"/>
        <w:rPr>
          <w:u w:val="single"/>
        </w:rPr>
      </w:pPr>
    </w:p>
    <w:p w:rsidR="0027684A" w:rsidRPr="00CB3B98" w:rsidRDefault="0027684A" w:rsidP="0027684A">
      <w:pPr>
        <w:pStyle w:val="Corp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spacing w:line="240" w:lineRule="auto"/>
        <w:ind w:left="1418" w:right="1417" w:firstLine="0"/>
        <w:jc w:val="center"/>
        <w:rPr>
          <w:rFonts w:ascii="Times New Roman" w:hAnsi="Times New Roman" w:cs="Times New Roman"/>
          <w:b/>
          <w:bCs/>
          <w:shadow/>
          <w:color w:val="auto"/>
          <w:sz w:val="25"/>
          <w:szCs w:val="25"/>
          <w:lang w:val="pt-BR"/>
        </w:rPr>
      </w:pPr>
      <w:r w:rsidRPr="00CB3B98">
        <w:rPr>
          <w:rFonts w:ascii="Times New Roman" w:hAnsi="Times New Roman" w:cs="Times New Roman"/>
          <w:b/>
          <w:bCs/>
          <w:shadow/>
          <w:color w:val="auto"/>
          <w:sz w:val="25"/>
          <w:szCs w:val="25"/>
          <w:lang w:val="pt-BR"/>
        </w:rPr>
        <w:t>ERRATA</w:t>
      </w:r>
    </w:p>
    <w:p w:rsidR="0027684A" w:rsidRPr="00F627C9" w:rsidRDefault="0027684A" w:rsidP="0027684A">
      <w:pPr>
        <w:pStyle w:val="Corp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418" w:right="1417" w:firstLine="0"/>
        <w:rPr>
          <w:rFonts w:ascii="Times New Roman" w:eastAsia="Calibri" w:hAnsi="Times New Roman" w:cs="Times New Roman"/>
          <w:color w:val="auto"/>
          <w:u w:val="single"/>
          <w:lang w:val="pt-BR" w:eastAsia="en-US"/>
        </w:rPr>
      </w:pPr>
      <w:r w:rsidRPr="00CB3B98">
        <w:rPr>
          <w:rFonts w:ascii="Times New Roman" w:eastAsia="Calibri" w:hAnsi="Times New Roman" w:cs="Times New Roman"/>
          <w:color w:val="auto"/>
          <w:lang w:val="pt-BR" w:eastAsia="en-US"/>
        </w:rPr>
        <w:t>Comunicamos que</w:t>
      </w:r>
      <w:r>
        <w:rPr>
          <w:rFonts w:ascii="Times New Roman" w:eastAsia="Calibri" w:hAnsi="Times New Roman" w:cs="Times New Roman"/>
          <w:color w:val="auto"/>
          <w:lang w:val="pt-BR" w:eastAsia="en-US"/>
        </w:rPr>
        <w:t>,</w:t>
      </w:r>
      <w:r w:rsidRPr="00CB3B98">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na</w:t>
      </w:r>
      <w:r w:rsidRPr="00CB3B98">
        <w:rPr>
          <w:rFonts w:ascii="Times New Roman" w:eastAsia="Calibri" w:hAnsi="Times New Roman" w:cs="Times New Roman"/>
          <w:color w:val="auto"/>
          <w:lang w:val="pt-BR" w:eastAsia="en-US"/>
        </w:rPr>
        <w:t xml:space="preserve"> matéria referente </w:t>
      </w:r>
      <w:r>
        <w:rPr>
          <w:rFonts w:ascii="Times New Roman" w:eastAsia="Calibri" w:hAnsi="Times New Roman" w:cs="Times New Roman"/>
          <w:color w:val="auto"/>
          <w:lang w:val="pt-BR" w:eastAsia="en-US"/>
        </w:rPr>
        <w:t xml:space="preserve">ao processo </w:t>
      </w:r>
      <w:hyperlink r:id="rId14" w:history="1">
        <w:r w:rsidRPr="00052550">
          <w:rPr>
            <w:rStyle w:val="Hyperlink"/>
            <w:rFonts w:ascii="Times New Roman" w:eastAsia="Calibri" w:hAnsi="Times New Roman"/>
            <w:lang w:val="pt-BR" w:eastAsia="en-US"/>
          </w:rPr>
          <w:t>TST-E-RR-10933-98.2014.5.03.0077</w:t>
        </w:r>
      </w:hyperlink>
      <w:r>
        <w:rPr>
          <w:rFonts w:ascii="Times New Roman" w:eastAsia="Calibri" w:hAnsi="Times New Roman" w:cs="Times New Roman"/>
          <w:color w:val="auto"/>
          <w:lang w:val="pt-BR" w:eastAsia="en-US"/>
        </w:rPr>
        <w:t>, divulgada</w:t>
      </w:r>
      <w:r w:rsidRPr="00CB3B98">
        <w:rPr>
          <w:rFonts w:ascii="Times New Roman" w:eastAsia="Calibri" w:hAnsi="Times New Roman" w:cs="Times New Roman"/>
          <w:color w:val="auto"/>
          <w:lang w:val="pt-BR" w:eastAsia="en-US"/>
        </w:rPr>
        <w:t xml:space="preserve"> no </w:t>
      </w:r>
      <w:hyperlink r:id="rId15" w:history="1">
        <w:r w:rsidRPr="00052550">
          <w:rPr>
            <w:rStyle w:val="Hyperlink"/>
            <w:rFonts w:ascii="Times New Roman" w:eastAsia="Calibri" w:hAnsi="Times New Roman"/>
            <w:lang w:val="pt-BR" w:eastAsia="en-US"/>
          </w:rPr>
          <w:t>Informativo TST nº 151</w:t>
        </w:r>
      </w:hyperlink>
      <w:r w:rsidRPr="00CB3B98">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onde se lê “... Lei nº 5.854/72...”, </w:t>
      </w:r>
      <w:r w:rsidRPr="00052550">
        <w:rPr>
          <w:rFonts w:ascii="Times New Roman" w:eastAsia="Calibri" w:hAnsi="Times New Roman" w:cs="Times New Roman"/>
          <w:b/>
          <w:color w:val="auto"/>
          <w:lang w:val="pt-BR" w:eastAsia="en-US"/>
        </w:rPr>
        <w:t>leia-se Lei nº 5.859/72</w:t>
      </w:r>
      <w:r>
        <w:rPr>
          <w:rFonts w:ascii="Times New Roman" w:eastAsia="Calibri" w:hAnsi="Times New Roman" w:cs="Times New Roman"/>
          <w:color w:val="auto"/>
          <w:lang w:val="pt-BR" w:eastAsia="en-US"/>
        </w:rPr>
        <w:t>.</w:t>
      </w:r>
    </w:p>
    <w:p w:rsidR="0027684A" w:rsidRDefault="0027684A" w:rsidP="0027684A">
      <w:pPr>
        <w:pStyle w:val="Corpo"/>
        <w:spacing w:line="240" w:lineRule="auto"/>
        <w:ind w:firstLine="0"/>
        <w:rPr>
          <w:rFonts w:ascii="Times New Roman" w:eastAsia="Calibri" w:hAnsi="Times New Roman" w:cs="Times New Roman"/>
          <w:color w:val="auto"/>
          <w:lang w:val="pt-BR" w:eastAsia="en-US"/>
        </w:rPr>
      </w:pPr>
    </w:p>
    <w:p w:rsidR="0040506F" w:rsidRDefault="0040506F" w:rsidP="006D0B48">
      <w:pPr>
        <w:jc w:val="both"/>
        <w:rPr>
          <w:sz w:val="24"/>
          <w:szCs w:val="24"/>
        </w:rPr>
      </w:pPr>
    </w:p>
    <w:p w:rsidR="006D0B48" w:rsidRDefault="006D0B48" w:rsidP="00C6738C">
      <w:pPr>
        <w:rPr>
          <w:sz w:val="10"/>
          <w:szCs w:val="10"/>
        </w:rPr>
      </w:pPr>
    </w:p>
    <w:p w:rsidR="006D0B48" w:rsidRPr="001D6AC9" w:rsidRDefault="006D0B48" w:rsidP="00C6738C">
      <w:pPr>
        <w:rPr>
          <w:sz w:val="10"/>
          <w:szCs w:val="10"/>
        </w:rPr>
      </w:pP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CE7555">
        <w:rPr>
          <w:b w:val="0"/>
          <w:bCs w:val="0"/>
          <w:snapToGrid w:val="0"/>
          <w:sz w:val="25"/>
          <w:szCs w:val="25"/>
        </w:rPr>
        <w:t xml:space="preserve">Informativo TST é mantido pela </w:t>
      </w:r>
    </w:p>
    <w:p w:rsidR="00184590" w:rsidRPr="00CE7555"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CE7555">
        <w:rPr>
          <w:b w:val="0"/>
          <w:bCs w:val="0"/>
          <w:snapToGrid w:val="0"/>
          <w:sz w:val="25"/>
          <w:szCs w:val="25"/>
        </w:rPr>
        <w:t>Coordenadoria de Jurisprudência – CJUR</w:t>
      </w:r>
    </w:p>
    <w:p w:rsidR="00184590"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Informações/Sugestões/Críticas: (61)3043</w:t>
      </w:r>
      <w:r w:rsidR="00352B27" w:rsidRPr="00CE7555">
        <w:rPr>
          <w:snapToGrid w:val="0"/>
          <w:sz w:val="25"/>
          <w:szCs w:val="25"/>
        </w:rPr>
        <w:t>-</w:t>
      </w:r>
      <w:r w:rsidRPr="00CE7555">
        <w:rPr>
          <w:snapToGrid w:val="0"/>
          <w:sz w:val="25"/>
          <w:szCs w:val="25"/>
        </w:rPr>
        <w:t>4</w:t>
      </w:r>
      <w:r w:rsidR="00D72C05" w:rsidRPr="00CE7555">
        <w:rPr>
          <w:snapToGrid w:val="0"/>
          <w:sz w:val="25"/>
          <w:szCs w:val="25"/>
        </w:rPr>
        <w:t>417</w:t>
      </w:r>
    </w:p>
    <w:p w:rsidR="007614F1" w:rsidRPr="00CE7555"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CE7555">
        <w:rPr>
          <w:snapToGrid w:val="0"/>
          <w:sz w:val="25"/>
          <w:szCs w:val="25"/>
        </w:rPr>
        <w:t>cjur@tst.jus.br</w:t>
      </w:r>
    </w:p>
    <w:sectPr w:rsidR="007614F1" w:rsidRPr="00CE7555" w:rsidSect="00D11B24">
      <w:headerReference w:type="default" r:id="rId16"/>
      <w:footerReference w:type="default" r:id="rId17"/>
      <w:headerReference w:type="first" r:id="rId18"/>
      <w:footerReference w:type="first" r:id="rId19"/>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8C" w:rsidRDefault="007D6F8C">
      <w:r>
        <w:separator/>
      </w:r>
    </w:p>
  </w:endnote>
  <w:endnote w:type="continuationSeparator" w:id="0">
    <w:p w:rsidR="007D6F8C" w:rsidRDefault="007D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Default="0027684A">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38E2">
      <w:rPr>
        <w:rStyle w:val="Nmerodepgina"/>
        <w:noProof/>
      </w:rPr>
      <w:t>3</w:t>
    </w:r>
    <w:r>
      <w:rPr>
        <w:rStyle w:val="Nmerodepgina"/>
      </w:rPr>
      <w:fldChar w:fldCharType="end"/>
    </w:r>
  </w:p>
  <w:p w:rsidR="0027684A" w:rsidRDefault="0027684A">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Default="0027684A">
    <w:pPr>
      <w:pStyle w:val="Rodap"/>
      <w:jc w:val="right"/>
    </w:pPr>
    <w:r>
      <w:rPr>
        <w:noProof/>
      </w:rPr>
      <w:pict>
        <v:line id="_x0000_s2054" style="position:absolute;left:0;text-align:left;flip:y;z-index:251659264" from=".9pt,-3.55pt" to="497.7pt,-3.4pt" o:allowincell="f" strokecolor="#969696"/>
      </w:pict>
    </w:r>
    <w:r>
      <w:rPr>
        <w:rStyle w:val="Nmerodepgina"/>
      </w:rPr>
      <w:fldChar w:fldCharType="begin"/>
    </w:r>
    <w:r>
      <w:rPr>
        <w:rStyle w:val="Nmerodepgina"/>
      </w:rPr>
      <w:instrText xml:space="preserve"> PAGE </w:instrText>
    </w:r>
    <w:r>
      <w:rPr>
        <w:rStyle w:val="Nmerodepgina"/>
      </w:rPr>
      <w:fldChar w:fldCharType="separate"/>
    </w:r>
    <w:r w:rsidR="001638E2">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8C" w:rsidRDefault="007D6F8C">
      <w:r>
        <w:separator/>
      </w:r>
    </w:p>
  </w:footnote>
  <w:footnote w:type="continuationSeparator" w:id="0">
    <w:p w:rsidR="007D6F8C" w:rsidRDefault="007D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Pr="00971E07" w:rsidRDefault="0027684A">
    <w:pPr>
      <w:pStyle w:val="Corpodetexto"/>
      <w:jc w:val="right"/>
      <w:rPr>
        <w:shadow/>
        <w:sz w:val="24"/>
        <w:szCs w:val="24"/>
      </w:rPr>
    </w:pPr>
    <w:r w:rsidRPr="00971E07">
      <w:rPr>
        <w:shadow/>
        <w:sz w:val="24"/>
        <w:szCs w:val="24"/>
      </w:rPr>
      <w:t xml:space="preserve">Informativo TST - </w:t>
    </w:r>
    <w:r>
      <w:rPr>
        <w:shadow/>
        <w:sz w:val="24"/>
        <w:szCs w:val="24"/>
      </w:rPr>
      <w:t>n</w:t>
    </w:r>
    <w:r w:rsidRPr="00971E07">
      <w:rPr>
        <w:shadow/>
        <w:sz w:val="24"/>
        <w:szCs w:val="24"/>
      </w:rPr>
      <w:t xml:space="preserve">º </w:t>
    </w:r>
    <w:r>
      <w:rPr>
        <w:shadow/>
        <w:sz w:val="24"/>
        <w:szCs w:val="24"/>
      </w:rPr>
      <w:t>152</w:t>
    </w:r>
  </w:p>
  <w:p w:rsidR="0027684A" w:rsidRPr="005D1DE4" w:rsidRDefault="0027684A" w:rsidP="00CE7555">
    <w:pPr>
      <w:pStyle w:val="Cabealho"/>
      <w:jc w:val="right"/>
    </w:pPr>
    <w:r w:rsidRPr="003C0554">
      <w:rPr>
        <w:noProof/>
      </w:rPr>
      <w:pict>
        <v:line id="_x0000_s2049" style="position:absolute;left:0;text-align:left;flip:x;z-index:251657216" from=".9pt,10.15pt" to="497.7pt,10.15pt" o:allowincell="f" strokecolor="#969696"/>
      </w:pict>
    </w:r>
    <w:r w:rsidRPr="003C0554">
      <w:rPr>
        <w:iCs/>
      </w:rPr>
      <w:t xml:space="preserve"> </w:t>
    </w:r>
    <w:r>
      <w:rPr>
        <w:i/>
        <w:iCs/>
      </w:rPr>
      <w:t>Período: 7 a 13 de fevereiro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A" w:rsidRDefault="0027684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27684A" w:rsidRPr="002168DE" w:rsidRDefault="0027684A"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152</w:t>
    </w:r>
  </w:p>
  <w:p w:rsidR="0027684A" w:rsidRPr="005D1DE4" w:rsidRDefault="0027684A">
    <w:pPr>
      <w:pStyle w:val="Cabealho"/>
      <w:jc w:val="right"/>
      <w:rPr>
        <w:i/>
        <w:iCs/>
        <w:sz w:val="10"/>
        <w:szCs w:val="10"/>
      </w:rPr>
    </w:pPr>
  </w:p>
  <w:p w:rsidR="0027684A" w:rsidRPr="005D1DE4" w:rsidRDefault="0027684A">
    <w:pPr>
      <w:pStyle w:val="Cabealho"/>
      <w:jc w:val="right"/>
    </w:pPr>
    <w:r>
      <w:rPr>
        <w:i/>
        <w:iCs/>
      </w:rPr>
      <w:t>Período: 7 a 13 de fevereiro de 2017</w:t>
    </w:r>
  </w:p>
  <w:p w:rsidR="0027684A" w:rsidRDefault="0027684A"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1967"/>
    <w:rsid w:val="000228E6"/>
    <w:rsid w:val="000249BA"/>
    <w:rsid w:val="00024CE9"/>
    <w:rsid w:val="00032056"/>
    <w:rsid w:val="000322FB"/>
    <w:rsid w:val="000332F1"/>
    <w:rsid w:val="00034034"/>
    <w:rsid w:val="000425FC"/>
    <w:rsid w:val="00050E85"/>
    <w:rsid w:val="0005125E"/>
    <w:rsid w:val="00052550"/>
    <w:rsid w:val="00055A9D"/>
    <w:rsid w:val="00056752"/>
    <w:rsid w:val="0005765E"/>
    <w:rsid w:val="00057B87"/>
    <w:rsid w:val="0006020E"/>
    <w:rsid w:val="00064486"/>
    <w:rsid w:val="00065048"/>
    <w:rsid w:val="000733B4"/>
    <w:rsid w:val="00073643"/>
    <w:rsid w:val="00073880"/>
    <w:rsid w:val="00075BDB"/>
    <w:rsid w:val="00076E4F"/>
    <w:rsid w:val="00077EAD"/>
    <w:rsid w:val="00080C40"/>
    <w:rsid w:val="00080F10"/>
    <w:rsid w:val="000858FB"/>
    <w:rsid w:val="0009237D"/>
    <w:rsid w:val="00093AE9"/>
    <w:rsid w:val="00093BA8"/>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11575C"/>
    <w:rsid w:val="0011692E"/>
    <w:rsid w:val="00122C2A"/>
    <w:rsid w:val="001257D7"/>
    <w:rsid w:val="00137564"/>
    <w:rsid w:val="00137DC1"/>
    <w:rsid w:val="00141630"/>
    <w:rsid w:val="00142C28"/>
    <w:rsid w:val="00152238"/>
    <w:rsid w:val="0015612D"/>
    <w:rsid w:val="00161CDE"/>
    <w:rsid w:val="00163142"/>
    <w:rsid w:val="001638E2"/>
    <w:rsid w:val="001648F5"/>
    <w:rsid w:val="00167E80"/>
    <w:rsid w:val="00176D15"/>
    <w:rsid w:val="0018296E"/>
    <w:rsid w:val="00183803"/>
    <w:rsid w:val="00184590"/>
    <w:rsid w:val="00187A37"/>
    <w:rsid w:val="00187BEF"/>
    <w:rsid w:val="0019151D"/>
    <w:rsid w:val="001920CD"/>
    <w:rsid w:val="00193208"/>
    <w:rsid w:val="001932B7"/>
    <w:rsid w:val="00197B15"/>
    <w:rsid w:val="001B2C08"/>
    <w:rsid w:val="001C04D2"/>
    <w:rsid w:val="001C21FB"/>
    <w:rsid w:val="001C271F"/>
    <w:rsid w:val="001C5885"/>
    <w:rsid w:val="001C6C93"/>
    <w:rsid w:val="001D4CF9"/>
    <w:rsid w:val="001D4E17"/>
    <w:rsid w:val="001D5AB0"/>
    <w:rsid w:val="001D6AC9"/>
    <w:rsid w:val="001D757D"/>
    <w:rsid w:val="001E14A9"/>
    <w:rsid w:val="001E14BB"/>
    <w:rsid w:val="001E3B29"/>
    <w:rsid w:val="001E4B57"/>
    <w:rsid w:val="001E5BD1"/>
    <w:rsid w:val="001E713B"/>
    <w:rsid w:val="001E79B4"/>
    <w:rsid w:val="001F030F"/>
    <w:rsid w:val="001F2F34"/>
    <w:rsid w:val="001F45E0"/>
    <w:rsid w:val="00204C97"/>
    <w:rsid w:val="00206810"/>
    <w:rsid w:val="002168DE"/>
    <w:rsid w:val="00224AC2"/>
    <w:rsid w:val="00230183"/>
    <w:rsid w:val="0023559D"/>
    <w:rsid w:val="002402B0"/>
    <w:rsid w:val="002449F9"/>
    <w:rsid w:val="00255732"/>
    <w:rsid w:val="00257B4A"/>
    <w:rsid w:val="00260B37"/>
    <w:rsid w:val="002635ED"/>
    <w:rsid w:val="002662BA"/>
    <w:rsid w:val="00266D49"/>
    <w:rsid w:val="00271C5C"/>
    <w:rsid w:val="00271E67"/>
    <w:rsid w:val="002730B5"/>
    <w:rsid w:val="002766D5"/>
    <w:rsid w:val="0027684A"/>
    <w:rsid w:val="00276EA0"/>
    <w:rsid w:val="00280594"/>
    <w:rsid w:val="00285064"/>
    <w:rsid w:val="002A219D"/>
    <w:rsid w:val="002A521A"/>
    <w:rsid w:val="002A546D"/>
    <w:rsid w:val="002B0750"/>
    <w:rsid w:val="002B4738"/>
    <w:rsid w:val="002B6377"/>
    <w:rsid w:val="002C2904"/>
    <w:rsid w:val="002E78CB"/>
    <w:rsid w:val="002F28E5"/>
    <w:rsid w:val="003074FC"/>
    <w:rsid w:val="0031207D"/>
    <w:rsid w:val="0033397A"/>
    <w:rsid w:val="00340D16"/>
    <w:rsid w:val="00340E8D"/>
    <w:rsid w:val="00342846"/>
    <w:rsid w:val="003503FC"/>
    <w:rsid w:val="00352B27"/>
    <w:rsid w:val="0035374D"/>
    <w:rsid w:val="00363255"/>
    <w:rsid w:val="0036325E"/>
    <w:rsid w:val="003671FE"/>
    <w:rsid w:val="003708FD"/>
    <w:rsid w:val="003726D1"/>
    <w:rsid w:val="003745DE"/>
    <w:rsid w:val="0037667D"/>
    <w:rsid w:val="00377D5F"/>
    <w:rsid w:val="00380212"/>
    <w:rsid w:val="00383A89"/>
    <w:rsid w:val="00384075"/>
    <w:rsid w:val="003908C5"/>
    <w:rsid w:val="00393131"/>
    <w:rsid w:val="0039326C"/>
    <w:rsid w:val="00396053"/>
    <w:rsid w:val="003A1F0A"/>
    <w:rsid w:val="003A4086"/>
    <w:rsid w:val="003A5E5B"/>
    <w:rsid w:val="003B045C"/>
    <w:rsid w:val="003B0538"/>
    <w:rsid w:val="003B0A59"/>
    <w:rsid w:val="003B3EB5"/>
    <w:rsid w:val="003B4E23"/>
    <w:rsid w:val="003B767E"/>
    <w:rsid w:val="003C01E8"/>
    <w:rsid w:val="003C0554"/>
    <w:rsid w:val="003C1AB7"/>
    <w:rsid w:val="003C6FE7"/>
    <w:rsid w:val="003D032E"/>
    <w:rsid w:val="003D4205"/>
    <w:rsid w:val="003E1C53"/>
    <w:rsid w:val="003F2078"/>
    <w:rsid w:val="004034A8"/>
    <w:rsid w:val="0040506F"/>
    <w:rsid w:val="004163E7"/>
    <w:rsid w:val="004166C3"/>
    <w:rsid w:val="00416D9A"/>
    <w:rsid w:val="00423641"/>
    <w:rsid w:val="0042772A"/>
    <w:rsid w:val="004323B0"/>
    <w:rsid w:val="00437995"/>
    <w:rsid w:val="0044014F"/>
    <w:rsid w:val="00444E88"/>
    <w:rsid w:val="004477EC"/>
    <w:rsid w:val="00450BAD"/>
    <w:rsid w:val="0045657C"/>
    <w:rsid w:val="00457A40"/>
    <w:rsid w:val="004655CC"/>
    <w:rsid w:val="00466DB9"/>
    <w:rsid w:val="00470EF8"/>
    <w:rsid w:val="004731B7"/>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415"/>
    <w:rsid w:val="004D71E8"/>
    <w:rsid w:val="004E393E"/>
    <w:rsid w:val="004E4507"/>
    <w:rsid w:val="004E4619"/>
    <w:rsid w:val="004F0A7D"/>
    <w:rsid w:val="004F5040"/>
    <w:rsid w:val="00513789"/>
    <w:rsid w:val="0051538E"/>
    <w:rsid w:val="00517E01"/>
    <w:rsid w:val="00521EEC"/>
    <w:rsid w:val="00543B94"/>
    <w:rsid w:val="005460BD"/>
    <w:rsid w:val="005521C8"/>
    <w:rsid w:val="00553197"/>
    <w:rsid w:val="0055409E"/>
    <w:rsid w:val="00554139"/>
    <w:rsid w:val="00556367"/>
    <w:rsid w:val="00556B35"/>
    <w:rsid w:val="00573E13"/>
    <w:rsid w:val="005811A4"/>
    <w:rsid w:val="00584F82"/>
    <w:rsid w:val="00591DFA"/>
    <w:rsid w:val="005A30AA"/>
    <w:rsid w:val="005A5695"/>
    <w:rsid w:val="005B0A1C"/>
    <w:rsid w:val="005B22CE"/>
    <w:rsid w:val="005B2F00"/>
    <w:rsid w:val="005B3792"/>
    <w:rsid w:val="005B57DE"/>
    <w:rsid w:val="005C1886"/>
    <w:rsid w:val="005C761E"/>
    <w:rsid w:val="005D0E5F"/>
    <w:rsid w:val="005D1DE4"/>
    <w:rsid w:val="005E35BD"/>
    <w:rsid w:val="005E3D4D"/>
    <w:rsid w:val="005E3F64"/>
    <w:rsid w:val="005E7FD1"/>
    <w:rsid w:val="005F0545"/>
    <w:rsid w:val="005F2858"/>
    <w:rsid w:val="006002E3"/>
    <w:rsid w:val="00602FF7"/>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2202"/>
    <w:rsid w:val="006931CC"/>
    <w:rsid w:val="006947F2"/>
    <w:rsid w:val="00697919"/>
    <w:rsid w:val="006B3FCF"/>
    <w:rsid w:val="006B46CA"/>
    <w:rsid w:val="006C0391"/>
    <w:rsid w:val="006C28B3"/>
    <w:rsid w:val="006D0B48"/>
    <w:rsid w:val="006D1F66"/>
    <w:rsid w:val="006D306E"/>
    <w:rsid w:val="006D4497"/>
    <w:rsid w:val="006E1A9C"/>
    <w:rsid w:val="006F6C15"/>
    <w:rsid w:val="00700B1B"/>
    <w:rsid w:val="007029CF"/>
    <w:rsid w:val="0070727E"/>
    <w:rsid w:val="00710D3A"/>
    <w:rsid w:val="0071315F"/>
    <w:rsid w:val="00720057"/>
    <w:rsid w:val="00721942"/>
    <w:rsid w:val="00722BE7"/>
    <w:rsid w:val="00732DF2"/>
    <w:rsid w:val="007403B3"/>
    <w:rsid w:val="007614F1"/>
    <w:rsid w:val="007618C5"/>
    <w:rsid w:val="00764066"/>
    <w:rsid w:val="00766B7B"/>
    <w:rsid w:val="0077600F"/>
    <w:rsid w:val="00776118"/>
    <w:rsid w:val="00781C77"/>
    <w:rsid w:val="00796745"/>
    <w:rsid w:val="007A4F78"/>
    <w:rsid w:val="007B0F83"/>
    <w:rsid w:val="007C0A4F"/>
    <w:rsid w:val="007D29A1"/>
    <w:rsid w:val="007D2EE9"/>
    <w:rsid w:val="007D469A"/>
    <w:rsid w:val="007D6F8C"/>
    <w:rsid w:val="007E094E"/>
    <w:rsid w:val="007E0EA7"/>
    <w:rsid w:val="007E37B1"/>
    <w:rsid w:val="007E3F23"/>
    <w:rsid w:val="007F142E"/>
    <w:rsid w:val="007F66BC"/>
    <w:rsid w:val="007F7B5E"/>
    <w:rsid w:val="00800B97"/>
    <w:rsid w:val="00801246"/>
    <w:rsid w:val="00802B1A"/>
    <w:rsid w:val="00805CD2"/>
    <w:rsid w:val="0080615C"/>
    <w:rsid w:val="0081027F"/>
    <w:rsid w:val="0081742D"/>
    <w:rsid w:val="00817AB1"/>
    <w:rsid w:val="00821F4D"/>
    <w:rsid w:val="00823906"/>
    <w:rsid w:val="008409D3"/>
    <w:rsid w:val="0084319F"/>
    <w:rsid w:val="00844374"/>
    <w:rsid w:val="00845559"/>
    <w:rsid w:val="00854DB8"/>
    <w:rsid w:val="00854EF2"/>
    <w:rsid w:val="00855623"/>
    <w:rsid w:val="00855D99"/>
    <w:rsid w:val="0086211B"/>
    <w:rsid w:val="008622CF"/>
    <w:rsid w:val="008627C6"/>
    <w:rsid w:val="00863B86"/>
    <w:rsid w:val="008652A2"/>
    <w:rsid w:val="008706CD"/>
    <w:rsid w:val="00871F69"/>
    <w:rsid w:val="008842D0"/>
    <w:rsid w:val="00884AC4"/>
    <w:rsid w:val="0088579D"/>
    <w:rsid w:val="008A1A58"/>
    <w:rsid w:val="008A49DF"/>
    <w:rsid w:val="008A4AFF"/>
    <w:rsid w:val="008A5FA7"/>
    <w:rsid w:val="008A68E7"/>
    <w:rsid w:val="008A7953"/>
    <w:rsid w:val="008B1828"/>
    <w:rsid w:val="008B3081"/>
    <w:rsid w:val="008B32D4"/>
    <w:rsid w:val="008C7AD0"/>
    <w:rsid w:val="008D0020"/>
    <w:rsid w:val="008D3C38"/>
    <w:rsid w:val="008D3C4B"/>
    <w:rsid w:val="008D6A05"/>
    <w:rsid w:val="008E2AE5"/>
    <w:rsid w:val="008E3CCE"/>
    <w:rsid w:val="008E3F89"/>
    <w:rsid w:val="008F26CB"/>
    <w:rsid w:val="008F36EC"/>
    <w:rsid w:val="008F3D95"/>
    <w:rsid w:val="008F6509"/>
    <w:rsid w:val="008F79D9"/>
    <w:rsid w:val="009027C8"/>
    <w:rsid w:val="00922D1B"/>
    <w:rsid w:val="0093467A"/>
    <w:rsid w:val="009353F1"/>
    <w:rsid w:val="0094155C"/>
    <w:rsid w:val="00951531"/>
    <w:rsid w:val="00953B29"/>
    <w:rsid w:val="00960A3B"/>
    <w:rsid w:val="0096375C"/>
    <w:rsid w:val="00967DE0"/>
    <w:rsid w:val="00971E07"/>
    <w:rsid w:val="00971E5F"/>
    <w:rsid w:val="00971F6D"/>
    <w:rsid w:val="009802D2"/>
    <w:rsid w:val="00980944"/>
    <w:rsid w:val="00986D77"/>
    <w:rsid w:val="00993A6E"/>
    <w:rsid w:val="009943EC"/>
    <w:rsid w:val="009A1BAD"/>
    <w:rsid w:val="009A32D5"/>
    <w:rsid w:val="009A5D37"/>
    <w:rsid w:val="009A6BD9"/>
    <w:rsid w:val="009B320F"/>
    <w:rsid w:val="009B6012"/>
    <w:rsid w:val="009C102D"/>
    <w:rsid w:val="009C2A4F"/>
    <w:rsid w:val="009D10FB"/>
    <w:rsid w:val="009D312C"/>
    <w:rsid w:val="009D4C59"/>
    <w:rsid w:val="009D7F91"/>
    <w:rsid w:val="009E20EF"/>
    <w:rsid w:val="009E26EE"/>
    <w:rsid w:val="009F1C7B"/>
    <w:rsid w:val="009F21A2"/>
    <w:rsid w:val="00A00D70"/>
    <w:rsid w:val="00A00DEE"/>
    <w:rsid w:val="00A27889"/>
    <w:rsid w:val="00A32FBF"/>
    <w:rsid w:val="00A407EA"/>
    <w:rsid w:val="00A51749"/>
    <w:rsid w:val="00A521B6"/>
    <w:rsid w:val="00A56962"/>
    <w:rsid w:val="00A6382F"/>
    <w:rsid w:val="00A6412C"/>
    <w:rsid w:val="00A75419"/>
    <w:rsid w:val="00A76661"/>
    <w:rsid w:val="00A76D2A"/>
    <w:rsid w:val="00A81F5B"/>
    <w:rsid w:val="00A82081"/>
    <w:rsid w:val="00A8557E"/>
    <w:rsid w:val="00A903E4"/>
    <w:rsid w:val="00A91181"/>
    <w:rsid w:val="00A935AC"/>
    <w:rsid w:val="00AA3DE0"/>
    <w:rsid w:val="00AB299E"/>
    <w:rsid w:val="00AB507C"/>
    <w:rsid w:val="00AB606E"/>
    <w:rsid w:val="00AC096E"/>
    <w:rsid w:val="00AC4F6C"/>
    <w:rsid w:val="00AD6E76"/>
    <w:rsid w:val="00AE3EAA"/>
    <w:rsid w:val="00AE5EDF"/>
    <w:rsid w:val="00AE758A"/>
    <w:rsid w:val="00B06261"/>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73FFA"/>
    <w:rsid w:val="00B74A6E"/>
    <w:rsid w:val="00B82CC4"/>
    <w:rsid w:val="00B838C3"/>
    <w:rsid w:val="00B874F1"/>
    <w:rsid w:val="00BC1DE7"/>
    <w:rsid w:val="00BC209E"/>
    <w:rsid w:val="00BC2C67"/>
    <w:rsid w:val="00BC54BC"/>
    <w:rsid w:val="00BC5AEE"/>
    <w:rsid w:val="00BD2A95"/>
    <w:rsid w:val="00BD2CA9"/>
    <w:rsid w:val="00BD6029"/>
    <w:rsid w:val="00BD75B0"/>
    <w:rsid w:val="00BE0541"/>
    <w:rsid w:val="00BE1ADB"/>
    <w:rsid w:val="00BE3152"/>
    <w:rsid w:val="00BF0693"/>
    <w:rsid w:val="00C028BC"/>
    <w:rsid w:val="00C070DE"/>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5BDB"/>
    <w:rsid w:val="00C66C95"/>
    <w:rsid w:val="00C6738C"/>
    <w:rsid w:val="00C71A3B"/>
    <w:rsid w:val="00C757CC"/>
    <w:rsid w:val="00C76CFA"/>
    <w:rsid w:val="00C819C8"/>
    <w:rsid w:val="00C8747B"/>
    <w:rsid w:val="00C87D5B"/>
    <w:rsid w:val="00C94FF6"/>
    <w:rsid w:val="00C963F8"/>
    <w:rsid w:val="00C96BB1"/>
    <w:rsid w:val="00CA2F80"/>
    <w:rsid w:val="00CA3ECF"/>
    <w:rsid w:val="00CB0C2A"/>
    <w:rsid w:val="00CB3B98"/>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D9D"/>
    <w:rsid w:val="00CF6B77"/>
    <w:rsid w:val="00D00018"/>
    <w:rsid w:val="00D01C50"/>
    <w:rsid w:val="00D11B24"/>
    <w:rsid w:val="00D11C18"/>
    <w:rsid w:val="00D133C8"/>
    <w:rsid w:val="00D14DB8"/>
    <w:rsid w:val="00D17339"/>
    <w:rsid w:val="00D244D5"/>
    <w:rsid w:val="00D2776A"/>
    <w:rsid w:val="00D4021B"/>
    <w:rsid w:val="00D413DB"/>
    <w:rsid w:val="00D420E2"/>
    <w:rsid w:val="00D4459D"/>
    <w:rsid w:val="00D44B24"/>
    <w:rsid w:val="00D573F9"/>
    <w:rsid w:val="00D60532"/>
    <w:rsid w:val="00D6058B"/>
    <w:rsid w:val="00D608E5"/>
    <w:rsid w:val="00D62D9E"/>
    <w:rsid w:val="00D63EC5"/>
    <w:rsid w:val="00D64BC3"/>
    <w:rsid w:val="00D72C05"/>
    <w:rsid w:val="00D73575"/>
    <w:rsid w:val="00D735BF"/>
    <w:rsid w:val="00D737B6"/>
    <w:rsid w:val="00D77672"/>
    <w:rsid w:val="00D80222"/>
    <w:rsid w:val="00D847CF"/>
    <w:rsid w:val="00D87489"/>
    <w:rsid w:val="00DA015E"/>
    <w:rsid w:val="00DA0A99"/>
    <w:rsid w:val="00DA0A9D"/>
    <w:rsid w:val="00DA54D4"/>
    <w:rsid w:val="00DA7603"/>
    <w:rsid w:val="00DA7E39"/>
    <w:rsid w:val="00DA7EDE"/>
    <w:rsid w:val="00DB0223"/>
    <w:rsid w:val="00DB047C"/>
    <w:rsid w:val="00DC0AB5"/>
    <w:rsid w:val="00DC3451"/>
    <w:rsid w:val="00DC50EB"/>
    <w:rsid w:val="00DC7F71"/>
    <w:rsid w:val="00DD19F4"/>
    <w:rsid w:val="00DD3FA0"/>
    <w:rsid w:val="00DE5B2D"/>
    <w:rsid w:val="00DE5C3E"/>
    <w:rsid w:val="00DE5CE9"/>
    <w:rsid w:val="00DF45BB"/>
    <w:rsid w:val="00E006DC"/>
    <w:rsid w:val="00E03064"/>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774F6"/>
    <w:rsid w:val="00E9503C"/>
    <w:rsid w:val="00E956D9"/>
    <w:rsid w:val="00EA1958"/>
    <w:rsid w:val="00EA29F5"/>
    <w:rsid w:val="00EA482D"/>
    <w:rsid w:val="00EB5FE6"/>
    <w:rsid w:val="00EB61A5"/>
    <w:rsid w:val="00EB6C1B"/>
    <w:rsid w:val="00EB7A09"/>
    <w:rsid w:val="00EC0EDC"/>
    <w:rsid w:val="00EC5AF4"/>
    <w:rsid w:val="00EC7E0B"/>
    <w:rsid w:val="00ED4508"/>
    <w:rsid w:val="00ED661C"/>
    <w:rsid w:val="00EE41B5"/>
    <w:rsid w:val="00EE66C9"/>
    <w:rsid w:val="00EF10DB"/>
    <w:rsid w:val="00EF11A9"/>
    <w:rsid w:val="00EF38E1"/>
    <w:rsid w:val="00EF749A"/>
    <w:rsid w:val="00EF771E"/>
    <w:rsid w:val="00F012E0"/>
    <w:rsid w:val="00F02565"/>
    <w:rsid w:val="00F026EC"/>
    <w:rsid w:val="00F05542"/>
    <w:rsid w:val="00F06855"/>
    <w:rsid w:val="00F17A2C"/>
    <w:rsid w:val="00F21A70"/>
    <w:rsid w:val="00F26708"/>
    <w:rsid w:val="00F30FF2"/>
    <w:rsid w:val="00F37F29"/>
    <w:rsid w:val="00F42243"/>
    <w:rsid w:val="00F45608"/>
    <w:rsid w:val="00F511EE"/>
    <w:rsid w:val="00F55574"/>
    <w:rsid w:val="00F558E7"/>
    <w:rsid w:val="00F62016"/>
    <w:rsid w:val="00F63F44"/>
    <w:rsid w:val="00F6401B"/>
    <w:rsid w:val="00F6746D"/>
    <w:rsid w:val="00F675D5"/>
    <w:rsid w:val="00F753D1"/>
    <w:rsid w:val="00F7766D"/>
    <w:rsid w:val="00F811CD"/>
    <w:rsid w:val="00F82D8F"/>
    <w:rsid w:val="00F83F62"/>
    <w:rsid w:val="00F907EB"/>
    <w:rsid w:val="00F9711D"/>
    <w:rsid w:val="00FA011F"/>
    <w:rsid w:val="00FA3E3A"/>
    <w:rsid w:val="00FA7544"/>
    <w:rsid w:val="00FA75E0"/>
    <w:rsid w:val="00FA7771"/>
    <w:rsid w:val="00FB0DC9"/>
    <w:rsid w:val="00FB20B1"/>
    <w:rsid w:val="00FB3AB4"/>
    <w:rsid w:val="00FB6188"/>
    <w:rsid w:val="00FC35EC"/>
    <w:rsid w:val="00FC56A4"/>
    <w:rsid w:val="00FD029A"/>
    <w:rsid w:val="00FD3D06"/>
    <w:rsid w:val="00FD5662"/>
    <w:rsid w:val="00FD72B6"/>
    <w:rsid w:val="00FE00AD"/>
    <w:rsid w:val="00FE206E"/>
    <w:rsid w:val="00FE421F"/>
    <w:rsid w:val="00FE499F"/>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1"/>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locked/>
    <w:rsid w:val="00971F6D"/>
    <w:rPr>
      <w:rFonts w:ascii="Courier New" w:eastAsia="Times New Roman" w:hAnsi="Courier New" w:cs="Courier New"/>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361&amp;digitoTst=12&amp;anoTst=2014&amp;orgaoTst=5&amp;tribunalTst=07&amp;varaTst=0000" TargetMode="External"/><Relationship Id="rId13" Type="http://schemas.openxmlformats.org/officeDocument/2006/relationships/hyperlink" Target="http://aplicacao4.tst.jus.br/consultaProcessual/consultaTstNumUnica.do?consulta=Consultar&amp;conscsjt=&amp;numeroTst=100499&amp;digitoTst=71&amp;anoTst=2013&amp;orgaoTst=5&amp;tribunalTst=17&amp;varaTst=015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licacao4.tst.jus.br/consultaProcessual/consultaTstNumUnica.do?consulta=Consultar&amp;conscsjt=&amp;numeroTst=96900&amp;digitoTst=23&amp;anoTst=2007&amp;orgaoTst=5&amp;tribunalTst=04&amp;varaTst=0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cao4.tst.jus.br/consultaProcessual/consultaTstNumUnica.do?consulta=Consultar&amp;conscsjt=&amp;numeroTst=44500&amp;digitoTst=65&amp;anoTst=2005&amp;orgaoTst=5&amp;tribunalTst=10&amp;varaTst=0005" TargetMode="External"/><Relationship Id="rId5" Type="http://schemas.openxmlformats.org/officeDocument/2006/relationships/webSettings" Target="webSettings.xml"/><Relationship Id="rId15" Type="http://schemas.openxmlformats.org/officeDocument/2006/relationships/hyperlink" Target="http://www.tst.jus.br/web/guest/informativo-tst/-/asset_publisher/ll5B/document/id/24162417?inheritRedirect=false&amp;redirect=http%3A%2F%2Fwww.tst.jus.br%2Fweb%2Fguest%2Finformativo-tst%3Fp_p_id%3D101_INSTANCE_ll5B%26p_p_lifecycle%3D0%26p_p_state%3Dnormal%26p_p_mode%3Dview%26p_p_col_id%3Dcolumn-2%26p_p_col_pos%3D1%26p_p_col_count%3D4" TargetMode="External"/><Relationship Id="rId10" Type="http://schemas.openxmlformats.org/officeDocument/2006/relationships/hyperlink" Target="http://aplicacao4.tst.jus.br/consultaProcessual/consultaTstNumUnica.do?consulta=Consultar&amp;conscsjt=&amp;numeroTst=1044&amp;digitoTst=36&amp;anoTst=2014&amp;orgaoTst=5&amp;tribunalTst=03&amp;varaTst=010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1000974&amp;digitoTst=53&amp;anoTst=2014&amp;orgaoTst=5&amp;tribunalTst=02&amp;varaTst=0000" TargetMode="External"/><Relationship Id="rId14" Type="http://schemas.openxmlformats.org/officeDocument/2006/relationships/hyperlink" Target="http://aplicacao4.tst.jus.br/consultaProcessual/consultaTstNumUnica.do?consulta=Consultar&amp;conscsjt=&amp;numeroTst=10933&amp;digitoTst=98&amp;anoTst=2014&amp;orgaoTst=5&amp;tribunalTst=03&amp;varaTst=007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0B14-5FDD-4C43-BADE-A71A4173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1536</Words>
  <Characters>8297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9814</CharactersWithSpaces>
  <SharedDoc>false</SharedDoc>
  <HLinks>
    <vt:vector size="48" baseType="variant">
      <vt:variant>
        <vt:i4>8126466</vt:i4>
      </vt:variant>
      <vt:variant>
        <vt:i4>21</vt:i4>
      </vt:variant>
      <vt:variant>
        <vt:i4>0</vt:i4>
      </vt:variant>
      <vt:variant>
        <vt:i4>5</vt:i4>
      </vt:variant>
      <vt:variant>
        <vt:lpwstr>http://www.tst.jus.br/web/guest/informativo-tst/-/asset_publisher/ll5B/document/id/24162417?inheritRedirect=false&amp;redirect=http%3A%2F%2Fwww.tst.jus.br%2Fweb%2Fguest%2Finformativo-tst%3Fp_p_id%3D101_INSTANCE_ll5B%26p_p_lifecycle%3D0%26p_p_state%3Dnormal%26p_p_mode%3Dview%26p_p_col_id%3Dcolumn-2%26p_p_col_pos%3D1%26p_p_col_count%3D4</vt:lpwstr>
      </vt:variant>
      <vt:variant>
        <vt:lpwstr/>
      </vt:variant>
      <vt:variant>
        <vt:i4>6553661</vt:i4>
      </vt:variant>
      <vt:variant>
        <vt:i4>18</vt:i4>
      </vt:variant>
      <vt:variant>
        <vt:i4>0</vt:i4>
      </vt:variant>
      <vt:variant>
        <vt:i4>5</vt:i4>
      </vt:variant>
      <vt:variant>
        <vt:lpwstr>http://aplicacao4.tst.jus.br/consultaProcessual/consultaTstNumUnica.do?consulta=Consultar&amp;conscsjt=&amp;numeroTst=10933&amp;digitoTst=98&amp;anoTst=2014&amp;orgaoTst=5&amp;tribunalTst=03&amp;varaTst=0077</vt:lpwstr>
      </vt:variant>
      <vt:variant>
        <vt:lpwstr/>
      </vt:variant>
      <vt:variant>
        <vt:i4>1704010</vt:i4>
      </vt:variant>
      <vt:variant>
        <vt:i4>15</vt:i4>
      </vt:variant>
      <vt:variant>
        <vt:i4>0</vt:i4>
      </vt:variant>
      <vt:variant>
        <vt:i4>5</vt:i4>
      </vt:variant>
      <vt:variant>
        <vt:lpwstr>http://aplicacao4.tst.jus.br/consultaProcessual/consultaTstNumUnica.do?consulta=Consultar&amp;conscsjt=&amp;numeroTst=100499&amp;digitoTst=71&amp;anoTst=2013&amp;orgaoTst=5&amp;tribunalTst=17&amp;varaTst=0152</vt:lpwstr>
      </vt:variant>
      <vt:variant>
        <vt:lpwstr/>
      </vt:variant>
      <vt:variant>
        <vt:i4>6815804</vt:i4>
      </vt:variant>
      <vt:variant>
        <vt:i4>12</vt:i4>
      </vt:variant>
      <vt:variant>
        <vt:i4>0</vt:i4>
      </vt:variant>
      <vt:variant>
        <vt:i4>5</vt:i4>
      </vt:variant>
      <vt:variant>
        <vt:lpwstr>http://aplicacao4.tst.jus.br/consultaProcessual/consultaTstNumUnica.do?consulta=Consultar&amp;conscsjt=&amp;numeroTst=96900&amp;digitoTst=23&amp;anoTst=2007&amp;orgaoTst=5&amp;tribunalTst=04&amp;varaTst=0015</vt:lpwstr>
      </vt:variant>
      <vt:variant>
        <vt:lpwstr/>
      </vt:variant>
      <vt:variant>
        <vt:i4>7012408</vt:i4>
      </vt:variant>
      <vt:variant>
        <vt:i4>9</vt:i4>
      </vt:variant>
      <vt:variant>
        <vt:i4>0</vt:i4>
      </vt:variant>
      <vt:variant>
        <vt:i4>5</vt:i4>
      </vt:variant>
      <vt:variant>
        <vt:lpwstr>http://aplicacao4.tst.jus.br/consultaProcessual/consultaTstNumUnica.do?consulta=Consultar&amp;conscsjt=&amp;numeroTst=44500&amp;digitoTst=65&amp;anoTst=2005&amp;orgaoTst=5&amp;tribunalTst=10&amp;varaTst=0005</vt:lpwstr>
      </vt:variant>
      <vt:variant>
        <vt:lpwstr/>
      </vt:variant>
      <vt:variant>
        <vt:i4>2162806</vt:i4>
      </vt:variant>
      <vt:variant>
        <vt:i4>6</vt:i4>
      </vt:variant>
      <vt:variant>
        <vt:i4>0</vt:i4>
      </vt:variant>
      <vt:variant>
        <vt:i4>5</vt:i4>
      </vt:variant>
      <vt:variant>
        <vt:lpwstr>http://aplicacao4.tst.jus.br/consultaProcessual/consultaTstNumUnica.do?consulta=Consultar&amp;conscsjt=&amp;numeroTst=1044&amp;digitoTst=36&amp;anoTst=2014&amp;orgaoTst=5&amp;tribunalTst=03&amp;varaTst=0105</vt:lpwstr>
      </vt:variant>
      <vt:variant>
        <vt:lpwstr/>
      </vt:variant>
      <vt:variant>
        <vt:i4>6094854</vt:i4>
      </vt:variant>
      <vt:variant>
        <vt:i4>3</vt:i4>
      </vt:variant>
      <vt:variant>
        <vt:i4>0</vt:i4>
      </vt:variant>
      <vt:variant>
        <vt:i4>5</vt:i4>
      </vt:variant>
      <vt:variant>
        <vt:lpwstr>http://aplicacao4.tst.jus.br/consultaProcessual/consultaTstNumUnica.do?consulta=Consultar&amp;conscsjt=&amp;numeroTst=1000974&amp;digitoTst=53&amp;anoTst=2014&amp;orgaoTst=5&amp;tribunalTst=02&amp;varaTst=0000</vt:lpwstr>
      </vt:variant>
      <vt:variant>
        <vt:lpwstr/>
      </vt:variant>
      <vt:variant>
        <vt:i4>5767180</vt:i4>
      </vt:variant>
      <vt:variant>
        <vt:i4>0</vt:i4>
      </vt:variant>
      <vt:variant>
        <vt:i4>0</vt:i4>
      </vt:variant>
      <vt:variant>
        <vt:i4>5</vt:i4>
      </vt:variant>
      <vt:variant>
        <vt:lpwstr>http://aplicacao4.tst.jus.br/consultaProcessual/consultaTstNumUnica.do?consulta=Consultar&amp;conscsjt=&amp;numeroTst=361&amp;digitoTst=12&amp;anoTst=2014&amp;orgaoTst=5&amp;tribunalTst=07&amp;varaTst=0000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c041658</cp:lastModifiedBy>
  <cp:revision>2</cp:revision>
  <cp:lastPrinted>2017-02-20T18:54:00Z</cp:lastPrinted>
  <dcterms:created xsi:type="dcterms:W3CDTF">2017-08-01T19:43:00Z</dcterms:created>
  <dcterms:modified xsi:type="dcterms:W3CDTF">2017-08-01T19:43:00Z</dcterms:modified>
</cp:coreProperties>
</file>