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B55AB4" w:rsidRPr="00E531C9" w:rsidRDefault="00B55AB4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B55AB4" w:rsidRPr="00CE7555" w:rsidRDefault="00B55AB4" w:rsidP="00B55AB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B5311A" w:rsidRPr="00DE5C3E" w:rsidRDefault="00B5311A" w:rsidP="008A49DF">
      <w:pPr>
        <w:jc w:val="both"/>
        <w:rPr>
          <w:rFonts w:eastAsia="Calibri"/>
          <w:u w:val="single"/>
        </w:rPr>
      </w:pPr>
    </w:p>
    <w:p w:rsidR="00DE5C3E" w:rsidRPr="00DE5C3E" w:rsidRDefault="00DE5C3E" w:rsidP="00DE5C3E">
      <w:pPr>
        <w:autoSpaceDE/>
        <w:autoSpaceDN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E5C3E">
        <w:rPr>
          <w:rFonts w:eastAsia="Calibri"/>
          <w:b/>
          <w:i/>
          <w:sz w:val="24"/>
          <w:szCs w:val="24"/>
          <w:lang w:eastAsia="en-US"/>
        </w:rPr>
        <w:t>Adicional de insalubridade. Trabalho em locais destinados a atendimento socioeducativo de menores infratores. Indevido. Orientação Jurisprudencial nº4, I, da SBDI-I.  Rol taxativo da Portaria nº 3.214/78, NR 15, Anexo 14, do MTE.</w:t>
      </w:r>
    </w:p>
    <w:p w:rsidR="00DE5C3E" w:rsidRPr="00DE5C3E" w:rsidRDefault="00DE5C3E" w:rsidP="00DE5C3E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DE5C3E">
        <w:rPr>
          <w:rFonts w:eastAsia="Calibri"/>
          <w:sz w:val="24"/>
          <w:szCs w:val="24"/>
          <w:lang w:eastAsia="en-US"/>
        </w:rPr>
        <w:t xml:space="preserve">Não há direito ao adicional de insalubridade nas situações de contato com pacientes ou materiais infectocontagiosos em locais destinados ao atendimento socioeducativo de menores infratores (Fundação Casa), ainda que a perícia aponte a exposição do reclamante aos agentes biológicos mencionados no Anexo 14 da NR 15 da Portaria nº 3.214/78 do Ministério do Trabalho e Emprego – MTE. Nos termos da Orientação Jurisprudencial nº 4, I, da SBDI-I, para a concessão do adicional em questão não basta a constatação da insalubridade por meio de laudo pericial, sendo necessária a classificação da atividade como insalubre na relação oficial do MTE. Na espécie, a atividade não se enquadra no rol taxativo do MTE, razão pela qual não pode ser equiparada àquelas desenvolvidas em ambientes destinados a pacientes em isolamento, hospitais ou outros estabelecimentos relacionados aos cuidados da saúde humana. Sob esses fundamentos, a SBDI-I, por unanimidade, conheceu do recurso de embargos do reclamante, por divergência jurisprudencial, e, no mérito, por maioria, negou-lhe provimento. Vencidos os Ministros João Oreste Dalazen, Augusto César Leite de Carvalho, Alexandre de Souza Agra Belmonte e Hugo Carlos Scheuermann. </w:t>
      </w:r>
      <w:hyperlink r:id="rId8" w:history="1">
        <w:r w:rsidRPr="00DE5C3E">
          <w:rPr>
            <w:rStyle w:val="Hyperlink"/>
            <w:rFonts w:eastAsia="Calibri"/>
            <w:sz w:val="24"/>
            <w:szCs w:val="24"/>
            <w:lang w:eastAsia="en-US"/>
          </w:rPr>
          <w:t>TST-RR-1600-72.2009.5.15.0010</w:t>
        </w:r>
      </w:hyperlink>
      <w:r w:rsidRPr="00DE5C3E">
        <w:rPr>
          <w:rFonts w:eastAsia="Calibri"/>
          <w:sz w:val="24"/>
          <w:szCs w:val="24"/>
          <w:u w:val="single"/>
          <w:lang w:eastAsia="en-US"/>
        </w:rPr>
        <w:t>, SBDI-I, rel. Min. Renato de Lacerda Paiva, 13.10.2016</w:t>
      </w:r>
      <w:r w:rsidRPr="00DE5C3E">
        <w:rPr>
          <w:rFonts w:eastAsia="Calibri"/>
          <w:sz w:val="22"/>
          <w:szCs w:val="22"/>
          <w:lang w:eastAsia="en-US"/>
        </w:rPr>
        <w:t xml:space="preserve"> (*Ver Informativos TST nºs </w:t>
      </w:r>
      <w:hyperlink r:id="rId9" w:history="1">
        <w:r w:rsidRPr="00DE5C3E">
          <w:rPr>
            <w:rStyle w:val="Hyperlink"/>
            <w:rFonts w:eastAsia="Calibri"/>
            <w:sz w:val="22"/>
            <w:szCs w:val="22"/>
            <w:lang w:eastAsia="en-US"/>
          </w:rPr>
          <w:t>79</w:t>
        </w:r>
      </w:hyperlink>
      <w:r w:rsidRPr="00DE5C3E">
        <w:rPr>
          <w:rFonts w:eastAsia="Calibri"/>
          <w:sz w:val="22"/>
          <w:szCs w:val="22"/>
          <w:lang w:eastAsia="en-US"/>
        </w:rPr>
        <w:t xml:space="preserve"> e </w:t>
      </w:r>
      <w:hyperlink r:id="rId10" w:history="1">
        <w:r w:rsidRPr="00DE5C3E">
          <w:rPr>
            <w:rStyle w:val="Hyperlink"/>
            <w:rFonts w:eastAsia="Calibri"/>
            <w:sz w:val="22"/>
            <w:szCs w:val="22"/>
            <w:lang w:eastAsia="en-US"/>
          </w:rPr>
          <w:t>108</w:t>
        </w:r>
      </w:hyperlink>
      <w:r>
        <w:rPr>
          <w:rFonts w:eastAsia="Calibri"/>
          <w:sz w:val="22"/>
          <w:szCs w:val="22"/>
          <w:lang w:eastAsia="en-US"/>
        </w:rPr>
        <w:t>)</w:t>
      </w:r>
    </w:p>
    <w:p w:rsidR="00B5311A" w:rsidRPr="00DE5C3E" w:rsidRDefault="00B5311A" w:rsidP="008A49DF">
      <w:pPr>
        <w:jc w:val="both"/>
        <w:rPr>
          <w:rFonts w:eastAsia="Calibri"/>
          <w:u w:val="single"/>
        </w:rPr>
      </w:pPr>
    </w:p>
    <w:p w:rsidR="00DE5C3E" w:rsidRDefault="00DE5C3E" w:rsidP="00DE5C3E">
      <w:pPr>
        <w:jc w:val="both"/>
        <w:rPr>
          <w:b/>
          <w:i/>
          <w:sz w:val="24"/>
          <w:szCs w:val="24"/>
        </w:rPr>
      </w:pPr>
      <w:r w:rsidRPr="00B77A15">
        <w:rPr>
          <w:b/>
          <w:i/>
          <w:sz w:val="24"/>
          <w:szCs w:val="24"/>
        </w:rPr>
        <w:t xml:space="preserve">Contribuição assistencial. </w:t>
      </w:r>
      <w:r>
        <w:rPr>
          <w:b/>
          <w:i/>
          <w:sz w:val="24"/>
          <w:szCs w:val="24"/>
        </w:rPr>
        <w:t xml:space="preserve">Desconto obrigatório. </w:t>
      </w:r>
      <w:r w:rsidRPr="00B77A15">
        <w:rPr>
          <w:b/>
          <w:i/>
          <w:sz w:val="24"/>
          <w:szCs w:val="24"/>
        </w:rPr>
        <w:t>Empregados não filiados ao</w:t>
      </w:r>
      <w:r>
        <w:rPr>
          <w:b/>
          <w:i/>
          <w:sz w:val="24"/>
          <w:szCs w:val="24"/>
        </w:rPr>
        <w:t xml:space="preserve"> sindicato. Direito de oposição. Nulidade da cláusula de i</w:t>
      </w:r>
      <w:r w:rsidRPr="00B77A15">
        <w:rPr>
          <w:b/>
          <w:i/>
          <w:sz w:val="24"/>
          <w:szCs w:val="24"/>
        </w:rPr>
        <w:t>nstrumento coletivo.</w:t>
      </w:r>
      <w:r>
        <w:rPr>
          <w:b/>
          <w:i/>
          <w:sz w:val="24"/>
          <w:szCs w:val="24"/>
        </w:rPr>
        <w:t xml:space="preserve"> Art. 545 da CLT.</w:t>
      </w:r>
      <w:r w:rsidRPr="00BA257B">
        <w:t xml:space="preserve"> </w:t>
      </w:r>
      <w:r w:rsidRPr="00BA257B">
        <w:rPr>
          <w:b/>
          <w:i/>
          <w:sz w:val="24"/>
          <w:szCs w:val="24"/>
        </w:rPr>
        <w:t xml:space="preserve">Precedente Normativo </w:t>
      </w:r>
      <w:r>
        <w:rPr>
          <w:b/>
          <w:i/>
          <w:sz w:val="24"/>
          <w:szCs w:val="24"/>
        </w:rPr>
        <w:t>n</w:t>
      </w:r>
      <w:r w:rsidRPr="00BA257B">
        <w:rPr>
          <w:b/>
          <w:i/>
          <w:sz w:val="24"/>
          <w:szCs w:val="24"/>
        </w:rPr>
        <w:t>º 119</w:t>
      </w:r>
      <w:r>
        <w:rPr>
          <w:b/>
          <w:i/>
          <w:sz w:val="24"/>
          <w:szCs w:val="24"/>
        </w:rPr>
        <w:t xml:space="preserve">. </w:t>
      </w:r>
      <w:r w:rsidRPr="00BA257B">
        <w:rPr>
          <w:b/>
          <w:i/>
          <w:sz w:val="24"/>
          <w:szCs w:val="24"/>
        </w:rPr>
        <w:t xml:space="preserve">Orientação Jurisprudencial </w:t>
      </w:r>
      <w:r>
        <w:rPr>
          <w:b/>
          <w:i/>
          <w:sz w:val="24"/>
          <w:szCs w:val="24"/>
        </w:rPr>
        <w:t>n</w:t>
      </w:r>
      <w:r w:rsidRPr="00BA257B">
        <w:rPr>
          <w:b/>
          <w:i/>
          <w:sz w:val="24"/>
          <w:szCs w:val="24"/>
        </w:rPr>
        <w:t xml:space="preserve">º 17 </w:t>
      </w:r>
      <w:r>
        <w:rPr>
          <w:b/>
          <w:i/>
          <w:sz w:val="24"/>
          <w:szCs w:val="24"/>
        </w:rPr>
        <w:t>d</w:t>
      </w:r>
      <w:r w:rsidRPr="00BA257B">
        <w:rPr>
          <w:b/>
          <w:i/>
          <w:sz w:val="24"/>
          <w:szCs w:val="24"/>
        </w:rPr>
        <w:t>a S</w:t>
      </w:r>
      <w:r w:rsidRPr="00BA257B">
        <w:rPr>
          <w:b/>
          <w:i/>
          <w:szCs w:val="24"/>
        </w:rPr>
        <w:t>DC</w:t>
      </w:r>
      <w:r>
        <w:rPr>
          <w:b/>
          <w:i/>
          <w:szCs w:val="24"/>
        </w:rPr>
        <w:t>.</w:t>
      </w:r>
    </w:p>
    <w:p w:rsidR="00DE5C3E" w:rsidRDefault="00DE5C3E" w:rsidP="00DE5C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Nos termos da Orientação Jurisprudencial nº 17 da SDC e do Precedente Normativo nº 119, não é válida cláusula de instrumento coletivo que prevê desconto obrigatório de contribuição assistencial de empregado não sindicalizado, ainda que a ele seja garantido o direito de oposição. A previsão de oposição ao desconto não tem o condão de convalidar a cláusula coletiva, pois, a teor do art. 545 da CLT, os descontos salariais em favor do sindicato de classe estão condicionados à expressa autorização do empregado. Sob esses fundamentos, a SBDI-I, por unanimidade, conheceu dos embargos, por divergência jurisprudencial, e, no mérito, por maioria, negou-lhes provimento. Vencidos os Ministros José Roberto Freire Pimenta, Augusto César Leite de Carvalho e Hugo Carlos Scheuermann. </w:t>
      </w:r>
      <w:hyperlink r:id="rId11" w:history="1">
        <w:r w:rsidRPr="00DE5C3E">
          <w:rPr>
            <w:rStyle w:val="Hyperlink"/>
            <w:sz w:val="24"/>
            <w:szCs w:val="24"/>
          </w:rPr>
          <w:t>TST-E-ED-RR-135400-05.2005.5.05.0015</w:t>
        </w:r>
      </w:hyperlink>
      <w:r w:rsidRPr="00B4525E">
        <w:rPr>
          <w:sz w:val="24"/>
          <w:szCs w:val="24"/>
          <w:u w:val="single"/>
        </w:rPr>
        <w:t>, SBDI-I, rel. Min</w:t>
      </w:r>
      <w:r>
        <w:rPr>
          <w:sz w:val="24"/>
          <w:szCs w:val="24"/>
          <w:u w:val="single"/>
        </w:rPr>
        <w:t>. Dora Maria da Costa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13</w:t>
      </w:r>
      <w:r w:rsidRPr="00B4525E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0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DE5C3E" w:rsidRPr="00DE5C3E" w:rsidRDefault="00DE5C3E" w:rsidP="00DE5C3E">
      <w:pPr>
        <w:jc w:val="both"/>
        <w:rPr>
          <w:u w:val="single"/>
        </w:rPr>
      </w:pPr>
    </w:p>
    <w:p w:rsidR="00DE5C3E" w:rsidRDefault="00DE5C3E" w:rsidP="00DE5C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Adicional de i</w:t>
      </w:r>
      <w:r w:rsidRPr="00231ABC">
        <w:rPr>
          <w:b/>
          <w:i/>
          <w:sz w:val="24"/>
          <w:szCs w:val="24"/>
        </w:rPr>
        <w:t>nsalubridade e</w:t>
      </w:r>
      <w:r>
        <w:rPr>
          <w:b/>
          <w:i/>
          <w:sz w:val="24"/>
          <w:szCs w:val="24"/>
        </w:rPr>
        <w:t xml:space="preserve"> de</w:t>
      </w:r>
      <w:r w:rsidRPr="00231ABC">
        <w:rPr>
          <w:b/>
          <w:i/>
          <w:sz w:val="24"/>
          <w:szCs w:val="24"/>
        </w:rPr>
        <w:t xml:space="preserve"> periculosidade</w:t>
      </w:r>
      <w:r>
        <w:rPr>
          <w:b/>
          <w:i/>
          <w:sz w:val="24"/>
          <w:szCs w:val="24"/>
        </w:rPr>
        <w:t>. F</w:t>
      </w:r>
      <w:r w:rsidRPr="00231ABC">
        <w:rPr>
          <w:b/>
          <w:i/>
          <w:sz w:val="24"/>
          <w:szCs w:val="24"/>
        </w:rPr>
        <w:t>atos geradores distintos</w:t>
      </w:r>
      <w:r>
        <w:rPr>
          <w:b/>
          <w:i/>
          <w:sz w:val="24"/>
          <w:szCs w:val="24"/>
        </w:rPr>
        <w:t>. Cumulação.</w:t>
      </w:r>
      <w:r w:rsidRPr="00231A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Imp</w:t>
      </w:r>
      <w:r w:rsidRPr="00231ABC">
        <w:rPr>
          <w:b/>
          <w:i/>
          <w:sz w:val="24"/>
          <w:szCs w:val="24"/>
        </w:rPr>
        <w:t xml:space="preserve">ossibilidade. </w:t>
      </w:r>
    </w:p>
    <w:p w:rsidR="00DE5C3E" w:rsidRPr="007D253C" w:rsidRDefault="00DE5C3E" w:rsidP="00DE5C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D83BBC">
        <w:rPr>
          <w:sz w:val="24"/>
          <w:szCs w:val="24"/>
        </w:rPr>
        <w:t xml:space="preserve"> </w:t>
      </w:r>
      <w:r>
        <w:rPr>
          <w:sz w:val="24"/>
          <w:szCs w:val="24"/>
        </w:rPr>
        <w:t>art. 193, § 2º, da CLT</w:t>
      </w:r>
      <w:r w:rsidRPr="00D83BBC">
        <w:rPr>
          <w:sz w:val="24"/>
          <w:szCs w:val="24"/>
        </w:rPr>
        <w:t xml:space="preserve"> veda a cumulação dos adicionais de periculosidade e insalubridade,</w:t>
      </w:r>
      <w:r>
        <w:rPr>
          <w:sz w:val="24"/>
          <w:szCs w:val="24"/>
        </w:rPr>
        <w:t xml:space="preserve"> </w:t>
      </w:r>
      <w:r w:rsidRPr="00D83BBC">
        <w:rPr>
          <w:sz w:val="24"/>
          <w:szCs w:val="24"/>
        </w:rPr>
        <w:t>podendo, no entanto, o empregado fazer a opção pelo que lhe for mais benéfico.</w:t>
      </w:r>
      <w:r>
        <w:rPr>
          <w:sz w:val="24"/>
          <w:szCs w:val="24"/>
        </w:rPr>
        <w:t xml:space="preserve"> </w:t>
      </w:r>
      <w:r w:rsidRPr="007D253C">
        <w:rPr>
          <w:sz w:val="24"/>
          <w:szCs w:val="24"/>
        </w:rPr>
        <w:t xml:space="preserve">Sob esses fundamentos, </w:t>
      </w:r>
      <w:r w:rsidRPr="00041B7F">
        <w:rPr>
          <w:sz w:val="24"/>
          <w:szCs w:val="24"/>
        </w:rPr>
        <w:t xml:space="preserve">a </w:t>
      </w:r>
      <w:r>
        <w:rPr>
          <w:sz w:val="24"/>
          <w:szCs w:val="24"/>
        </w:rPr>
        <w:t>SBDI-I</w:t>
      </w:r>
      <w:r w:rsidRPr="00C72F2E">
        <w:rPr>
          <w:sz w:val="24"/>
          <w:szCs w:val="24"/>
        </w:rPr>
        <w:t xml:space="preserve"> </w:t>
      </w:r>
      <w:r>
        <w:rPr>
          <w:sz w:val="24"/>
          <w:szCs w:val="24"/>
        </w:rPr>
        <w:t>decidiu</w:t>
      </w:r>
      <w:r w:rsidRPr="00041B7F">
        <w:rPr>
          <w:sz w:val="24"/>
          <w:szCs w:val="24"/>
        </w:rPr>
        <w:t>, por unanimidade</w:t>
      </w:r>
      <w:r>
        <w:rPr>
          <w:sz w:val="24"/>
          <w:szCs w:val="24"/>
        </w:rPr>
        <w:t xml:space="preserve">, </w:t>
      </w:r>
      <w:r w:rsidRPr="00C72F2E">
        <w:rPr>
          <w:sz w:val="24"/>
          <w:szCs w:val="24"/>
        </w:rPr>
        <w:t>conhecer do recurso de embargos, por divergência jurisprudencial e, no mérito, por maioria, dar-lhe provimento para excluir da condenação a possibilidade de acúmulo dos dois adicionais</w:t>
      </w:r>
      <w:r>
        <w:rPr>
          <w:sz w:val="24"/>
          <w:szCs w:val="24"/>
        </w:rPr>
        <w:t>. V</w:t>
      </w:r>
      <w:r w:rsidRPr="00C72F2E">
        <w:rPr>
          <w:sz w:val="24"/>
          <w:szCs w:val="24"/>
        </w:rPr>
        <w:t xml:space="preserve">encidos os Ministros Augusto César </w:t>
      </w:r>
      <w:r w:rsidRPr="00C72F2E">
        <w:rPr>
          <w:sz w:val="24"/>
          <w:szCs w:val="24"/>
        </w:rPr>
        <w:lastRenderedPageBreak/>
        <w:t>Leite de Carvalho, João Oreste Dalazen, José Roberto Freire Pimenta, Hugo Carlos Scheuermann, Alexandre de Souza Agra Belmonte e Cláudio Mascarenhas Brandão</w:t>
      </w:r>
      <w:r>
        <w:rPr>
          <w:sz w:val="24"/>
          <w:szCs w:val="24"/>
        </w:rPr>
        <w:t xml:space="preserve">, que negavam provimento aos embargos para </w:t>
      </w:r>
      <w:r w:rsidRPr="00E34CD4">
        <w:rPr>
          <w:sz w:val="24"/>
          <w:szCs w:val="24"/>
        </w:rPr>
        <w:t>man</w:t>
      </w:r>
      <w:r>
        <w:rPr>
          <w:sz w:val="24"/>
          <w:szCs w:val="24"/>
        </w:rPr>
        <w:t xml:space="preserve">ter </w:t>
      </w:r>
      <w:r w:rsidRPr="00E34CD4">
        <w:rPr>
          <w:sz w:val="24"/>
          <w:szCs w:val="24"/>
        </w:rPr>
        <w:t xml:space="preserve">o pagamento cumulado dos adicionais de insalubridade e </w:t>
      </w:r>
      <w:r>
        <w:rPr>
          <w:sz w:val="24"/>
          <w:szCs w:val="24"/>
        </w:rPr>
        <w:t xml:space="preserve">de </w:t>
      </w:r>
      <w:r w:rsidRPr="00E34CD4">
        <w:rPr>
          <w:sz w:val="24"/>
          <w:szCs w:val="24"/>
        </w:rPr>
        <w:t>periculosidade</w:t>
      </w:r>
      <w:r>
        <w:rPr>
          <w:sz w:val="24"/>
          <w:szCs w:val="24"/>
        </w:rPr>
        <w:t>,</w:t>
      </w:r>
      <w:r w:rsidRPr="00866F2B">
        <w:t xml:space="preserve"> </w:t>
      </w:r>
      <w:r w:rsidRPr="00866F2B">
        <w:rPr>
          <w:sz w:val="24"/>
          <w:szCs w:val="24"/>
        </w:rPr>
        <w:t xml:space="preserve">sob o fundamento de que a exposição do individuo a um determinado tipo de risco não exclui a sua eventual exposição a outro risco </w:t>
      </w:r>
      <w:r>
        <w:rPr>
          <w:sz w:val="24"/>
          <w:szCs w:val="24"/>
        </w:rPr>
        <w:t>diferente, ante a existência de fatos geradores e causa de pedir distintas.</w:t>
      </w:r>
      <w:hyperlink r:id="rId12" w:history="1">
        <w:r w:rsidRPr="00DE5C3E">
          <w:rPr>
            <w:rStyle w:val="Hyperlink"/>
            <w:sz w:val="24"/>
            <w:szCs w:val="24"/>
          </w:rPr>
          <w:t xml:space="preserve"> TST-E-RR-1072-72.2011.5.02.0384</w:t>
        </w:r>
      </w:hyperlink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E34CD4">
        <w:rPr>
          <w:sz w:val="24"/>
          <w:szCs w:val="24"/>
          <w:u w:val="single"/>
        </w:rPr>
        <w:t xml:space="preserve">Renato </w:t>
      </w:r>
      <w:r>
        <w:rPr>
          <w:sz w:val="24"/>
          <w:szCs w:val="24"/>
          <w:u w:val="single"/>
        </w:rPr>
        <w:t>d</w:t>
      </w:r>
      <w:r w:rsidRPr="00E34CD4">
        <w:rPr>
          <w:sz w:val="24"/>
          <w:szCs w:val="24"/>
          <w:u w:val="single"/>
        </w:rPr>
        <w:t>e Lacerda Paiva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13.10</w:t>
      </w:r>
      <w:r w:rsidRPr="007D253C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 xml:space="preserve">6 </w:t>
      </w:r>
      <w:r w:rsidRPr="00054AC3">
        <w:t>(*</w:t>
      </w:r>
      <w:r w:rsidRPr="00DE5C3E">
        <w:t>Ver Informativo TST nº</w:t>
      </w:r>
      <w:hyperlink r:id="rId13" w:history="1">
        <w:r w:rsidRPr="00DE5C3E">
          <w:rPr>
            <w:rStyle w:val="Hyperlink"/>
          </w:rPr>
          <w:t xml:space="preserve"> 134</w:t>
        </w:r>
      </w:hyperlink>
      <w:r w:rsidRPr="00054AC3">
        <w:t>)</w:t>
      </w:r>
    </w:p>
    <w:p w:rsidR="00DE5C3E" w:rsidRPr="00B4525E" w:rsidRDefault="00DE5C3E" w:rsidP="00DE5C3E">
      <w:pPr>
        <w:jc w:val="both"/>
        <w:rPr>
          <w:sz w:val="24"/>
          <w:szCs w:val="24"/>
          <w:u w:val="single"/>
        </w:rPr>
      </w:pPr>
    </w:p>
    <w:p w:rsidR="00DE5C3E" w:rsidRDefault="00DE5C3E" w:rsidP="008A49DF">
      <w:pPr>
        <w:jc w:val="both"/>
        <w:rPr>
          <w:rFonts w:eastAsia="Calibri"/>
          <w:sz w:val="24"/>
          <w:szCs w:val="24"/>
          <w:u w:val="single"/>
        </w:rPr>
      </w:pPr>
    </w:p>
    <w:p w:rsidR="00B5311A" w:rsidRPr="001C6820" w:rsidRDefault="00B5311A" w:rsidP="008A49DF">
      <w:pPr>
        <w:jc w:val="both"/>
        <w:rPr>
          <w:rFonts w:eastAsia="Calibri"/>
          <w:sz w:val="24"/>
          <w:szCs w:val="24"/>
          <w:u w:val="single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3B" w:rsidRDefault="00642E3B">
      <w:r>
        <w:separator/>
      </w:r>
    </w:p>
  </w:endnote>
  <w:endnote w:type="continuationSeparator" w:id="0">
    <w:p w:rsidR="00642E3B" w:rsidRDefault="006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30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75307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3B" w:rsidRDefault="00642E3B">
      <w:r>
        <w:separator/>
      </w:r>
    </w:p>
  </w:footnote>
  <w:footnote w:type="continuationSeparator" w:id="0">
    <w:p w:rsidR="00642E3B" w:rsidRDefault="0064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8E3CCE">
      <w:rPr>
        <w:shadow/>
        <w:sz w:val="24"/>
        <w:szCs w:val="24"/>
      </w:rPr>
      <w:t>4</w:t>
    </w:r>
    <w:r w:rsidR="00DE5C3E">
      <w:rPr>
        <w:shadow/>
        <w:sz w:val="24"/>
        <w:szCs w:val="24"/>
      </w:rPr>
      <w:t>7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>Período:</w:t>
    </w:r>
    <w:r w:rsidR="009802D2">
      <w:rPr>
        <w:i/>
        <w:iCs/>
      </w:rPr>
      <w:t xml:space="preserve"> </w:t>
    </w:r>
    <w:r w:rsidR="00DE5C3E">
      <w:rPr>
        <w:i/>
        <w:iCs/>
      </w:rPr>
      <w:t>4</w:t>
    </w:r>
    <w:r w:rsidR="00ED4508">
      <w:rPr>
        <w:i/>
        <w:iCs/>
      </w:rPr>
      <w:t xml:space="preserve"> a </w:t>
    </w:r>
    <w:r w:rsidR="00DE5C3E">
      <w:rPr>
        <w:i/>
        <w:iCs/>
      </w:rPr>
      <w:t>17</w:t>
    </w:r>
    <w:r w:rsidR="00ED4508">
      <w:rPr>
        <w:i/>
        <w:iCs/>
      </w:rPr>
      <w:t xml:space="preserve"> de outubro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393131">
      <w:rPr>
        <w:b/>
        <w:sz w:val="40"/>
        <w:szCs w:val="40"/>
      </w:rPr>
      <w:t>4</w:t>
    </w:r>
    <w:r w:rsidR="00DE5C3E">
      <w:rPr>
        <w:b/>
        <w:sz w:val="40"/>
        <w:szCs w:val="40"/>
      </w:rPr>
      <w:t>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8E3CCE" w:rsidRPr="009B320F">
      <w:rPr>
        <w:i/>
        <w:iCs/>
      </w:rPr>
      <w:t xml:space="preserve"> </w:t>
    </w:r>
    <w:r w:rsidR="00DE5C3E">
      <w:rPr>
        <w:i/>
        <w:iCs/>
      </w:rPr>
      <w:t xml:space="preserve">4 </w:t>
    </w:r>
    <w:r w:rsidR="00ED4508">
      <w:rPr>
        <w:i/>
        <w:iCs/>
      </w:rPr>
      <w:t xml:space="preserve">a </w:t>
    </w:r>
    <w:r w:rsidR="00DE5C3E">
      <w:rPr>
        <w:i/>
        <w:iCs/>
      </w:rPr>
      <w:t>17</w:t>
    </w:r>
    <w:r w:rsidR="00ED4508">
      <w:rPr>
        <w:i/>
        <w:iCs/>
      </w:rPr>
      <w:t xml:space="preserve"> de outubro d</w:t>
    </w:r>
    <w:r w:rsidR="004A094C" w:rsidRPr="009B320F">
      <w:rPr>
        <w:i/>
        <w:iCs/>
      </w:rPr>
      <w:t>e 201</w:t>
    </w:r>
    <w:r w:rsidR="000E5C57" w:rsidRPr="009B320F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5A9D"/>
    <w:rsid w:val="00056752"/>
    <w:rsid w:val="0005765E"/>
    <w:rsid w:val="00057B87"/>
    <w:rsid w:val="0006020E"/>
    <w:rsid w:val="00064486"/>
    <w:rsid w:val="00065048"/>
    <w:rsid w:val="000733B4"/>
    <w:rsid w:val="00073643"/>
    <w:rsid w:val="00073880"/>
    <w:rsid w:val="00075BDB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2C08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3641"/>
    <w:rsid w:val="0042772A"/>
    <w:rsid w:val="004323B0"/>
    <w:rsid w:val="0044014F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2E3B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5307D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2EE9"/>
    <w:rsid w:val="007D469A"/>
    <w:rsid w:val="007D75E3"/>
    <w:rsid w:val="007E094E"/>
    <w:rsid w:val="007E0EA7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4155C"/>
    <w:rsid w:val="00951531"/>
    <w:rsid w:val="00953B29"/>
    <w:rsid w:val="00960A3B"/>
    <w:rsid w:val="0096375C"/>
    <w:rsid w:val="00967DE0"/>
    <w:rsid w:val="00971E07"/>
    <w:rsid w:val="00971E5F"/>
    <w:rsid w:val="009802D2"/>
    <w:rsid w:val="00980944"/>
    <w:rsid w:val="00986D77"/>
    <w:rsid w:val="00993A6E"/>
    <w:rsid w:val="009943EC"/>
    <w:rsid w:val="009A1BAD"/>
    <w:rsid w:val="009A32D5"/>
    <w:rsid w:val="009A5D37"/>
    <w:rsid w:val="009A6BD9"/>
    <w:rsid w:val="009B320F"/>
    <w:rsid w:val="009B6012"/>
    <w:rsid w:val="009C102D"/>
    <w:rsid w:val="009C2A4F"/>
    <w:rsid w:val="009D312C"/>
    <w:rsid w:val="009D4C59"/>
    <w:rsid w:val="009D7F91"/>
    <w:rsid w:val="009E20EF"/>
    <w:rsid w:val="009E26EE"/>
    <w:rsid w:val="009F1C7B"/>
    <w:rsid w:val="009F21A2"/>
    <w:rsid w:val="00A00D70"/>
    <w:rsid w:val="00A00DE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299E"/>
    <w:rsid w:val="00AB507C"/>
    <w:rsid w:val="00AB606E"/>
    <w:rsid w:val="00AC096E"/>
    <w:rsid w:val="00AD6E76"/>
    <w:rsid w:val="00AE3EAA"/>
    <w:rsid w:val="00AE5EDF"/>
    <w:rsid w:val="00AE758A"/>
    <w:rsid w:val="00B06261"/>
    <w:rsid w:val="00B108BA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774F6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41B5"/>
    <w:rsid w:val="00EE66C9"/>
    <w:rsid w:val="00EF10DB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600&amp;digitoTst=72&amp;anoTst=2009&amp;orgaoTst=5&amp;tribunalTst=15&amp;varaTst=0010" TargetMode="External"/><Relationship Id="rId13" Type="http://schemas.openxmlformats.org/officeDocument/2006/relationships/hyperlink" Target="http://www.tst.jus.br/documents/10157/1204330/Informativo+TST+n%C2%BA%20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1072&amp;digitoTst=72&amp;anoTst=2011&amp;orgaoTst=5&amp;tribunalTst=02&amp;varaTst=038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35400&amp;digitoTst=05&amp;anoTst=2005&amp;orgaoTst=5&amp;tribunalTst=05&amp;varaTst=0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st.jus.br/documents/10157/1204330/Informativo+TST+n%C2%BA%201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st.jus.br/documents/10157/1204330/Informativo+TST+n%C2%BA%2007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567D-5F61-421C-9EB8-3C3028DE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5236</CharactersWithSpaces>
  <SharedDoc>false</SharedDoc>
  <HLinks>
    <vt:vector size="36" baseType="variant">
      <vt:variant>
        <vt:i4>1048580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http://www.tst.jus.br/documents/10157/1204330/Informativo+TST+n%C2%BA 134</vt:lpwstr>
      </vt:variant>
      <vt:variant>
        <vt:lpwstr/>
      </vt:variant>
      <vt:variant>
        <vt:i4>2097277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http://aplicacao4.tst.jus.br/consultaProcessual/consultaTstNumUnica.do?consulta=Consultar&amp;conscsjt=&amp;numeroTst=1072&amp;digitoTst=72&amp;anoTst=2011&amp;orgaoTst=5&amp;tribunalTst=02&amp;varaTst=0384</vt:lpwstr>
      </vt:variant>
      <vt:variant>
        <vt:lpwstr/>
      </vt:variant>
      <vt:variant>
        <vt:i4>1114178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http://aplicacao4.tst.jus.br/consultaProcessual/consultaTstNumUnica.do?consulta=Consultar&amp;conscsjt=&amp;numeroTst=135400&amp;digitoTst=05&amp;anoTst=2005&amp;orgaoTst=5&amp;tribunalTst=05&amp;varaTst=0015</vt:lpwstr>
      </vt:variant>
      <vt:variant>
        <vt:lpwstr/>
      </vt:variant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http://www.tst.jus.br/documents/10157/1204330/Informativo+TST+n%C2%BA 108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http://www.tst.jus.br/documents/10157/1204330/Informativo+TST+n%C2%BA 079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http://aplicacao4.tst.jus.br/consultaProcessual/consultaTstNumUnica.do?consulta=Consultar&amp;conscsjt=&amp;numeroTst=1600&amp;digitoTst=72&amp;anoTst=2009&amp;orgaoTst=5&amp;tribunalTst=15&amp;varaTst=0010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2016-09-23T20:29:00Z</cp:lastPrinted>
  <dcterms:created xsi:type="dcterms:W3CDTF">2018-06-27T21:51:00Z</dcterms:created>
  <dcterms:modified xsi:type="dcterms:W3CDTF">2018-06-27T21:51:00Z</dcterms:modified>
</cp:coreProperties>
</file>