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Default="00F7499A" w:rsidP="00F7499A">
            <w:pPr>
              <w:pStyle w:val="Cabealho"/>
              <w:tabs>
                <w:tab w:val="clear" w:pos="4419"/>
                <w:tab w:val="clear" w:pos="8838"/>
              </w:tabs>
              <w:jc w:val="both"/>
              <w:rPr>
                <w:sz w:val="16"/>
                <w:szCs w:val="16"/>
              </w:rPr>
            </w:pPr>
            <w:r>
              <w:rPr>
                <w:sz w:val="16"/>
                <w:szCs w:val="16"/>
              </w:rPr>
              <w:t xml:space="preserve">Este Informativo </w:t>
            </w:r>
            <w:r w:rsidR="00C26DFB" w:rsidRPr="00187A37">
              <w:rPr>
                <w:sz w:val="16"/>
                <w:szCs w:val="16"/>
              </w:rPr>
              <w:t>contém resumos não</w:t>
            </w:r>
            <w:r w:rsidR="00DC50EB" w:rsidRPr="00187A37">
              <w:rPr>
                <w:sz w:val="16"/>
                <w:szCs w:val="16"/>
              </w:rPr>
              <w:t xml:space="preserve"> </w:t>
            </w:r>
            <w:r w:rsidR="00C26DFB" w:rsidRPr="00187A37">
              <w:rPr>
                <w:sz w:val="16"/>
                <w:szCs w:val="16"/>
              </w:rPr>
              <w:t>oficiais de decisões proferidas pelo Tribunal</w:t>
            </w:r>
            <w:r>
              <w:rPr>
                <w:sz w:val="16"/>
                <w:szCs w:val="16"/>
              </w:rPr>
              <w:t xml:space="preserve"> em sede de execução trabalhista</w:t>
            </w:r>
            <w:r w:rsidR="00C26DFB" w:rsidRPr="00187A37">
              <w:rPr>
                <w:sz w:val="16"/>
                <w:szCs w:val="16"/>
              </w:rPr>
              <w:t>.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00C26DFB" w:rsidRPr="00187A37">
              <w:rPr>
                <w:sz w:val="16"/>
                <w:szCs w:val="16"/>
              </w:rPr>
              <w:t>da Justiça</w:t>
            </w:r>
            <w:r w:rsidR="00980944" w:rsidRPr="00187A37">
              <w:rPr>
                <w:sz w:val="16"/>
                <w:szCs w:val="16"/>
              </w:rPr>
              <w:t xml:space="preserve"> do Trabalho</w:t>
            </w:r>
            <w:r w:rsidR="00C26DFB" w:rsidRPr="00187A37">
              <w:rPr>
                <w:sz w:val="16"/>
                <w:szCs w:val="16"/>
              </w:rPr>
              <w:t>.</w:t>
            </w:r>
          </w:p>
          <w:p w:rsidR="009576A1" w:rsidRPr="00187A37" w:rsidRDefault="009576A1" w:rsidP="00F7499A">
            <w:pPr>
              <w:pStyle w:val="Cabealho"/>
              <w:tabs>
                <w:tab w:val="clear" w:pos="4419"/>
                <w:tab w:val="clear" w:pos="8838"/>
              </w:tabs>
              <w:jc w:val="both"/>
              <w:rPr>
                <w:sz w:val="10"/>
                <w:szCs w:val="10"/>
              </w:rPr>
            </w:pPr>
          </w:p>
        </w:tc>
      </w:tr>
    </w:tbl>
    <w:p w:rsidR="008A0948" w:rsidRPr="00971E07" w:rsidRDefault="008A0948" w:rsidP="008A0948">
      <w:pPr>
        <w:pStyle w:val="Corpo"/>
        <w:pBdr>
          <w:top w:val="single" w:sz="4" w:space="1" w:color="auto"/>
          <w:left w:val="single" w:sz="4" w:space="4" w:color="auto"/>
          <w:bottom w:val="single" w:sz="4" w:space="1" w:color="auto"/>
          <w:right w:val="single" w:sz="4" w:space="4" w:color="auto"/>
        </w:pBdr>
        <w:shd w:val="clear" w:color="auto" w:fill="E5B8B7"/>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8A0948" w:rsidRPr="009B4E0B" w:rsidRDefault="008A0948" w:rsidP="008A0948">
      <w:pPr>
        <w:jc w:val="both"/>
        <w:rPr>
          <w:b/>
          <w:i/>
          <w:sz w:val="24"/>
          <w:szCs w:val="24"/>
        </w:rPr>
      </w:pPr>
    </w:p>
    <w:p w:rsidR="009B4E0B" w:rsidRPr="009B4E0B" w:rsidRDefault="009B4E0B" w:rsidP="009B4E0B">
      <w:pPr>
        <w:jc w:val="both"/>
        <w:rPr>
          <w:b/>
          <w:i/>
          <w:sz w:val="24"/>
          <w:szCs w:val="24"/>
        </w:rPr>
      </w:pPr>
      <w:r w:rsidRPr="009B4E0B">
        <w:rPr>
          <w:b/>
          <w:i/>
          <w:sz w:val="24"/>
          <w:szCs w:val="24"/>
        </w:rPr>
        <w:t xml:space="preserve">Mandado de Segurança. Execução. Decisão que mantém arrematação de bem após homologação de acordo entre as partes. Existência de outras despesas processuais. Art. 651 do CPC. </w:t>
      </w:r>
    </w:p>
    <w:p w:rsidR="009B4E0B" w:rsidRPr="009B4E0B" w:rsidRDefault="009B4E0B" w:rsidP="009B4E0B">
      <w:pPr>
        <w:jc w:val="both"/>
        <w:rPr>
          <w:sz w:val="24"/>
          <w:szCs w:val="24"/>
          <w:u w:val="single"/>
        </w:rPr>
      </w:pPr>
      <w:r w:rsidRPr="009B4E0B">
        <w:rPr>
          <w:color w:val="000000"/>
          <w:sz w:val="24"/>
          <w:szCs w:val="24"/>
        </w:rPr>
        <w:t xml:space="preserve">Nos termos do art. 651 do CPC, é possível ao devedor, antes de arrematados ou adjudicados os bens, saldar a execução, desde que efetue o pagamento da importância da dívida, acrescida de juros, custas, honorários e demais despesas processuais. Assim, mostra-se correta a decisão de primeiro grau, proferida em sede de execução definitiva, que, a despeito da existência de acordo homologado posteriormente, manteve a arrematação do bem de propriedade do executado, uma vez constatada a existência de outras despesas processuais ainda pendentes de pagamento. Com esse entendimento, e não vislumbrando motivo para anular a arrematação efetuada, a SBDI-II, por unanimidade, conheceu do recurso ordinário e, no mérito, deu-lhe provimento para </w:t>
      </w:r>
      <w:r w:rsidRPr="009B4E0B">
        <w:rPr>
          <w:sz w:val="24"/>
          <w:szCs w:val="24"/>
        </w:rPr>
        <w:t>afastar a extinção do processo, sem resolução de mérito, declarada pelo TRT e, a teor do artigo 515, § 3º, do CPC, prosseguir no exame da ação mandamental, denegando a segurança pretendida.</w:t>
      </w:r>
      <w:r>
        <w:rPr>
          <w:sz w:val="24"/>
          <w:szCs w:val="24"/>
        </w:rPr>
        <w:t xml:space="preserve"> </w:t>
      </w:r>
      <w:hyperlink r:id="rId8" w:history="1">
        <w:r w:rsidRPr="009B4E0B">
          <w:rPr>
            <w:rStyle w:val="Hyperlink"/>
            <w:sz w:val="24"/>
            <w:szCs w:val="24"/>
          </w:rPr>
          <w:t>TST-RO-5476-26.2013.5.15.0000</w:t>
        </w:r>
      </w:hyperlink>
      <w:r w:rsidRPr="009B4E0B">
        <w:rPr>
          <w:sz w:val="24"/>
          <w:szCs w:val="24"/>
          <w:u w:val="single"/>
        </w:rPr>
        <w:t>, SBDI-II, rel. Min. Emmanoel Pereira, 30.9.2014</w:t>
      </w:r>
    </w:p>
    <w:p w:rsidR="009B4E0B" w:rsidRPr="009B4E0B" w:rsidRDefault="009B4E0B" w:rsidP="009B4E0B">
      <w:pPr>
        <w:jc w:val="both"/>
        <w:rPr>
          <w:color w:val="000000"/>
          <w:sz w:val="24"/>
          <w:szCs w:val="24"/>
        </w:rPr>
      </w:pPr>
    </w:p>
    <w:p w:rsidR="009B4E0B" w:rsidRPr="009B4E0B" w:rsidRDefault="009B4E0B" w:rsidP="009B4E0B">
      <w:pPr>
        <w:jc w:val="both"/>
        <w:rPr>
          <w:b/>
          <w:i/>
          <w:sz w:val="24"/>
          <w:szCs w:val="24"/>
        </w:rPr>
      </w:pPr>
      <w:r w:rsidRPr="009B4E0B">
        <w:rPr>
          <w:b/>
          <w:i/>
          <w:sz w:val="24"/>
          <w:szCs w:val="24"/>
        </w:rPr>
        <w:t xml:space="preserve">Mandado de segurança. Pedido de emissão de Certidão Positiva de Débitos Trabalhistas com Efeitos de Negativa.  Execução integralmente garantida por reclamada que requer exclusão da lide. Ausência de decisão definitiva sobre a questão. Risco de ineficácia da prestação jurisdicional. Inexistência de direito líquido e certo.  </w:t>
      </w:r>
    </w:p>
    <w:p w:rsidR="009B4E0B" w:rsidRPr="009B4E0B" w:rsidRDefault="009B4E0B" w:rsidP="009B4E0B">
      <w:pPr>
        <w:pStyle w:val="Corpo"/>
        <w:spacing w:line="240" w:lineRule="auto"/>
        <w:ind w:firstLine="0"/>
        <w:rPr>
          <w:rFonts w:ascii="Times New Roman" w:eastAsia="Calibri" w:hAnsi="Times New Roman" w:cs="Times New Roman"/>
          <w:color w:val="auto"/>
          <w:lang w:val="pt-BR" w:eastAsia="en-US"/>
        </w:rPr>
      </w:pPr>
      <w:r w:rsidRPr="009B4E0B">
        <w:rPr>
          <w:rFonts w:ascii="Times New Roman" w:hAnsi="Times New Roman"/>
          <w:lang w:val="pt-BR"/>
        </w:rPr>
        <w:t xml:space="preserve">Embora o § 2º do art. 642-A da CLT permita a expedição de </w:t>
      </w:r>
      <w:r w:rsidRPr="009B4E0B">
        <w:rPr>
          <w:rFonts w:ascii="Times New Roman" w:eastAsia="Calibri" w:hAnsi="Times New Roman" w:cs="Times New Roman"/>
          <w:color w:val="auto"/>
          <w:lang w:val="pt-BR" w:eastAsia="en-US"/>
        </w:rPr>
        <w:t xml:space="preserve">Certidão Positiva de Débitos Trabalhistas com Efeito de Negativa, </w:t>
      </w:r>
      <w:r w:rsidRPr="009B4E0B">
        <w:rPr>
          <w:rFonts w:ascii="Times New Roman" w:hAnsi="Times New Roman"/>
          <w:lang w:val="pt-BR"/>
        </w:rPr>
        <w:t xml:space="preserve">desde que </w:t>
      </w:r>
      <w:r w:rsidRPr="009B4E0B">
        <w:rPr>
          <w:rFonts w:ascii="Times New Roman" w:eastAsia="Calibri" w:hAnsi="Times New Roman" w:cs="Times New Roman"/>
          <w:color w:val="auto"/>
          <w:lang w:val="pt-BR" w:eastAsia="en-US"/>
        </w:rPr>
        <w:t>haja débitos trabalhistas com exigibilidade suspensa ou quando a execução estiver garantida por depósito ou penhora</w:t>
      </w:r>
      <w:r w:rsidRPr="009B4E0B">
        <w:rPr>
          <w:rFonts w:ascii="Times New Roman" w:hAnsi="Times New Roman"/>
          <w:lang w:val="pt-BR"/>
        </w:rPr>
        <w:t xml:space="preserve">, no caso em que não há </w:t>
      </w:r>
      <w:r w:rsidRPr="009B4E0B">
        <w:rPr>
          <w:rFonts w:ascii="Times New Roman" w:eastAsia="Calibri" w:hAnsi="Times New Roman" w:cs="Times New Roman"/>
          <w:color w:val="auto"/>
          <w:lang w:val="pt-BR" w:eastAsia="en-US"/>
        </w:rPr>
        <w:t>decisão definitiva acerca da exclusão da lide da empresa executada responsável pela garantia do juízo, não se afigura razoável que as demais reclamadas se beneficiem da suspensão da exigibilidade dos débitos trabalhistas, ante o risco de ineficácia da prestação jurisdicional.</w:t>
      </w:r>
      <w:r w:rsidRPr="009B4E0B">
        <w:rPr>
          <w:rFonts w:ascii="Times New Roman" w:hAnsi="Times New Roman"/>
          <w:lang w:val="pt-BR"/>
        </w:rPr>
        <w:t xml:space="preserve"> Incidência, por analogia, do item III da Súmula nº 128 do TST. Na espécie, o TRT indeferiu o pedido de expedição de Certidão Positiva de Débitos Trabalhistas com Efeitos de Negativa por entender que, embora garantida a execução trabalhista, a reclamada que ofertou a carta de fiança como garantia do débito exequendo requereu sua exclusão da lide, não havendo decisão definitiva sobre a questão.  Assim sendo, a SBDI-II, por </w:t>
      </w:r>
      <w:r w:rsidRPr="009B4E0B">
        <w:rPr>
          <w:rFonts w:ascii="Times New Roman" w:eastAsia="Calibri" w:hAnsi="Times New Roman" w:cs="Times New Roman"/>
          <w:color w:val="auto"/>
          <w:lang w:val="pt-BR" w:eastAsia="en-US"/>
        </w:rPr>
        <w:t xml:space="preserve">unanimidade, conheceu do recurso ordinário e, no mérito, negou-lhe provimento, uma vez que não demonstrada, de maneira inequívoca, a satisfação dos requisitos necessários para a expedição de Certidão Positiva de Débitos Trabalhistas com Efeito de Negativa, não vislumbrando, assim, direito líquido e certo a ser amparado pela via do mandado de segurança. </w:t>
      </w:r>
      <w:hyperlink r:id="rId9" w:history="1">
        <w:r w:rsidRPr="009B4E0B">
          <w:rPr>
            <w:rStyle w:val="Hyperlink"/>
            <w:rFonts w:ascii="Times New Roman" w:hAnsi="Times New Roman" w:cs="Courier New"/>
            <w:lang w:val="pt-BR"/>
          </w:rPr>
          <w:t>TST-RO-1000244-76.2013.5.02.0000</w:t>
        </w:r>
      </w:hyperlink>
      <w:r w:rsidRPr="009B4E0B">
        <w:rPr>
          <w:rFonts w:ascii="Times New Roman" w:hAnsi="Times New Roman"/>
          <w:u w:val="single"/>
          <w:lang w:val="pt-BR"/>
        </w:rPr>
        <w:t>, SBDI-II, rel. Min. Douglas Alencar Rodrigues, 7.10.2014</w:t>
      </w:r>
    </w:p>
    <w:p w:rsidR="00CE392D" w:rsidRPr="005D1DE4" w:rsidRDefault="00CE392D">
      <w:pPr>
        <w:jc w:val="both"/>
        <w:rPr>
          <w:sz w:val="22"/>
          <w:szCs w:val="22"/>
          <w:u w:val="single"/>
        </w:rPr>
      </w:pPr>
    </w:p>
    <w:p w:rsidR="00F7499A" w:rsidRDefault="00184590" w:rsidP="005D4F86">
      <w:pPr>
        <w:pStyle w:val="Corpodetexto"/>
        <w:pBdr>
          <w:top w:val="single" w:sz="4" w:space="1" w:color="auto"/>
          <w:left w:val="single" w:sz="4" w:space="0" w:color="auto"/>
          <w:bottom w:val="single" w:sz="4" w:space="1" w:color="auto"/>
          <w:right w:val="single" w:sz="4" w:space="1" w:color="auto"/>
        </w:pBdr>
        <w:shd w:val="clear" w:color="auto" w:fill="E5B8B7"/>
        <w:outlineLvl w:val="0"/>
        <w:rPr>
          <w:b w:val="0"/>
          <w:bCs w:val="0"/>
          <w:snapToGrid w:val="0"/>
          <w:sz w:val="20"/>
          <w:szCs w:val="20"/>
        </w:rPr>
      </w:pPr>
      <w:r w:rsidRPr="005D1DE4">
        <w:rPr>
          <w:b w:val="0"/>
          <w:bCs w:val="0"/>
          <w:snapToGrid w:val="0"/>
          <w:sz w:val="20"/>
          <w:szCs w:val="20"/>
        </w:rPr>
        <w:t xml:space="preserve">Informativo TST </w:t>
      </w:r>
      <w:r w:rsidR="005E1A86" w:rsidRPr="005E1A86">
        <w:rPr>
          <w:b w:val="0"/>
          <w:bCs w:val="0"/>
          <w:snapToGrid w:val="0"/>
          <w:sz w:val="20"/>
          <w:szCs w:val="20"/>
        </w:rPr>
        <w:t>Execução</w:t>
      </w:r>
      <w:r w:rsidR="005E1A86">
        <w:rPr>
          <w:b w:val="0"/>
          <w:bCs w:val="0"/>
          <w:snapToGrid w:val="0"/>
          <w:sz w:val="20"/>
          <w:szCs w:val="20"/>
        </w:rPr>
        <w:t xml:space="preserve"> </w:t>
      </w:r>
      <w:r w:rsidRPr="005D1DE4">
        <w:rPr>
          <w:b w:val="0"/>
          <w:bCs w:val="0"/>
          <w:snapToGrid w:val="0"/>
          <w:sz w:val="20"/>
          <w:szCs w:val="20"/>
        </w:rPr>
        <w:t>é</w:t>
      </w:r>
      <w:r w:rsidR="00F7499A">
        <w:rPr>
          <w:b w:val="0"/>
          <w:bCs w:val="0"/>
          <w:snapToGrid w:val="0"/>
          <w:sz w:val="20"/>
          <w:szCs w:val="20"/>
        </w:rPr>
        <w:t xml:space="preserve"> uma iniciativa da </w:t>
      </w:r>
    </w:p>
    <w:p w:rsidR="00F7499A" w:rsidRDefault="00F7499A" w:rsidP="005D4F86">
      <w:pPr>
        <w:pStyle w:val="Corpodetexto"/>
        <w:pBdr>
          <w:top w:val="single" w:sz="4" w:space="1" w:color="auto"/>
          <w:left w:val="single" w:sz="4" w:space="0" w:color="auto"/>
          <w:bottom w:val="single" w:sz="4" w:space="1" w:color="auto"/>
          <w:right w:val="single" w:sz="4" w:space="1" w:color="auto"/>
        </w:pBdr>
        <w:shd w:val="clear" w:color="auto" w:fill="E5B8B7"/>
        <w:outlineLvl w:val="0"/>
        <w:rPr>
          <w:b w:val="0"/>
          <w:bCs w:val="0"/>
          <w:snapToGrid w:val="0"/>
          <w:sz w:val="20"/>
          <w:szCs w:val="20"/>
        </w:rPr>
      </w:pPr>
      <w:r>
        <w:rPr>
          <w:b w:val="0"/>
          <w:bCs w:val="0"/>
          <w:snapToGrid w:val="0"/>
          <w:sz w:val="20"/>
          <w:szCs w:val="20"/>
        </w:rPr>
        <w:t>Comissão Nacional de Efetividade de Execução Trabalhista,</w:t>
      </w:r>
      <w:r w:rsidR="00184590" w:rsidRPr="005D1DE4">
        <w:rPr>
          <w:b w:val="0"/>
          <w:bCs w:val="0"/>
          <w:snapToGrid w:val="0"/>
          <w:sz w:val="20"/>
          <w:szCs w:val="20"/>
        </w:rPr>
        <w:t xml:space="preserve"> </w:t>
      </w:r>
    </w:p>
    <w:p w:rsidR="00184590" w:rsidRPr="005D1DE4" w:rsidRDefault="00184590" w:rsidP="00F7499A">
      <w:pPr>
        <w:pStyle w:val="Corpodetexto"/>
        <w:pBdr>
          <w:top w:val="single" w:sz="4" w:space="1" w:color="auto"/>
          <w:left w:val="single" w:sz="4" w:space="0" w:color="auto"/>
          <w:bottom w:val="single" w:sz="4" w:space="1" w:color="auto"/>
          <w:right w:val="single" w:sz="4" w:space="1" w:color="auto"/>
        </w:pBdr>
        <w:shd w:val="clear" w:color="auto" w:fill="E5B8B7"/>
        <w:outlineLvl w:val="0"/>
        <w:rPr>
          <w:b w:val="0"/>
          <w:bCs w:val="0"/>
          <w:snapToGrid w:val="0"/>
          <w:sz w:val="20"/>
          <w:szCs w:val="20"/>
        </w:rPr>
      </w:pPr>
      <w:r w:rsidRPr="005D1DE4">
        <w:rPr>
          <w:b w:val="0"/>
          <w:bCs w:val="0"/>
          <w:snapToGrid w:val="0"/>
          <w:sz w:val="20"/>
          <w:szCs w:val="20"/>
        </w:rPr>
        <w:t>mantido pela Coordenadoria de Jurisprudência – CJUR</w:t>
      </w:r>
    </w:p>
    <w:p w:rsidR="00184590" w:rsidRPr="005D1DE4" w:rsidRDefault="00184590" w:rsidP="005D4F86">
      <w:pPr>
        <w:pBdr>
          <w:top w:val="single" w:sz="4" w:space="1" w:color="auto"/>
          <w:left w:val="single" w:sz="4" w:space="0" w:color="auto"/>
          <w:bottom w:val="single" w:sz="4" w:space="1" w:color="auto"/>
          <w:right w:val="single" w:sz="4" w:space="1" w:color="auto"/>
        </w:pBdr>
        <w:shd w:val="clear" w:color="auto" w:fill="E5B8B7"/>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5D4F86">
      <w:pPr>
        <w:pBdr>
          <w:top w:val="single" w:sz="4" w:space="1" w:color="auto"/>
          <w:left w:val="single" w:sz="4" w:space="0" w:color="auto"/>
          <w:bottom w:val="single" w:sz="4" w:space="1" w:color="auto"/>
          <w:right w:val="single" w:sz="4" w:space="1" w:color="auto"/>
        </w:pBdr>
        <w:shd w:val="clear" w:color="auto" w:fill="E5B8B7"/>
        <w:jc w:val="center"/>
        <w:rPr>
          <w:snapToGrid w:val="0"/>
          <w:sz w:val="22"/>
          <w:szCs w:val="22"/>
        </w:rPr>
      </w:pPr>
      <w:r w:rsidRPr="005D1DE4">
        <w:rPr>
          <w:snapToGrid w:val="0"/>
        </w:rPr>
        <w:t>cjur@tst.jus.br</w:t>
      </w:r>
    </w:p>
    <w:sectPr w:rsidR="007614F1" w:rsidRPr="005D1DE4" w:rsidSect="00D11B24">
      <w:headerReference w:type="default" r:id="rId10"/>
      <w:footerReference w:type="default" r:id="rId11"/>
      <w:headerReference w:type="first" r:id="rId12"/>
      <w:footerReference w:type="first" r:id="rId13"/>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FE" w:rsidRDefault="002014FE">
      <w:r>
        <w:separator/>
      </w:r>
    </w:p>
  </w:endnote>
  <w:endnote w:type="continuationSeparator" w:id="0">
    <w:p w:rsidR="002014FE" w:rsidRDefault="0020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4E0B">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7E2069">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FE" w:rsidRDefault="002014FE">
      <w:r>
        <w:separator/>
      </w:r>
    </w:p>
  </w:footnote>
  <w:footnote w:type="continuationSeparator" w:id="0">
    <w:p w:rsidR="002014FE" w:rsidRDefault="00201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Informativo TST</w:t>
    </w:r>
    <w:r w:rsidR="00627896">
      <w:rPr>
        <w:shadow/>
        <w:sz w:val="24"/>
        <w:szCs w:val="24"/>
      </w:rPr>
      <w:t xml:space="preserve"> Execução</w:t>
    </w:r>
    <w:r w:rsidRPr="00971E07">
      <w:rPr>
        <w:shadow/>
        <w:sz w:val="24"/>
        <w:szCs w:val="24"/>
      </w:rPr>
      <w:t xml:space="preserve"> - </w:t>
    </w:r>
    <w:r w:rsidR="00986D77">
      <w:rPr>
        <w:shadow/>
        <w:sz w:val="24"/>
        <w:szCs w:val="24"/>
      </w:rPr>
      <w:t>n</w:t>
    </w:r>
    <w:r w:rsidRPr="00971E07">
      <w:rPr>
        <w:shadow/>
        <w:sz w:val="24"/>
        <w:szCs w:val="24"/>
      </w:rPr>
      <w:t xml:space="preserve">º </w:t>
    </w:r>
    <w:r w:rsidR="00B67CE0">
      <w:rPr>
        <w:shadow/>
        <w:sz w:val="24"/>
        <w:szCs w:val="24"/>
      </w:rPr>
      <w:t>5</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B67CE0">
      <w:rPr>
        <w:sz w:val="20"/>
        <w:szCs w:val="20"/>
      </w:rPr>
      <w:t xml:space="preserve">9 a 29 de setembro </w:t>
    </w:r>
    <w:r w:rsidR="00FE00AD" w:rsidRPr="00971E07">
      <w:rPr>
        <w:sz w:val="20"/>
        <w:szCs w:val="20"/>
      </w:rPr>
      <w:t>de 20</w:t>
    </w:r>
    <w:r w:rsidR="00E16E01" w:rsidRPr="00971E07">
      <w:rPr>
        <w:sz w:val="20"/>
        <w:szCs w:val="20"/>
      </w:rPr>
      <w:t>1</w:t>
    </w:r>
    <w:r w:rsidR="00627896">
      <w:rPr>
        <w:sz w:val="20"/>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rsidP="00582667">
    <w:pPr>
      <w:pStyle w:val="Cabealho"/>
      <w:tabs>
        <w:tab w:val="clear" w:pos="8838"/>
        <w:tab w:val="right" w:pos="9639"/>
      </w:tabs>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r w:rsidR="0001157D">
      <w:tab/>
    </w:r>
    <w:r w:rsidR="0001157D">
      <w:tab/>
    </w:r>
    <w:r w:rsidR="008C1F97">
      <w:t xml:space="preserve">    </w:t>
    </w:r>
    <w:r w:rsidR="0001157D" w:rsidRPr="0001157D">
      <w:rPr>
        <w:rFonts w:ascii="Lucida Handwriting" w:hAnsi="Lucida Handwriting"/>
        <w:color w:val="FF0000"/>
        <w:sz w:val="40"/>
        <w:szCs w:val="40"/>
      </w:rPr>
      <w:t>Execução</w:t>
    </w:r>
    <w:r w:rsidR="0001157D" w:rsidRPr="0001157D">
      <w:rPr>
        <w:rFonts w:ascii="Lucida Handwriting" w:hAnsi="Lucida Handwriting"/>
        <w:sz w:val="40"/>
        <w:szCs w:val="40"/>
      </w:rPr>
      <w:t xml:space="preserve"> </w:t>
    </w:r>
    <w:r w:rsidR="0001157D">
      <w:t xml:space="preserve">                                                                                                                                               </w: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9B4E0B">
      <w:rPr>
        <w:b/>
        <w:sz w:val="40"/>
        <w:szCs w:val="40"/>
      </w:rPr>
      <w:t>6</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9B4E0B">
      <w:rPr>
        <w:i/>
        <w:iCs/>
      </w:rPr>
      <w:t>30</w:t>
    </w:r>
    <w:r w:rsidR="009576A1">
      <w:rPr>
        <w:i/>
        <w:iCs/>
      </w:rPr>
      <w:t xml:space="preserve"> de setembro</w:t>
    </w:r>
    <w:r w:rsidR="009B4E0B">
      <w:rPr>
        <w:i/>
        <w:iCs/>
      </w:rPr>
      <w:t xml:space="preserve"> a 13 de outubro</w:t>
    </w:r>
    <w:r w:rsidR="00B61E95">
      <w:rPr>
        <w:i/>
        <w:iCs/>
      </w:rPr>
      <w:t xml:space="preserve"> </w:t>
    </w:r>
    <w:r w:rsidR="00627896">
      <w:rPr>
        <w:i/>
        <w:iCs/>
      </w:rPr>
      <w:t xml:space="preserve">de </w:t>
    </w:r>
    <w:r w:rsidR="00FE00AD" w:rsidRPr="005D1DE4">
      <w:rPr>
        <w:i/>
        <w:iCs/>
      </w:rPr>
      <w:t>201</w:t>
    </w:r>
    <w:r w:rsidR="00582667">
      <w:rPr>
        <w:i/>
        <w:iCs/>
      </w:rPr>
      <w:t>4</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04F4E"/>
    <w:rsid w:val="00005D07"/>
    <w:rsid w:val="00010911"/>
    <w:rsid w:val="0001157D"/>
    <w:rsid w:val="000228E6"/>
    <w:rsid w:val="00032056"/>
    <w:rsid w:val="000322FB"/>
    <w:rsid w:val="000425FC"/>
    <w:rsid w:val="00050E85"/>
    <w:rsid w:val="00056752"/>
    <w:rsid w:val="00057B87"/>
    <w:rsid w:val="0006020E"/>
    <w:rsid w:val="000733B4"/>
    <w:rsid w:val="00073880"/>
    <w:rsid w:val="00075BDB"/>
    <w:rsid w:val="00080F10"/>
    <w:rsid w:val="00085E05"/>
    <w:rsid w:val="0009237D"/>
    <w:rsid w:val="00093AE9"/>
    <w:rsid w:val="00093BA8"/>
    <w:rsid w:val="000A04E6"/>
    <w:rsid w:val="000B4D41"/>
    <w:rsid w:val="000B67DF"/>
    <w:rsid w:val="000B7CDE"/>
    <w:rsid w:val="000C3022"/>
    <w:rsid w:val="000C672B"/>
    <w:rsid w:val="000E0A91"/>
    <w:rsid w:val="0010360D"/>
    <w:rsid w:val="0011575C"/>
    <w:rsid w:val="0011692E"/>
    <w:rsid w:val="00137564"/>
    <w:rsid w:val="00137DC1"/>
    <w:rsid w:val="0015612D"/>
    <w:rsid w:val="001655D0"/>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14FE"/>
    <w:rsid w:val="00206810"/>
    <w:rsid w:val="002168DE"/>
    <w:rsid w:val="00216BA3"/>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397A"/>
    <w:rsid w:val="00352B27"/>
    <w:rsid w:val="0036325E"/>
    <w:rsid w:val="003671FE"/>
    <w:rsid w:val="003708FD"/>
    <w:rsid w:val="0037667D"/>
    <w:rsid w:val="00384075"/>
    <w:rsid w:val="003908C5"/>
    <w:rsid w:val="00396053"/>
    <w:rsid w:val="003A4086"/>
    <w:rsid w:val="003A5E5B"/>
    <w:rsid w:val="003B045C"/>
    <w:rsid w:val="003B0A59"/>
    <w:rsid w:val="003B175B"/>
    <w:rsid w:val="003B3EB5"/>
    <w:rsid w:val="003B4E23"/>
    <w:rsid w:val="003B767E"/>
    <w:rsid w:val="003C6FE7"/>
    <w:rsid w:val="003D032E"/>
    <w:rsid w:val="003D4205"/>
    <w:rsid w:val="003F2078"/>
    <w:rsid w:val="0042772A"/>
    <w:rsid w:val="004323B0"/>
    <w:rsid w:val="00444E88"/>
    <w:rsid w:val="0045657C"/>
    <w:rsid w:val="004655CC"/>
    <w:rsid w:val="00466DB9"/>
    <w:rsid w:val="004748C8"/>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460BD"/>
    <w:rsid w:val="00553197"/>
    <w:rsid w:val="0055409E"/>
    <w:rsid w:val="00556367"/>
    <w:rsid w:val="00556B35"/>
    <w:rsid w:val="00573E13"/>
    <w:rsid w:val="00582667"/>
    <w:rsid w:val="00584F82"/>
    <w:rsid w:val="00591DFA"/>
    <w:rsid w:val="005A5695"/>
    <w:rsid w:val="005A779D"/>
    <w:rsid w:val="005B2F00"/>
    <w:rsid w:val="005B57DE"/>
    <w:rsid w:val="005C1886"/>
    <w:rsid w:val="005C761E"/>
    <w:rsid w:val="005D0E5F"/>
    <w:rsid w:val="005D1DE4"/>
    <w:rsid w:val="005D4F86"/>
    <w:rsid w:val="005E1A86"/>
    <w:rsid w:val="005E35BD"/>
    <w:rsid w:val="005E3D4D"/>
    <w:rsid w:val="005E7FD1"/>
    <w:rsid w:val="005F2858"/>
    <w:rsid w:val="005F7346"/>
    <w:rsid w:val="006002E3"/>
    <w:rsid w:val="006145AC"/>
    <w:rsid w:val="00615F98"/>
    <w:rsid w:val="0061615D"/>
    <w:rsid w:val="00621F9C"/>
    <w:rsid w:val="00627896"/>
    <w:rsid w:val="00631166"/>
    <w:rsid w:val="00631F1C"/>
    <w:rsid w:val="006366A4"/>
    <w:rsid w:val="006456B1"/>
    <w:rsid w:val="006564EC"/>
    <w:rsid w:val="0066084C"/>
    <w:rsid w:val="00662551"/>
    <w:rsid w:val="00672CF9"/>
    <w:rsid w:val="00672E11"/>
    <w:rsid w:val="0068273B"/>
    <w:rsid w:val="00691234"/>
    <w:rsid w:val="006931CC"/>
    <w:rsid w:val="006947F2"/>
    <w:rsid w:val="00697919"/>
    <w:rsid w:val="006B0757"/>
    <w:rsid w:val="006B3FCF"/>
    <w:rsid w:val="006B46CA"/>
    <w:rsid w:val="006C0391"/>
    <w:rsid w:val="006C28B3"/>
    <w:rsid w:val="006D1F66"/>
    <w:rsid w:val="006D306E"/>
    <w:rsid w:val="006D4497"/>
    <w:rsid w:val="006F6C15"/>
    <w:rsid w:val="0070727E"/>
    <w:rsid w:val="00710D3A"/>
    <w:rsid w:val="0071315F"/>
    <w:rsid w:val="00721942"/>
    <w:rsid w:val="00722BE7"/>
    <w:rsid w:val="00732DF2"/>
    <w:rsid w:val="00751607"/>
    <w:rsid w:val="007614F1"/>
    <w:rsid w:val="007618C5"/>
    <w:rsid w:val="00764066"/>
    <w:rsid w:val="00776118"/>
    <w:rsid w:val="007B0F83"/>
    <w:rsid w:val="007D29A1"/>
    <w:rsid w:val="007E0EA7"/>
    <w:rsid w:val="007E2069"/>
    <w:rsid w:val="007E3F23"/>
    <w:rsid w:val="007F142E"/>
    <w:rsid w:val="007F7B5E"/>
    <w:rsid w:val="00802B1A"/>
    <w:rsid w:val="0080615C"/>
    <w:rsid w:val="0081027F"/>
    <w:rsid w:val="0081742D"/>
    <w:rsid w:val="00821F4D"/>
    <w:rsid w:val="00823906"/>
    <w:rsid w:val="008409D3"/>
    <w:rsid w:val="00845559"/>
    <w:rsid w:val="00854DB8"/>
    <w:rsid w:val="00854EF2"/>
    <w:rsid w:val="00863B86"/>
    <w:rsid w:val="00871F69"/>
    <w:rsid w:val="008842D0"/>
    <w:rsid w:val="00884AC4"/>
    <w:rsid w:val="0088579D"/>
    <w:rsid w:val="008A0948"/>
    <w:rsid w:val="008A2A73"/>
    <w:rsid w:val="008A7953"/>
    <w:rsid w:val="008B3081"/>
    <w:rsid w:val="008B32D4"/>
    <w:rsid w:val="008C1F97"/>
    <w:rsid w:val="008D0020"/>
    <w:rsid w:val="008D3C38"/>
    <w:rsid w:val="008D6A05"/>
    <w:rsid w:val="008E2AE5"/>
    <w:rsid w:val="008E3F89"/>
    <w:rsid w:val="008F26CB"/>
    <w:rsid w:val="008F6509"/>
    <w:rsid w:val="008F79D9"/>
    <w:rsid w:val="009027C8"/>
    <w:rsid w:val="0093467A"/>
    <w:rsid w:val="0094155C"/>
    <w:rsid w:val="00951531"/>
    <w:rsid w:val="009576A1"/>
    <w:rsid w:val="00960A3B"/>
    <w:rsid w:val="00967DE0"/>
    <w:rsid w:val="00971E07"/>
    <w:rsid w:val="00980944"/>
    <w:rsid w:val="00986D77"/>
    <w:rsid w:val="009943EC"/>
    <w:rsid w:val="009A32D5"/>
    <w:rsid w:val="009A6ADB"/>
    <w:rsid w:val="009B4E0B"/>
    <w:rsid w:val="009B6012"/>
    <w:rsid w:val="009C102D"/>
    <w:rsid w:val="009C2A4F"/>
    <w:rsid w:val="009D4C59"/>
    <w:rsid w:val="009D7F91"/>
    <w:rsid w:val="009E20EF"/>
    <w:rsid w:val="009E26EE"/>
    <w:rsid w:val="009F21A2"/>
    <w:rsid w:val="00A32FBF"/>
    <w:rsid w:val="00A407EA"/>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61E95"/>
    <w:rsid w:val="00B67CE0"/>
    <w:rsid w:val="00B73FFA"/>
    <w:rsid w:val="00B874F1"/>
    <w:rsid w:val="00BB46CE"/>
    <w:rsid w:val="00BC1DE7"/>
    <w:rsid w:val="00BC5AEE"/>
    <w:rsid w:val="00BD6029"/>
    <w:rsid w:val="00BE0541"/>
    <w:rsid w:val="00BE1ADB"/>
    <w:rsid w:val="00C02586"/>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B0C2A"/>
    <w:rsid w:val="00CC4B2B"/>
    <w:rsid w:val="00CC579C"/>
    <w:rsid w:val="00CC5F5F"/>
    <w:rsid w:val="00CD3460"/>
    <w:rsid w:val="00CD4B61"/>
    <w:rsid w:val="00CD5043"/>
    <w:rsid w:val="00CE2928"/>
    <w:rsid w:val="00CE314A"/>
    <w:rsid w:val="00CE392D"/>
    <w:rsid w:val="00D01C50"/>
    <w:rsid w:val="00D06690"/>
    <w:rsid w:val="00D11B24"/>
    <w:rsid w:val="00D133C8"/>
    <w:rsid w:val="00D14DB8"/>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1D07"/>
    <w:rsid w:val="00DE5B2D"/>
    <w:rsid w:val="00DE5CE9"/>
    <w:rsid w:val="00E03064"/>
    <w:rsid w:val="00E04BD5"/>
    <w:rsid w:val="00E070D2"/>
    <w:rsid w:val="00E1539C"/>
    <w:rsid w:val="00E162B6"/>
    <w:rsid w:val="00E16E01"/>
    <w:rsid w:val="00E22154"/>
    <w:rsid w:val="00E24A50"/>
    <w:rsid w:val="00E35639"/>
    <w:rsid w:val="00E432CC"/>
    <w:rsid w:val="00E50711"/>
    <w:rsid w:val="00E60EDA"/>
    <w:rsid w:val="00E62BBC"/>
    <w:rsid w:val="00E9503C"/>
    <w:rsid w:val="00E956D9"/>
    <w:rsid w:val="00EA1958"/>
    <w:rsid w:val="00EA29F5"/>
    <w:rsid w:val="00EA482D"/>
    <w:rsid w:val="00EB5731"/>
    <w:rsid w:val="00EB5FE6"/>
    <w:rsid w:val="00EB61A5"/>
    <w:rsid w:val="00EB7A09"/>
    <w:rsid w:val="00EC5AF4"/>
    <w:rsid w:val="00EC5B58"/>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7499A"/>
    <w:rsid w:val="00F811CD"/>
    <w:rsid w:val="00F82D8F"/>
    <w:rsid w:val="00F83F62"/>
    <w:rsid w:val="00F9711D"/>
    <w:rsid w:val="00FA75E0"/>
    <w:rsid w:val="00FB0E75"/>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f21">
    <w:name w:val="f21"/>
    <w:rsid w:val="009576A1"/>
    <w:rPr>
      <w:rFonts w:ascii="Times" w:hAnsi="Times" w:cs="Times"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5476&amp;digitoTst=26&amp;anoTst=2013&amp;orgaoTst=5&amp;tribunalTst=15&amp;varaTst=00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1000244&amp;digitoTst=76&amp;anoTst=2013&amp;orgaoTst=5&amp;tribunalTst=02&amp;varaTst=000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59F21-9DBF-4342-B639-D45C3AFB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3310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3915</CharactersWithSpaces>
  <SharedDoc>false</SharedDoc>
  <HLinks>
    <vt:vector size="12" baseType="variant">
      <vt:variant>
        <vt:i4>2490423</vt:i4>
      </vt:variant>
      <vt:variant>
        <vt:i4>3</vt:i4>
      </vt:variant>
      <vt:variant>
        <vt:i4>0</vt:i4>
      </vt:variant>
      <vt:variant>
        <vt:i4>5</vt:i4>
      </vt:variant>
      <vt:variant>
        <vt:lpwstr>https://aplicacao5.tst.jus.br/consultaProcessual/consultaTstNumUnica.do?consulta=Consultar&amp;conscsjt=&amp;numeroTst=1000244&amp;digitoTst=76&amp;anoTst=2013&amp;orgaoTst=5&amp;tribunalTst=02&amp;varaTst=0000</vt:lpwstr>
      </vt:variant>
      <vt:variant>
        <vt:lpwstr/>
      </vt:variant>
      <vt:variant>
        <vt:i4>6881400</vt:i4>
      </vt:variant>
      <vt:variant>
        <vt:i4>0</vt:i4>
      </vt:variant>
      <vt:variant>
        <vt:i4>0</vt:i4>
      </vt:variant>
      <vt:variant>
        <vt:i4>5</vt:i4>
      </vt:variant>
      <vt:variant>
        <vt:lpwstr>https://aplicacao5.tst.jus.br/consultaProcessual/consultaTstNumUnica.do?consulta=Consultar&amp;conscsjt=&amp;numeroTst=5476&amp;digitoTst=26&amp;anoTst=2013&amp;orgaoTst=5&amp;tribunalTst=15&amp;varaTst=0000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2014-10-02T20:24:00Z</cp:lastPrinted>
  <dcterms:created xsi:type="dcterms:W3CDTF">2018-06-27T21:47:00Z</dcterms:created>
  <dcterms:modified xsi:type="dcterms:W3CDTF">2018-06-27T21:47:00Z</dcterms:modified>
</cp:coreProperties>
</file>