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5D4F8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UBSEÇÃO</w:t>
      </w:r>
      <w:r w:rsidR="00627896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61E95" w:rsidRPr="00B61E95" w:rsidRDefault="00B61E95" w:rsidP="00B61E95">
      <w:pPr>
        <w:jc w:val="both"/>
        <w:rPr>
          <w:b/>
          <w:i/>
        </w:rPr>
      </w:pPr>
    </w:p>
    <w:p w:rsidR="00B61E95" w:rsidRDefault="00B61E95" w:rsidP="00B61E9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Horas </w:t>
      </w:r>
      <w:r w:rsidRPr="006A7B6D">
        <w:rPr>
          <w:i/>
          <w:sz w:val="24"/>
          <w:szCs w:val="24"/>
        </w:rPr>
        <w:t>in itinere</w:t>
      </w:r>
      <w:r>
        <w:rPr>
          <w:b/>
          <w:i/>
          <w:sz w:val="24"/>
          <w:szCs w:val="24"/>
        </w:rPr>
        <w:t>. Trajeto entre a portaria e o local efetivo de trabalho. Súmula nº 429 do TST. Tempo à disposição do empregador. Apuração em liquidação de sentença. Possibilidade. Art. 475-E do CPC.</w:t>
      </w:r>
    </w:p>
    <w:p w:rsidR="00B61E95" w:rsidRDefault="00B61E95" w:rsidP="00B61E9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fixação do tempo gasto no trajeto entre a portaria e o efetivo local de trabalho, para efeito de pagamento de horas extras </w:t>
      </w:r>
      <w:r>
        <w:rPr>
          <w:i/>
          <w:sz w:val="24"/>
          <w:szCs w:val="24"/>
        </w:rPr>
        <w:t>in itinere,</w:t>
      </w:r>
      <w:r>
        <w:rPr>
          <w:sz w:val="24"/>
          <w:szCs w:val="24"/>
        </w:rPr>
        <w:t xml:space="preserve"> conforme critério previsto na Súmula nº 429 do TST, pode ser feita em liquidação de sentença porque, no caso concreto, o referido verbete jurisprudencial somente foi editado após o julgamento pelo Tribunal Regional, que consignara tempo superior a dez minutos diários, porém sem aferir a duração exata do período de deslocamento. Ademais, o art. 475-E do CPC, aplicado subsidiariamente, permite a liquidação por artigos quando, para determinar o valor da condenação, houver necessidade de se provar fato novo, o qual, na hipótese, é o próprio limite temporal fixado pela Súmula nº 429 do TST. Com base nesses fundamentos, a SBDI-I, por unanimidade, conheceu dos embargos da reclamada, por divergência jurisprudencial, e, no mérito, negou-lhes provimento. </w:t>
      </w:r>
      <w:hyperlink r:id="rId8" w:history="1">
        <w:r w:rsidRPr="00EC5B58">
          <w:rPr>
            <w:rStyle w:val="Hyperlink"/>
            <w:sz w:val="24"/>
            <w:szCs w:val="24"/>
          </w:rPr>
          <w:t>TST-E-ED-ARR-116800-54.2007.5.02.0465</w:t>
        </w:r>
      </w:hyperlink>
      <w:r>
        <w:rPr>
          <w:sz w:val="24"/>
          <w:szCs w:val="24"/>
          <w:u w:val="single"/>
        </w:rPr>
        <w:t>,</w:t>
      </w:r>
      <w:r w:rsidR="00EC5B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SBDI-I, rel. Min. José Roberto Freire Pimenta, 14.8.2014</w:t>
      </w:r>
    </w:p>
    <w:p w:rsidR="00627896" w:rsidRPr="00627896" w:rsidRDefault="00627896" w:rsidP="00627896">
      <w:pPr>
        <w:jc w:val="both"/>
        <w:rPr>
          <w:b/>
          <w:i/>
        </w:rPr>
      </w:pPr>
    </w:p>
    <w:p w:rsidR="00627896" w:rsidRPr="00971E07" w:rsidRDefault="00627896" w:rsidP="0062789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627896" w:rsidRPr="00B61E95" w:rsidRDefault="00627896" w:rsidP="00627896">
      <w:pPr>
        <w:jc w:val="both"/>
        <w:rPr>
          <w:b/>
          <w:i/>
        </w:rPr>
      </w:pPr>
    </w:p>
    <w:p w:rsidR="00B61E95" w:rsidRPr="00535FB2" w:rsidRDefault="00B61E95" w:rsidP="00B61E95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lang w:val="pt-BR" w:eastAsia="en-US"/>
        </w:rPr>
      </w:pPr>
      <w:r w:rsidRPr="00535FB2">
        <w:rPr>
          <w:rFonts w:ascii="Times New Roman" w:hAnsi="Times New Roman" w:cs="Times New Roman"/>
          <w:b/>
          <w:i/>
          <w:color w:val="auto"/>
          <w:lang w:val="pt-BR" w:eastAsia="en-US"/>
        </w:rPr>
        <w:t xml:space="preserve">Cautelar de arresto. Determinação </w:t>
      </w:r>
      <w:r>
        <w:rPr>
          <w:rFonts w:ascii="Times New Roman" w:hAnsi="Times New Roman" w:cs="Times New Roman"/>
          <w:b/>
          <w:i/>
          <w:color w:val="auto"/>
          <w:lang w:val="pt-BR" w:eastAsia="en-US"/>
        </w:rPr>
        <w:t xml:space="preserve">retenção </w:t>
      </w:r>
      <w:r w:rsidRPr="00535FB2">
        <w:rPr>
          <w:rFonts w:ascii="Times New Roman" w:hAnsi="Times New Roman" w:cs="Times New Roman"/>
          <w:b/>
          <w:i/>
          <w:color w:val="auto"/>
          <w:lang w:val="pt-BR" w:eastAsia="en-US"/>
        </w:rPr>
        <w:t xml:space="preserve">de crédito da executada junto a terceiro. Legalidade. Efetividade da execução. Art. 813 da CPC. </w:t>
      </w:r>
    </w:p>
    <w:p w:rsidR="00B61E95" w:rsidRDefault="00B61E95" w:rsidP="00B61E95">
      <w:pPr>
        <w:pStyle w:val="Corpo"/>
        <w:spacing w:line="240" w:lineRule="auto"/>
        <w:ind w:firstLine="0"/>
        <w:rPr>
          <w:rFonts w:ascii="Times New Roman" w:hAnsi="Times New Roman"/>
          <w:lang w:val="pt-BR"/>
        </w:rPr>
      </w:pPr>
      <w:r w:rsidRPr="00DD6C7D">
        <w:rPr>
          <w:rFonts w:ascii="Times New Roman" w:hAnsi="Times New Roman"/>
          <w:lang w:val="pt-BR"/>
        </w:rPr>
        <w:t xml:space="preserve">Não se vislumbra ilegalidade ou arbitrariedade na decisão que, em sede de cautelar de arresto, </w:t>
      </w:r>
      <w:r>
        <w:rPr>
          <w:rFonts w:ascii="Times New Roman" w:hAnsi="Times New Roman"/>
          <w:lang w:val="pt-BR"/>
        </w:rPr>
        <w:t xml:space="preserve">e </w:t>
      </w:r>
      <w:r w:rsidRPr="00DD6C7D">
        <w:rPr>
          <w:rFonts w:ascii="Times New Roman" w:hAnsi="Times New Roman"/>
          <w:lang w:val="pt-BR"/>
        </w:rPr>
        <w:t>com o objetivo de garantir a efetividade da execução</w:t>
      </w:r>
      <w:r>
        <w:rPr>
          <w:rFonts w:ascii="Times New Roman" w:hAnsi="Times New Roman"/>
          <w:lang w:val="pt-BR"/>
        </w:rPr>
        <w:t xml:space="preserve"> em curso na reclamação trabalhista matriz,</w:t>
      </w:r>
      <w:r w:rsidRPr="00DD6C7D">
        <w:rPr>
          <w:rFonts w:ascii="Times New Roman" w:hAnsi="Times New Roman"/>
          <w:lang w:val="pt-BR"/>
        </w:rPr>
        <w:t xml:space="preserve"> ordena a transferência de crédito referente a faturas que a reclamada, prestadora de serviços, teria a receber junto a ente público, tomador de serviços</w:t>
      </w:r>
      <w:r>
        <w:rPr>
          <w:rFonts w:ascii="Times New Roman" w:hAnsi="Times New Roman"/>
          <w:lang w:val="pt-BR"/>
        </w:rPr>
        <w:t xml:space="preserve">. No caso dos autos, restou demonstrado que a executada encontra-se inadimplente, inclusive com credores trabalhistas, e enfrenta forte crise financeira, de modo que o juiz, ao determinar a retenção de crédito junto a terceiro, em cautelar de arresto, agiu de acordo com o disposto no art. 813 do CPC. Assim, a SBDI-II, por unanimidade, conheceu de recurso ordinário e, no mérito, negou-lhes provimento, mantendo decisão do TRT que concedera parcialmente a segurança requerida pela União para restringir a ordem judicial de retenção de créditos da empresa Matisse Comunicação de Marketing Ltda. junto à Secretaria de Comunicação Social da Presidência – Secom até o valor de R$ 100.000,00. </w:t>
      </w:r>
      <w:hyperlink r:id="rId9" w:history="1">
        <w:r w:rsidRPr="00EC5B58">
          <w:rPr>
            <w:rStyle w:val="Hyperlink"/>
            <w:rFonts w:ascii="Times New Roman" w:hAnsi="Times New Roman" w:cs="Courier New"/>
            <w:lang w:val="pt-BR"/>
          </w:rPr>
          <w:t>TST-RO-375-80.2012.5.10.0000</w:t>
        </w:r>
      </w:hyperlink>
      <w:r w:rsidR="00EC5B58">
        <w:rPr>
          <w:rFonts w:ascii="Times New Roman" w:hAnsi="Times New Roman"/>
          <w:u w:val="single"/>
          <w:lang w:val="pt-BR"/>
        </w:rPr>
        <w:t xml:space="preserve">, </w:t>
      </w:r>
      <w:r w:rsidRPr="00080D51">
        <w:rPr>
          <w:rFonts w:ascii="Times New Roman" w:hAnsi="Times New Roman"/>
          <w:u w:val="single"/>
          <w:lang w:val="pt-BR"/>
        </w:rPr>
        <w:t>SBDI-II, rel. Min. Alberto Luiz Bresciani de Fontan Pereira, 5.8.2014</w:t>
      </w: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46" w:rsidRDefault="005F7346">
      <w:r>
        <w:separator/>
      </w:r>
    </w:p>
  </w:endnote>
  <w:endnote w:type="continuationSeparator" w:id="0">
    <w:p w:rsidR="005F7346" w:rsidRDefault="005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E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B05995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46" w:rsidRDefault="005F7346">
      <w:r>
        <w:separator/>
      </w:r>
    </w:p>
  </w:footnote>
  <w:footnote w:type="continuationSeparator" w:id="0">
    <w:p w:rsidR="005F7346" w:rsidRDefault="005F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27896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627896">
      <w:rPr>
        <w:sz w:val="20"/>
        <w:szCs w:val="20"/>
      </w:rPr>
      <w:t>26 de maio a 30 de 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627896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61E95">
      <w:rPr>
        <w:b/>
        <w:sz w:val="40"/>
        <w:szCs w:val="40"/>
      </w:rPr>
      <w:t>3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B61E95">
      <w:rPr>
        <w:i/>
        <w:iCs/>
      </w:rPr>
      <w:t xml:space="preserve">1º </w:t>
    </w:r>
    <w:r w:rsidR="00627896">
      <w:rPr>
        <w:i/>
        <w:iCs/>
      </w:rPr>
      <w:t xml:space="preserve"> a </w:t>
    </w:r>
    <w:r w:rsidR="00B61E95">
      <w:rPr>
        <w:i/>
        <w:iCs/>
      </w:rPr>
      <w:t>18</w:t>
    </w:r>
    <w:r w:rsidR="00627896">
      <w:rPr>
        <w:i/>
        <w:iCs/>
      </w:rPr>
      <w:t xml:space="preserve"> de </w:t>
    </w:r>
    <w:r w:rsidR="00B61E95">
      <w:rPr>
        <w:i/>
        <w:iCs/>
      </w:rPr>
      <w:t xml:space="preserve">agosto </w:t>
    </w:r>
    <w:r w:rsidR="00627896">
      <w:rPr>
        <w:i/>
        <w:iCs/>
      </w:rPr>
      <w:t xml:space="preserve">de </w:t>
    </w:r>
    <w:r w:rsidR="00FE00AD" w:rsidRPr="005D1DE4">
      <w:rPr>
        <w:i/>
        <w:iCs/>
      </w:rPr>
      <w:t>201</w:t>
    </w:r>
    <w:r w:rsidR="00582667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575C"/>
    <w:rsid w:val="0011692E"/>
    <w:rsid w:val="00137564"/>
    <w:rsid w:val="00137DC1"/>
    <w:rsid w:val="0015612D"/>
    <w:rsid w:val="001655D0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2667"/>
    <w:rsid w:val="00584F82"/>
    <w:rsid w:val="00591DFA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5F7346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0757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51607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A6AD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05995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E95"/>
    <w:rsid w:val="00B73FFA"/>
    <w:rsid w:val="00B874F1"/>
    <w:rsid w:val="00BB46CE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C5B58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16800&amp;digitoTst=54&amp;anoTst=2007&amp;orgaoTst=5&amp;tribunalTst=02&amp;varaTst=04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375&amp;digitoTst=80&amp;anoTst=2012&amp;orgaoTst=5&amp;tribunalTst=10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0185-B2AF-485A-9808-1530AA3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3504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https://aplicacao5.tst.jus.br/consultaProcessual/consultaTstNumUnica.do?consulta=Consultar&amp;conscsjt=&amp;numeroTst=375&amp;digitoTst=80&amp;anoTst=2012&amp;orgaoTst=5&amp;tribunalTst=10&amp;varaTst=0000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https://aplicacao5.tst.jus.br/consultaProcessual/consultaTstNumUnica.do?consulta=Consultar&amp;conscsjt=&amp;numeroTst=116800&amp;digitoTst=54&amp;anoTst=2007&amp;orgaoTst=5&amp;tribunalTst=02&amp;varaTst=0465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2014-06-25T20:43:00Z</cp:lastPrinted>
  <dcterms:created xsi:type="dcterms:W3CDTF">2018-06-27T21:47:00Z</dcterms:created>
  <dcterms:modified xsi:type="dcterms:W3CDTF">2018-06-27T21:47:00Z</dcterms:modified>
</cp:coreProperties>
</file>