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C71A3B" w:rsidRPr="00EB6C1B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EB6C1B" w:rsidRDefault="00FE00AD" w:rsidP="00F82D8F">
      <w:pPr>
        <w:pStyle w:val="Corpodetexto2"/>
        <w:jc w:val="center"/>
        <w:rPr>
          <w:b/>
          <w:bCs/>
          <w:emboss/>
          <w:sz w:val="20"/>
          <w:szCs w:val="20"/>
        </w:rPr>
      </w:pPr>
    </w:p>
    <w:p w:rsidR="004477EC" w:rsidRPr="005C707B" w:rsidRDefault="004477EC" w:rsidP="004477EC">
      <w:pPr>
        <w:jc w:val="both"/>
        <w:rPr>
          <w:b/>
          <w:i/>
          <w:sz w:val="24"/>
          <w:szCs w:val="24"/>
        </w:rPr>
      </w:pPr>
      <w:r w:rsidRPr="005C707B">
        <w:rPr>
          <w:b/>
          <w:i/>
          <w:sz w:val="24"/>
          <w:szCs w:val="24"/>
        </w:rPr>
        <w:t>Honorários advocatícios de sucumbência. Rateio e repasse a empregados advogados. Natureza jurídica indenizatória.</w:t>
      </w:r>
    </w:p>
    <w:p w:rsidR="004477EC" w:rsidRPr="005C707B" w:rsidRDefault="004477EC" w:rsidP="004477EC">
      <w:pPr>
        <w:jc w:val="both"/>
        <w:rPr>
          <w:sz w:val="24"/>
          <w:szCs w:val="24"/>
          <w:u w:val="single"/>
        </w:rPr>
      </w:pPr>
      <w:r w:rsidRPr="005C707B">
        <w:rPr>
          <w:sz w:val="24"/>
          <w:szCs w:val="24"/>
        </w:rPr>
        <w:t xml:space="preserve">A verba repassada a empregados advogados, decorrente de honorários sucumbenciais pagos em ações de interesse do empregador, possui natureza jurídica indenizatória, não cabendo a sua integração ao salário para fins de reflexos em outras parcelas. No caso concreto, entendeu-se, em consonância com o art. 14 do Regulamento Geral do Estatuto da Advocacia e da OAB, que a quantia, arcada pela parte vencida em litígio e transferida à Associação Nacional dos Advogados da Caixa Econômica Federal - Advocef para rateio entre os advogados empregados da Caixa Econômica Federal - CEF, não detém características essenciais atinentes ao salário, uma vez que, além de não ser paga diretamente pela empregadora em </w:t>
      </w:r>
      <w:r w:rsidR="00197B15">
        <w:rPr>
          <w:sz w:val="24"/>
          <w:szCs w:val="24"/>
        </w:rPr>
        <w:t>retribuição</w:t>
      </w:r>
      <w:r w:rsidRPr="005C707B">
        <w:rPr>
          <w:sz w:val="24"/>
          <w:szCs w:val="24"/>
        </w:rPr>
        <w:t xml:space="preserve"> aos serviços prestados, carece de periodicidade e depende de provimento judicial favorável ou de sucesso em cobranças extrajudiciais. Nesse contexto, a SBDI-I, à unanimidade, conheceu dos embargos interpostos pelo reclamante, por divergência jurisprudencial, e, no mérito, negou-lhes provimento. </w:t>
      </w:r>
      <w:hyperlink r:id="rId8" w:history="1">
        <w:r w:rsidRPr="00197B15">
          <w:rPr>
            <w:rStyle w:val="Hyperlink"/>
            <w:sz w:val="24"/>
            <w:szCs w:val="24"/>
          </w:rPr>
          <w:t>TST-E-ED-RR-230-51.2010.5.02.0021</w:t>
        </w:r>
      </w:hyperlink>
      <w:r w:rsidRPr="005C707B">
        <w:rPr>
          <w:sz w:val="24"/>
          <w:szCs w:val="24"/>
          <w:u w:val="single"/>
        </w:rPr>
        <w:t>, SBDI-I, rel. Min. Lelio Bentes Corrêa, 18.12.2014</w:t>
      </w:r>
    </w:p>
    <w:p w:rsidR="004477EC" w:rsidRDefault="004477EC" w:rsidP="004A094C">
      <w:pPr>
        <w:jc w:val="both"/>
        <w:rPr>
          <w:b/>
          <w:bCs/>
          <w:i/>
        </w:rPr>
      </w:pP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4477EC" w:rsidRPr="00E17AB1" w:rsidRDefault="004477EC" w:rsidP="004477EC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Agravo de Instrumento. Intempestividade. Decisão da T</w:t>
      </w:r>
      <w:r w:rsidRPr="00BF6DB0">
        <w:rPr>
          <w:b/>
          <w:bCs/>
          <w:i/>
          <w:iCs/>
          <w:sz w:val="24"/>
          <w:szCs w:val="24"/>
        </w:rPr>
        <w:t>urma que</w:t>
      </w:r>
      <w:r>
        <w:rPr>
          <w:b/>
          <w:bCs/>
          <w:i/>
          <w:iCs/>
          <w:sz w:val="24"/>
          <w:szCs w:val="24"/>
        </w:rPr>
        <w:t>, de ofício, constatou que</w:t>
      </w:r>
      <w:r w:rsidRPr="00BF6DB0">
        <w:rPr>
          <w:b/>
          <w:bCs/>
          <w:i/>
          <w:iCs/>
          <w:sz w:val="24"/>
          <w:szCs w:val="24"/>
        </w:rPr>
        <w:t xml:space="preserve"> os embargos</w:t>
      </w:r>
      <w:r>
        <w:rPr>
          <w:b/>
          <w:bCs/>
          <w:i/>
          <w:iCs/>
          <w:sz w:val="24"/>
          <w:szCs w:val="24"/>
        </w:rPr>
        <w:t xml:space="preserve"> </w:t>
      </w:r>
      <w:r w:rsidRPr="00BF6DB0">
        <w:rPr>
          <w:b/>
          <w:bCs/>
          <w:i/>
          <w:iCs/>
          <w:sz w:val="24"/>
          <w:szCs w:val="24"/>
        </w:rPr>
        <w:t>declara</w:t>
      </w:r>
      <w:r>
        <w:rPr>
          <w:b/>
          <w:bCs/>
          <w:i/>
          <w:iCs/>
          <w:sz w:val="24"/>
          <w:szCs w:val="24"/>
        </w:rPr>
        <w:t>tórios</w:t>
      </w:r>
      <w:r w:rsidRPr="00BF6DB0">
        <w:rPr>
          <w:b/>
          <w:bCs/>
          <w:i/>
          <w:iCs/>
          <w:sz w:val="24"/>
          <w:szCs w:val="24"/>
        </w:rPr>
        <w:t xml:space="preserve"> opostos perante o juízo </w:t>
      </w:r>
      <w:r w:rsidRPr="002A6519">
        <w:rPr>
          <w:bCs/>
          <w:i/>
          <w:iCs/>
          <w:sz w:val="24"/>
          <w:szCs w:val="24"/>
        </w:rPr>
        <w:t>a quo</w:t>
      </w:r>
      <w:r w:rsidRPr="00BF6DB0">
        <w:rPr>
          <w:b/>
          <w:bCs/>
          <w:i/>
          <w:iCs/>
          <w:sz w:val="24"/>
          <w:szCs w:val="24"/>
        </w:rPr>
        <w:t xml:space="preserve"> eram intempestivos</w:t>
      </w:r>
      <w:r>
        <w:rPr>
          <w:b/>
          <w:bCs/>
          <w:i/>
          <w:iCs/>
          <w:sz w:val="24"/>
          <w:szCs w:val="24"/>
        </w:rPr>
        <w:t xml:space="preserve"> ante a ausência de comprovação de feriado local. Má-aplicação da Súmula nº 385 do TST.</w:t>
      </w:r>
      <w:r w:rsidRPr="00BF6DB0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Configuração.</w:t>
      </w:r>
    </w:p>
    <w:p w:rsidR="004477EC" w:rsidRDefault="004477EC" w:rsidP="004477EC">
      <w:pPr>
        <w:jc w:val="both"/>
      </w:pPr>
      <w:r>
        <w:rPr>
          <w:sz w:val="24"/>
        </w:rPr>
        <w:t xml:space="preserve">Não </w:t>
      </w:r>
      <w:r w:rsidRPr="00186078">
        <w:rPr>
          <w:sz w:val="24"/>
        </w:rPr>
        <w:t>cabe ao TST, de ofício, a revisão da admissibilidade de recurso interposto e já julgado pelo Tribunal Regional, sob</w:t>
      </w:r>
      <w:r>
        <w:rPr>
          <w:sz w:val="24"/>
        </w:rPr>
        <w:t xml:space="preserve"> </w:t>
      </w:r>
      <w:r w:rsidRPr="00186078">
        <w:rPr>
          <w:sz w:val="24"/>
        </w:rPr>
        <w:t>pena de afronta ao princípio do isolamento dos atos processuais que fundamenta a preclusão quanto ao preenchimento dos pressupostos de admissibilidade do</w:t>
      </w:r>
      <w:r>
        <w:rPr>
          <w:sz w:val="24"/>
        </w:rPr>
        <w:t xml:space="preserve"> apelo. Na hipótese, a Turma do TST, em atenção ao disposto na Súmula nº 385 do TST, declarou de ofício a intempestividade do agravo de instrumento do reclamante, após constatar a intempestividade dos embargos de declaração opostos perante o TRT, em razão da ausência de comprovação de feriado local, não obstante a Corte Regional tenha conhecido dos declaratórios.</w:t>
      </w:r>
      <w:r>
        <w:rPr>
          <w:sz w:val="24"/>
          <w:szCs w:val="24"/>
        </w:rPr>
        <w:t xml:space="preserve"> Assim, ficou constatada a invasão da competência do tribunal </w:t>
      </w:r>
      <w:r>
        <w:rPr>
          <w:i/>
          <w:sz w:val="24"/>
          <w:szCs w:val="24"/>
        </w:rPr>
        <w:t xml:space="preserve">a </w:t>
      </w:r>
      <w:r w:rsidRPr="002A6519">
        <w:rPr>
          <w:i/>
          <w:sz w:val="24"/>
          <w:szCs w:val="24"/>
        </w:rPr>
        <w:t>quo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em afronta ao devido processo legal, pois a parte que tivera decisão de mérito foi surpreendida com a superveniente declaração de intempestividade dos embargos declaratórios. Com esses fundamentos, a SBDI-I, decidiu, </w:t>
      </w:r>
      <w:r w:rsidRPr="00681735">
        <w:rPr>
          <w:sz w:val="24"/>
          <w:szCs w:val="24"/>
        </w:rPr>
        <w:t>por maioria, conhecer do recurso de embargos</w:t>
      </w:r>
      <w:r>
        <w:rPr>
          <w:sz w:val="24"/>
          <w:szCs w:val="24"/>
        </w:rPr>
        <w:t xml:space="preserve"> da reclamante</w:t>
      </w:r>
      <w:r w:rsidRPr="00681735">
        <w:rPr>
          <w:sz w:val="24"/>
          <w:szCs w:val="24"/>
        </w:rPr>
        <w:t xml:space="preserve">, por má-aplicação da Súmula </w:t>
      </w:r>
      <w:r>
        <w:rPr>
          <w:sz w:val="24"/>
          <w:szCs w:val="24"/>
        </w:rPr>
        <w:t xml:space="preserve">nº </w:t>
      </w:r>
      <w:r w:rsidRPr="00681735">
        <w:rPr>
          <w:sz w:val="24"/>
          <w:szCs w:val="24"/>
        </w:rPr>
        <w:t>385 do TST, e, no mérito, d</w:t>
      </w:r>
      <w:r>
        <w:rPr>
          <w:sz w:val="24"/>
          <w:szCs w:val="24"/>
        </w:rPr>
        <w:t>eu</w:t>
      </w:r>
      <w:r w:rsidRPr="00681735">
        <w:rPr>
          <w:sz w:val="24"/>
          <w:szCs w:val="24"/>
        </w:rPr>
        <w:t>-lhe provimento para afastar a intempestividade declarada e determinar o retorno dos autos à Turma, a fim de que prossiga no exame do agravo de instrumento como entender de direito.</w:t>
      </w:r>
      <w:r>
        <w:rPr>
          <w:sz w:val="24"/>
          <w:szCs w:val="24"/>
        </w:rPr>
        <w:t xml:space="preserve"> Vencidos os Ministros João Oreste Dalazen, Ives Gandra Martins Filho e José Roberto Freire Pimenta. </w:t>
      </w:r>
      <w:hyperlink r:id="rId9" w:history="1">
        <w:r w:rsidRPr="00197B15">
          <w:rPr>
            <w:rStyle w:val="Hyperlink"/>
            <w:sz w:val="24"/>
            <w:szCs w:val="24"/>
          </w:rPr>
          <w:t>TST-E-AIRR-109440-17.2003.5.01.0019</w:t>
        </w:r>
      </w:hyperlink>
      <w:r w:rsidRPr="002A6519">
        <w:rPr>
          <w:sz w:val="24"/>
          <w:szCs w:val="24"/>
          <w:u w:val="single"/>
        </w:rPr>
        <w:t xml:space="preserve">, SBDI-I, rel. Min. Augusto César </w:t>
      </w:r>
      <w:r>
        <w:rPr>
          <w:sz w:val="24"/>
          <w:szCs w:val="24"/>
          <w:u w:val="single"/>
        </w:rPr>
        <w:t xml:space="preserve">Leite </w:t>
      </w:r>
      <w:r w:rsidRPr="002A6519">
        <w:rPr>
          <w:sz w:val="24"/>
          <w:szCs w:val="24"/>
          <w:u w:val="single"/>
        </w:rPr>
        <w:t>de Carvalho. 18.12.2014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477EC" w:rsidRPr="00987EE0" w:rsidRDefault="004477EC" w:rsidP="004477EC">
      <w:pPr>
        <w:jc w:val="both"/>
        <w:rPr>
          <w:b/>
          <w:i/>
          <w:sz w:val="24"/>
          <w:szCs w:val="24"/>
        </w:rPr>
      </w:pPr>
      <w:r w:rsidRPr="00084A9F">
        <w:rPr>
          <w:b/>
          <w:i/>
          <w:sz w:val="24"/>
          <w:szCs w:val="24"/>
        </w:rPr>
        <w:t xml:space="preserve">Intervalo intrajornada. Excesso de jornada. Período anterior à Lei n.º 8.923/94 (§ 4º no art. 71 da </w:t>
      </w:r>
      <w:r>
        <w:rPr>
          <w:b/>
          <w:i/>
          <w:sz w:val="24"/>
          <w:szCs w:val="24"/>
        </w:rPr>
        <w:t>CLT</w:t>
      </w:r>
      <w:r w:rsidRPr="00084A9F">
        <w:rPr>
          <w:b/>
          <w:i/>
          <w:sz w:val="24"/>
          <w:szCs w:val="24"/>
        </w:rPr>
        <w:t xml:space="preserve">). Horas extras devidas.  </w:t>
      </w:r>
    </w:p>
    <w:p w:rsidR="004477EC" w:rsidRPr="00987EE0" w:rsidRDefault="004477EC" w:rsidP="004477EC">
      <w:pPr>
        <w:jc w:val="both"/>
        <w:rPr>
          <w:rFonts w:eastAsia="Calibri"/>
          <w:sz w:val="24"/>
          <w:szCs w:val="24"/>
        </w:rPr>
      </w:pPr>
      <w:r w:rsidRPr="00987EE0">
        <w:rPr>
          <w:rFonts w:eastAsia="Calibri"/>
          <w:sz w:val="24"/>
          <w:szCs w:val="24"/>
        </w:rPr>
        <w:t>Anteriormente à edição da Lei n.º 8.923/94</w:t>
      </w:r>
      <w:r>
        <w:rPr>
          <w:rFonts w:eastAsia="Calibri"/>
          <w:sz w:val="24"/>
          <w:szCs w:val="24"/>
        </w:rPr>
        <w:t xml:space="preserve"> (que incluiu o § 4º no art. 71 da CLT),</w:t>
      </w:r>
      <w:r w:rsidRPr="00987EE0">
        <w:rPr>
          <w:rFonts w:eastAsia="Calibri"/>
          <w:sz w:val="24"/>
          <w:szCs w:val="24"/>
        </w:rPr>
        <w:t xml:space="preserve"> o desrespeito ao intervalo mínimo entre dois turnos de trabalho, sem importar em excesso na jornada efetivamente trabalhada, caracterizava mera infração sujeita à penalidade administrativa, não ensejando direito a qualquer ressarcimento ao empregado (Súmula nº 88, já cancelada). Todavia, </w:t>
      </w:r>
      <w:r>
        <w:rPr>
          <w:rFonts w:eastAsia="Calibri"/>
          <w:sz w:val="24"/>
          <w:szCs w:val="24"/>
        </w:rPr>
        <w:t>o</w:t>
      </w:r>
      <w:r w:rsidRPr="00987EE0">
        <w:rPr>
          <w:rFonts w:eastAsia="Calibri"/>
          <w:sz w:val="24"/>
          <w:szCs w:val="24"/>
        </w:rPr>
        <w:t xml:space="preserve"> excesso na jornada </w:t>
      </w:r>
      <w:r w:rsidRPr="00987EE0">
        <w:rPr>
          <w:rFonts w:eastAsia="Calibri"/>
          <w:sz w:val="24"/>
          <w:szCs w:val="24"/>
        </w:rPr>
        <w:lastRenderedPageBreak/>
        <w:t>efetivamente trabalhada</w:t>
      </w:r>
      <w:r>
        <w:rPr>
          <w:rFonts w:eastAsia="Calibri"/>
          <w:sz w:val="24"/>
          <w:szCs w:val="24"/>
        </w:rPr>
        <w:t xml:space="preserve"> garante</w:t>
      </w:r>
      <w:r w:rsidRPr="00987EE0">
        <w:rPr>
          <w:rFonts w:eastAsia="Calibri"/>
          <w:sz w:val="24"/>
          <w:szCs w:val="24"/>
        </w:rPr>
        <w:t xml:space="preserve"> o direito ao pag</w:t>
      </w:r>
      <w:r>
        <w:rPr>
          <w:rFonts w:eastAsia="Calibri"/>
          <w:sz w:val="24"/>
          <w:szCs w:val="24"/>
        </w:rPr>
        <w:t>amento de horas extras, mesmo em relação a</w:t>
      </w:r>
      <w:r w:rsidRPr="00987EE0">
        <w:rPr>
          <w:rFonts w:eastAsia="Calibri"/>
          <w:sz w:val="24"/>
          <w:szCs w:val="24"/>
        </w:rPr>
        <w:t xml:space="preserve"> período anterior à edição daquela lei. Em outras palavras, a Súmula nº 88 do TST previa que o descumprimento do intervalo intrajornada antes da vigência da Lei nº 8.923/94 somente não ensejava o pagamento de horas extraordinárias nas hipóteses em que observada a jornada de trabalho do empregado, ou seja, quando o trabalho ocorria de forma contínua, sem interrupção para descanso e refeição, e não havia elastecimento da jornada normal. Com esse entendimento, a S</w:t>
      </w:r>
      <w:r>
        <w:rPr>
          <w:rFonts w:eastAsia="Calibri"/>
          <w:sz w:val="24"/>
          <w:szCs w:val="24"/>
        </w:rPr>
        <w:t>B</w:t>
      </w:r>
      <w:r w:rsidRPr="00987EE0">
        <w:rPr>
          <w:rFonts w:eastAsia="Calibri"/>
          <w:sz w:val="24"/>
          <w:szCs w:val="24"/>
        </w:rPr>
        <w:t xml:space="preserve">DI-I, por maioria, não conheceu </w:t>
      </w:r>
      <w:r>
        <w:rPr>
          <w:rFonts w:eastAsia="Calibri"/>
          <w:sz w:val="24"/>
          <w:szCs w:val="24"/>
        </w:rPr>
        <w:t>d</w:t>
      </w:r>
      <w:r w:rsidRPr="00987EE0">
        <w:rPr>
          <w:rFonts w:eastAsia="Calibri"/>
          <w:sz w:val="24"/>
          <w:szCs w:val="24"/>
        </w:rPr>
        <w:t>os embargos interpo</w:t>
      </w:r>
      <w:r>
        <w:rPr>
          <w:rFonts w:eastAsia="Calibri"/>
          <w:sz w:val="24"/>
          <w:szCs w:val="24"/>
        </w:rPr>
        <w:t>s</w:t>
      </w:r>
      <w:r w:rsidRPr="00987EE0">
        <w:rPr>
          <w:rFonts w:eastAsia="Calibri"/>
          <w:sz w:val="24"/>
          <w:szCs w:val="24"/>
        </w:rPr>
        <w:t xml:space="preserve">tos pela reclamada. Vencidos os Ministros Brito Pereira, relator, e Márcio Eurico Vitral Amaro, que davam provimento ao recurso para limitar a condenação relativa às horas extras decorrentes da concessão parcial do intervalo intrajornada ao período posterior à vigência da Lei nº 8.923/94. </w:t>
      </w:r>
      <w:hyperlink r:id="rId10" w:history="1">
        <w:r w:rsidRPr="00197B15">
          <w:rPr>
            <w:rStyle w:val="Hyperlink"/>
            <w:rFonts w:eastAsia="Calibri"/>
            <w:sz w:val="24"/>
            <w:szCs w:val="24"/>
          </w:rPr>
          <w:t>TST-E-ED-ED-RR-672543-25.2000.5.17.0006</w:t>
        </w:r>
      </w:hyperlink>
      <w:r w:rsidRPr="004477EC">
        <w:rPr>
          <w:rFonts w:eastAsia="Calibri"/>
          <w:sz w:val="24"/>
          <w:szCs w:val="24"/>
          <w:u w:val="single"/>
        </w:rPr>
        <w:t>,</w:t>
      </w:r>
      <w:r w:rsidRPr="00900FA9">
        <w:rPr>
          <w:rFonts w:eastAsia="Calibri"/>
          <w:sz w:val="24"/>
          <w:szCs w:val="24"/>
          <w:u w:val="single"/>
        </w:rPr>
        <w:t xml:space="preserve"> SBDI-I, rel. Min. Brito Pereira, red. p/ acórdão Min. Lelio Bentes Corrêa, 18.12.2014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6E" w:rsidRDefault="00FE206E">
      <w:r>
        <w:separator/>
      </w:r>
    </w:p>
  </w:endnote>
  <w:endnote w:type="continuationSeparator" w:id="0">
    <w:p w:rsidR="00FE206E" w:rsidRDefault="00FE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2C0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282C0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6E" w:rsidRDefault="00FE206E">
      <w:r>
        <w:separator/>
      </w:r>
    </w:p>
  </w:footnote>
  <w:footnote w:type="continuationSeparator" w:id="0">
    <w:p w:rsidR="00FE206E" w:rsidRDefault="00FE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EB6C1B">
      <w:rPr>
        <w:shadow/>
        <w:sz w:val="24"/>
        <w:szCs w:val="24"/>
      </w:rPr>
      <w:t>9</w:t>
    </w:r>
    <w:r w:rsidR="00197B15">
      <w:rPr>
        <w:shadow/>
        <w:sz w:val="24"/>
        <w:szCs w:val="24"/>
      </w:rPr>
      <w:t>8</w:t>
    </w:r>
  </w:p>
  <w:p w:rsidR="00FE00AD" w:rsidRDefault="00187A37">
    <w:pPr>
      <w:pStyle w:val="Ttulo6"/>
      <w:spacing w:line="360" w:lineRule="auto"/>
      <w:jc w:val="right"/>
      <w:rPr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EB6C1B">
      <w:rPr>
        <w:sz w:val="20"/>
        <w:szCs w:val="20"/>
      </w:rPr>
      <w:t>1</w:t>
    </w:r>
    <w:r w:rsidR="00197B15">
      <w:rPr>
        <w:sz w:val="20"/>
        <w:szCs w:val="20"/>
      </w:rPr>
      <w:t>7 a 19</w:t>
    </w:r>
    <w:r w:rsidR="00EB6C1B">
      <w:rPr>
        <w:sz w:val="20"/>
        <w:szCs w:val="20"/>
      </w:rPr>
      <w:t xml:space="preserve"> de dezembro d</w:t>
    </w:r>
    <w:r w:rsidR="00FE00AD" w:rsidRPr="00971E07">
      <w:rPr>
        <w:sz w:val="20"/>
        <w:szCs w:val="20"/>
      </w:rPr>
      <w:t>e 20</w:t>
    </w:r>
    <w:r w:rsidR="00E16E01" w:rsidRPr="00971E07">
      <w:rPr>
        <w:sz w:val="20"/>
        <w:szCs w:val="20"/>
      </w:rPr>
      <w:t>1</w:t>
    </w:r>
    <w:r w:rsidR="00EB6C1B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5pt;height:76.7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4A094C">
      <w:rPr>
        <w:b/>
        <w:sz w:val="40"/>
        <w:szCs w:val="40"/>
      </w:rPr>
      <w:t>9</w:t>
    </w:r>
    <w:r w:rsidR="004477EC">
      <w:rPr>
        <w:b/>
        <w:sz w:val="40"/>
        <w:szCs w:val="40"/>
      </w:rPr>
      <w:t>8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4A094C">
      <w:rPr>
        <w:i/>
        <w:iCs/>
      </w:rPr>
      <w:t>1</w:t>
    </w:r>
    <w:r w:rsidR="004477EC">
      <w:rPr>
        <w:i/>
        <w:iCs/>
      </w:rPr>
      <w:t xml:space="preserve">7 a 19 </w:t>
    </w:r>
    <w:r w:rsidR="00FE00AD" w:rsidRPr="005D1DE4">
      <w:rPr>
        <w:i/>
        <w:iCs/>
      </w:rPr>
      <w:t xml:space="preserve">de </w:t>
    </w:r>
    <w:r w:rsidR="004A094C">
      <w:rPr>
        <w:i/>
        <w:iCs/>
      </w:rPr>
      <w:t>dezembro de 2014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97B15"/>
    <w:rsid w:val="001C04D2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2C08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86521"/>
    <w:rsid w:val="00486DFC"/>
    <w:rsid w:val="004922D6"/>
    <w:rsid w:val="004A094C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1C18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64BC3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456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230&amp;digitoTst=51&amp;anoTst=2010&amp;orgaoTst=5&amp;tribunalTst=02&amp;varaTst=00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672543&amp;digitoTst=25&amp;anoTst=2000&amp;orgaoTst=5&amp;tribunalTst=17&amp;varaTst=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09440&amp;digitoTst=17&amp;anoTst=2003&amp;orgaoTst=5&amp;tribunalTst=01&amp;varaTst=001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2DAD-12B8-45F4-A451-D868684B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5578</CharactersWithSpaces>
  <SharedDoc>false</SharedDoc>
  <HLinks>
    <vt:vector size="18" baseType="variant">
      <vt:variant>
        <vt:i4>5832778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https://aplicacao5.tst.jus.br/consultaProcessual/consultaTstNumUnica.do?consulta=Consultar&amp;conscsjt=&amp;numeroTst=672543&amp;digitoTst=25&amp;anoTst=2000&amp;orgaoTst=5&amp;tribunalTst=17&amp;varaTst=0006</vt:lpwstr>
      </vt:variant>
      <vt:variant>
        <vt:lpwstr/>
      </vt:variant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https://aplicacao5.tst.jus.br/consultaProcessual/consultaTstNumUnica.do?consulta=Consultar&amp;conscsjt=&amp;numeroTst=109440&amp;digitoTst=17&amp;anoTst=2003&amp;orgaoTst=5&amp;tribunalTst=01&amp;varaTst=0019</vt:lpwstr>
      </vt:variant>
      <vt:variant>
        <vt:lpwstr/>
      </vt:variant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https://aplicacao5.tst.jus.br/consultaProcessual/consultaTstNumUnica.do?consulta=Consultar&amp;conscsjt=&amp;numeroTst=230&amp;digitoTst=51&amp;anoTst=2010&amp;orgaoTst=5&amp;tribunalTst=02&amp;varaTst=0021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2018-06-27T21:47:00Z</dcterms:created>
  <dcterms:modified xsi:type="dcterms:W3CDTF">2018-06-27T21:47:00Z</dcterms:modified>
</cp:coreProperties>
</file>