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4C67CE" w:rsidRPr="00187A37" w:rsidRDefault="004C67CE" w:rsidP="00DC50EB">
            <w:pPr>
              <w:pStyle w:val="Cabealho"/>
              <w:tabs>
                <w:tab w:val="clear" w:pos="4419"/>
                <w:tab w:val="clear" w:pos="8838"/>
              </w:tabs>
              <w:jc w:val="both"/>
              <w:rPr>
                <w:sz w:val="10"/>
                <w:szCs w:val="10"/>
              </w:rPr>
            </w:pPr>
          </w:p>
        </w:tc>
      </w:tr>
    </w:tbl>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266180" w:rsidRDefault="00FE00AD" w:rsidP="00F82D8F">
      <w:pPr>
        <w:pStyle w:val="Corpodetexto2"/>
        <w:jc w:val="center"/>
        <w:rPr>
          <w:b/>
          <w:bCs/>
          <w:emboss/>
          <w:sz w:val="24"/>
          <w:szCs w:val="24"/>
        </w:rPr>
      </w:pPr>
    </w:p>
    <w:p w:rsidR="00266180" w:rsidRPr="006479AE" w:rsidRDefault="00266180" w:rsidP="00266180">
      <w:pPr>
        <w:jc w:val="both"/>
        <w:rPr>
          <w:b/>
          <w:i/>
          <w:sz w:val="24"/>
          <w:szCs w:val="24"/>
        </w:rPr>
      </w:pPr>
      <w:r w:rsidRPr="006479AE">
        <w:rPr>
          <w:b/>
          <w:i/>
          <w:sz w:val="24"/>
          <w:szCs w:val="24"/>
        </w:rPr>
        <w:t>Dano Moral. Acidente do trabalho ou doença profissional. Prescrição. Norma de regência vigente na data da lesão ou da ciência inequívoca do evento danoso. Prescrição trabalhista versus prescrição cível. Emenda Constitucional Nº 45/2004.</w:t>
      </w:r>
    </w:p>
    <w:p w:rsidR="00266180" w:rsidRPr="006479AE" w:rsidRDefault="00266180" w:rsidP="00266180">
      <w:pPr>
        <w:jc w:val="both"/>
        <w:rPr>
          <w:sz w:val="24"/>
          <w:szCs w:val="24"/>
          <w:u w:val="single"/>
        </w:rPr>
      </w:pPr>
      <w:r w:rsidRPr="006479AE">
        <w:rPr>
          <w:sz w:val="24"/>
          <w:szCs w:val="24"/>
        </w:rPr>
        <w:t xml:space="preserve">A regra prescricional aplicável à pretensão relativa a indenização por danos morais decorrente de acidente do trabalho ou doença profissional é definida levando-se em conta a data da lesão ou, na hipótese de doença profissional, da ciência inequívoca do evento danoso pelo empregado. Incidirá a prescrição trabalhista se a lesão ou constatação do dano ocorreu na vigência da Emenda Constitucional n.º 45/2004, que inseriu, de forma inequívoca, a matéria no âmbito da competência da Justiça do Trabalho. Contrariamente, se a lesão ou sua constatação se deu em data anterior à referida emenda, incidirá o prazo cível, observando-se as regras de transição do Código Civil de 2002. Assim, no caso em </w:t>
      </w:r>
      <w:r>
        <w:rPr>
          <w:sz w:val="24"/>
          <w:szCs w:val="24"/>
        </w:rPr>
        <w:t xml:space="preserve">o dano </w:t>
      </w:r>
      <w:r w:rsidRPr="006479AE">
        <w:rPr>
          <w:sz w:val="24"/>
          <w:szCs w:val="24"/>
        </w:rPr>
        <w:t>se consumou com a aposentadoria por invalidez em 13.4.2001, ou seja, em data anterior ao Novo Código Civil</w:t>
      </w:r>
      <w:r>
        <w:rPr>
          <w:sz w:val="24"/>
          <w:szCs w:val="24"/>
        </w:rPr>
        <w:t xml:space="preserve">, e a ação de indenização por danos morais e matérias decorrentes de acidente do trabalho </w:t>
      </w:r>
      <w:r w:rsidRPr="006479AE">
        <w:rPr>
          <w:sz w:val="24"/>
          <w:szCs w:val="24"/>
        </w:rPr>
        <w:t xml:space="preserve">foi ajuizada na Justiça do Trabalho após a EC nº 45/04, incide a regra de transição de que trata o art. 2.028 do CC, de modo que, transcorridos menos de dez anos entre a aposentadoria por invalidez e a data da entrada em vigor do Código Civil de 2002, aplica-se a prescrição trienal (art. 206, § 3º, V, do CC). Com esse entendimento, a SBDI-I, em sua composição plena, por unanimidade, conheceu dos embargos da reclamante por divergência jurisprudencial, e, no mérito, por maioria, negou-lhes provimento, mantendo a decisão turmária que declarou a prescrição da pretensão e extinguiu o processo com resolução de mérito. Vencidos os Ministros Márcio Eurico Vitral Amaro, Augusto César Leite de Carvalho, José Roberto Freire Pimenta e Hugo Carlos Scheuermann, os quais entendiam que, regra geral, aplica-se o disposto no art. 7º, XXIX, da CF, ainda que a ciência da lesão tenha ocorrido anteriormente à EC nº 45/2004, só se aplicando a regra de transição do Código Civil naquelas hipóteses em que o titular da pretensão seria surpreendido com a aplicação da prescrição trabalhista de prazo menor, e o Ministro Alexandre Agra Belmonte, que aplicava a regra de direito intertemporal prevista no art. 916 da CLT em razão de o prazo prescricional já haver se iniciado, mas não ter se consumado quando da edição da EC nº 45/04. </w:t>
      </w:r>
      <w:hyperlink r:id="rId8" w:history="1">
        <w:r w:rsidRPr="006479AE">
          <w:rPr>
            <w:rStyle w:val="Hyperlink"/>
            <w:sz w:val="24"/>
            <w:szCs w:val="24"/>
          </w:rPr>
          <w:t>TST-E-RR-2700-23.2006.5.10.0005</w:t>
        </w:r>
      </w:hyperlink>
      <w:r w:rsidRPr="006479AE">
        <w:rPr>
          <w:sz w:val="24"/>
          <w:szCs w:val="24"/>
          <w:u w:val="single"/>
        </w:rPr>
        <w:t>, SBDI-I, rel. Min. Aloysio Corrêa da Veiga, 22.5.2014</w:t>
      </w:r>
    </w:p>
    <w:p w:rsidR="00266180" w:rsidRPr="00266180" w:rsidRDefault="00266180" w:rsidP="00266180">
      <w:pPr>
        <w:jc w:val="both"/>
        <w:rPr>
          <w:b/>
          <w:i/>
          <w:sz w:val="24"/>
          <w:szCs w:val="24"/>
        </w:rPr>
      </w:pPr>
    </w:p>
    <w:p w:rsidR="00266180" w:rsidRPr="00B90C8B" w:rsidRDefault="00266180" w:rsidP="00266180">
      <w:pPr>
        <w:jc w:val="both"/>
        <w:rPr>
          <w:b/>
          <w:i/>
          <w:sz w:val="24"/>
          <w:szCs w:val="24"/>
        </w:rPr>
      </w:pPr>
      <w:r w:rsidRPr="00B90C8B">
        <w:rPr>
          <w:b/>
          <w:i/>
          <w:sz w:val="24"/>
          <w:szCs w:val="24"/>
        </w:rPr>
        <w:t xml:space="preserve">Desvio </w:t>
      </w:r>
      <w:r>
        <w:rPr>
          <w:b/>
          <w:i/>
          <w:sz w:val="24"/>
          <w:szCs w:val="24"/>
        </w:rPr>
        <w:t xml:space="preserve">de função. </w:t>
      </w:r>
      <w:r w:rsidRPr="00B90C8B">
        <w:rPr>
          <w:b/>
          <w:i/>
          <w:sz w:val="24"/>
          <w:szCs w:val="24"/>
        </w:rPr>
        <w:t>Empregado público que exerce atividade típica de servidor público estatutário. Regimes jurídicos distintos. Diferenças salariais</w:t>
      </w:r>
      <w:r>
        <w:rPr>
          <w:b/>
          <w:i/>
          <w:sz w:val="24"/>
          <w:szCs w:val="24"/>
        </w:rPr>
        <w:t xml:space="preserve">. Devidas. </w:t>
      </w:r>
      <w:r w:rsidRPr="00B90C8B">
        <w:rPr>
          <w:b/>
          <w:i/>
          <w:sz w:val="24"/>
          <w:szCs w:val="24"/>
        </w:rPr>
        <w:t>Aplicação do princípio da isonomia.</w:t>
      </w:r>
      <w:r>
        <w:rPr>
          <w:b/>
          <w:i/>
          <w:sz w:val="24"/>
          <w:szCs w:val="24"/>
        </w:rPr>
        <w:t xml:space="preserve"> Orientação Jurisprudencial nº 125 da SBDI-I.</w:t>
      </w:r>
    </w:p>
    <w:p w:rsidR="00266180" w:rsidRPr="00B90C8B" w:rsidRDefault="00266180" w:rsidP="00266180">
      <w:pPr>
        <w:jc w:val="both"/>
        <w:rPr>
          <w:sz w:val="24"/>
          <w:szCs w:val="24"/>
        </w:rPr>
      </w:pPr>
      <w:r w:rsidRPr="00B90C8B">
        <w:rPr>
          <w:sz w:val="24"/>
          <w:szCs w:val="24"/>
        </w:rPr>
        <w:t>Não obstante o art. 37, II, da CF impeça a admissão e o reenquadramento no serviço público sem prévia aprovação em concurso público e o inciso XIII do mesmo dispositivo constitucional vede a equiparação de quaisquer espécies remuneratórias, para efeito de remuneração d</w:t>
      </w:r>
      <w:r>
        <w:rPr>
          <w:sz w:val="24"/>
          <w:szCs w:val="24"/>
        </w:rPr>
        <w:t>e</w:t>
      </w:r>
      <w:r w:rsidRPr="00B90C8B">
        <w:rPr>
          <w:sz w:val="24"/>
          <w:szCs w:val="24"/>
        </w:rPr>
        <w:t xml:space="preserve"> pessoal do serviço público, havendo identidade entre as atividades realizadas por servidor público estatutário e</w:t>
      </w:r>
      <w:r>
        <w:rPr>
          <w:sz w:val="24"/>
          <w:szCs w:val="24"/>
        </w:rPr>
        <w:t xml:space="preserve"> aquelas exercidas</w:t>
      </w:r>
      <w:r w:rsidRPr="00B90C8B">
        <w:rPr>
          <w:sz w:val="24"/>
          <w:szCs w:val="24"/>
        </w:rPr>
        <w:t xml:space="preserve"> por empregado público em flagrante desvio de função, é devido o pagamento das diferenças salariais respectivas, sob pena de enriquecimento ilícito da Administração Pública. In</w:t>
      </w:r>
      <w:r>
        <w:rPr>
          <w:sz w:val="24"/>
          <w:szCs w:val="24"/>
        </w:rPr>
        <w:t xml:space="preserve">teligência </w:t>
      </w:r>
      <w:r w:rsidRPr="00B90C8B">
        <w:rPr>
          <w:sz w:val="24"/>
          <w:szCs w:val="24"/>
        </w:rPr>
        <w:t xml:space="preserve">da Orientação Jurisprudencial nº 125 da SBDI-I e observância do critério da isonomia. Na espécie, o reclamante fora contratado pelo SERPRO para o cargo de auxiliar de informática, tendo exercido as funções de Técnico do Tesouro Nacional ao prestar serviços na Secretaria da </w:t>
      </w:r>
      <w:r w:rsidRPr="00B90C8B">
        <w:rPr>
          <w:sz w:val="24"/>
          <w:szCs w:val="24"/>
        </w:rPr>
        <w:lastRenderedPageBreak/>
        <w:t xml:space="preserve">Receita Federal. Com esse entendimento, a SBDI-I, em sua composição plena, por unanimidade, conheceu dos embargos interpostos pelo SERPRO, por má aplicação da Orientação Jurisprudencial nº 125 da SBDI-I, e, no mérito, por maioria, negou-lhes provimento. Vencidos os Ministros Ives Gandra Martins Filho, relator, Antonio José de Barros Levenhagen, Brito Pereira, Renato de Lacerda Paiva e Guilherme Augusto Caputo Bastos, que davam provimento ao recurso para restabelecer a sentença que concluiu pela impossibilidade de deferimento das diferenças salariais quando o trabalhador laborou em desvio de função em regimes jurídicos diversos, em razão do disposto no art. 37, XIII, da CF. </w:t>
      </w:r>
      <w:hyperlink r:id="rId9" w:history="1">
        <w:r w:rsidRPr="00266180">
          <w:rPr>
            <w:rStyle w:val="Hyperlink"/>
            <w:sz w:val="24"/>
            <w:szCs w:val="24"/>
          </w:rPr>
          <w:t>TST-E-ED-RR-210900-27.2000.5.09.0020</w:t>
        </w:r>
      </w:hyperlink>
      <w:r w:rsidRPr="00B90C8B">
        <w:rPr>
          <w:sz w:val="24"/>
          <w:szCs w:val="24"/>
          <w:u w:val="single"/>
        </w:rPr>
        <w:t>, SBDI-I</w:t>
      </w:r>
      <w:r>
        <w:rPr>
          <w:sz w:val="24"/>
          <w:szCs w:val="24"/>
          <w:u w:val="single"/>
        </w:rPr>
        <w:t>, rel. Min. Ives Gandra da Silva Martins Filho,</w:t>
      </w:r>
      <w:r w:rsidRPr="00B90C8B">
        <w:rPr>
          <w:sz w:val="24"/>
          <w:szCs w:val="24"/>
          <w:u w:val="single"/>
        </w:rPr>
        <w:t xml:space="preserve"> red.</w:t>
      </w:r>
      <w:r>
        <w:rPr>
          <w:sz w:val="24"/>
          <w:szCs w:val="24"/>
          <w:u w:val="single"/>
        </w:rPr>
        <w:t xml:space="preserve"> p/ acórdão</w:t>
      </w:r>
      <w:r w:rsidRPr="00B90C8B">
        <w:rPr>
          <w:sz w:val="24"/>
          <w:szCs w:val="24"/>
          <w:u w:val="single"/>
        </w:rPr>
        <w:t xml:space="preserve"> Min. João Oreste Dalazen, 22.5.2014</w:t>
      </w:r>
    </w:p>
    <w:p w:rsidR="00266180" w:rsidRPr="00266180" w:rsidRDefault="00266180" w:rsidP="00266180">
      <w:pPr>
        <w:jc w:val="both"/>
        <w:rPr>
          <w:b/>
          <w:i/>
          <w:sz w:val="24"/>
          <w:szCs w:val="24"/>
        </w:rPr>
      </w:pPr>
    </w:p>
    <w:p w:rsidR="00266180" w:rsidRPr="00144C2D" w:rsidRDefault="00266180" w:rsidP="00266180">
      <w:pPr>
        <w:jc w:val="both"/>
        <w:rPr>
          <w:b/>
          <w:i/>
          <w:sz w:val="24"/>
          <w:szCs w:val="24"/>
        </w:rPr>
      </w:pPr>
      <w:r w:rsidRPr="00144C2D">
        <w:rPr>
          <w:b/>
          <w:i/>
          <w:sz w:val="24"/>
          <w:szCs w:val="24"/>
        </w:rPr>
        <w:t>Existência de sócios comuns.</w:t>
      </w:r>
      <w:r>
        <w:rPr>
          <w:b/>
          <w:i/>
          <w:sz w:val="24"/>
          <w:szCs w:val="24"/>
        </w:rPr>
        <w:t xml:space="preserve"> Grupo Econômico. </w:t>
      </w:r>
      <w:r w:rsidRPr="00144C2D">
        <w:rPr>
          <w:b/>
          <w:i/>
          <w:sz w:val="24"/>
          <w:szCs w:val="24"/>
        </w:rPr>
        <w:t>Não caracterização.</w:t>
      </w:r>
      <w:r>
        <w:rPr>
          <w:b/>
          <w:i/>
          <w:sz w:val="24"/>
          <w:szCs w:val="24"/>
        </w:rPr>
        <w:t xml:space="preserve"> Ausência de subordinação.</w:t>
      </w:r>
    </w:p>
    <w:p w:rsidR="00266180" w:rsidRPr="00445A03" w:rsidRDefault="00266180" w:rsidP="00266180">
      <w:pPr>
        <w:jc w:val="both"/>
        <w:rPr>
          <w:sz w:val="24"/>
          <w:szCs w:val="24"/>
          <w:u w:val="single"/>
        </w:rPr>
      </w:pPr>
      <w:r>
        <w:rPr>
          <w:sz w:val="24"/>
          <w:szCs w:val="24"/>
        </w:rPr>
        <w:t>O</w:t>
      </w:r>
      <w:r w:rsidRPr="00445A03">
        <w:rPr>
          <w:sz w:val="24"/>
          <w:szCs w:val="24"/>
        </w:rPr>
        <w:t xml:space="preserve"> simples fato de </w:t>
      </w:r>
      <w:r>
        <w:rPr>
          <w:sz w:val="24"/>
          <w:szCs w:val="24"/>
        </w:rPr>
        <w:t>duas empresas terem</w:t>
      </w:r>
      <w:r w:rsidRPr="00445A03">
        <w:rPr>
          <w:sz w:val="24"/>
          <w:szCs w:val="24"/>
        </w:rPr>
        <w:t xml:space="preserve"> sócios em comum </w:t>
      </w:r>
      <w:r>
        <w:rPr>
          <w:sz w:val="24"/>
          <w:szCs w:val="24"/>
        </w:rPr>
        <w:t xml:space="preserve">não autoriza o reconhecimento do grupo econômico, pois este, nos termos do art. 2º, § 2º, da CLT, pressupõe subordinação à mesma direção, controle ou administração, ou seja, exige uma relação de dominação interempresarial em que o controle central é exercido por uma delas (teoria hierárquica ou vertical). Na hipótese, ressaltou-se que não obstante as empresas em questão terem os mesmos sócios, uma delas é voltada para o mercado imobiliário, enquanto que a outra atua no ramo de segurança e transporte de valores, bem como importação e exportação de equipamentos eletrônicos, não guardando, portanto, qualquer relação entre os respectivos objetos comerciais a indicar laços de direção entre elas. Com esse entendimento, a SBDI-I, em sua composição plena, por maioria, conheceu dos embargos interpostos pela reclamante, por divergência jurisprudencial, vencidos os Ministros Horácio Raymundo de Senna Pires, relator, Antonio José de Barros Levenhagen, Brito Pereira e Aloysio Corrêa da Veiga, que não conheciam do apelo. No mérito, também por maioria, a Subseção negou provimento ao recurso, vencidos os Ministros Lelio Bentes Corrêa, Augusto César Leite de Carvalho, José Roberto Freire Pimenta e Hugo Carlos Scheuermann, que davam provimento aos embargos para restabelecer a decisão proferida pelo TRT que, adotando a teoria horizontal ou da coordenação, entendeu configurado o grupo econômico porque existente nexo relacional entre as empresas envolvidas, pois além de terem sócios em comum, restou demonstrado que houve aporte financeiro dos sócios de uma empresa na outra. </w:t>
      </w:r>
      <w:hyperlink r:id="rId10" w:history="1">
        <w:r w:rsidRPr="00266180">
          <w:rPr>
            <w:rStyle w:val="Hyperlink"/>
            <w:sz w:val="24"/>
            <w:szCs w:val="24"/>
          </w:rPr>
          <w:t>TST-E-ED-RR-214940-39.2006.5.02.0472</w:t>
        </w:r>
      </w:hyperlink>
      <w:r w:rsidRPr="00445A03">
        <w:rPr>
          <w:sz w:val="24"/>
          <w:szCs w:val="24"/>
          <w:u w:val="single"/>
        </w:rPr>
        <w:t xml:space="preserve">, SBDI-I, rel. Min. Horácio </w:t>
      </w:r>
      <w:r>
        <w:rPr>
          <w:sz w:val="24"/>
          <w:szCs w:val="24"/>
          <w:u w:val="single"/>
        </w:rPr>
        <w:t xml:space="preserve">Raymundo de </w:t>
      </w:r>
      <w:r w:rsidRPr="00445A03">
        <w:rPr>
          <w:sz w:val="24"/>
          <w:szCs w:val="24"/>
          <w:u w:val="single"/>
        </w:rPr>
        <w:t>Senna Pires 22.5.2014</w:t>
      </w:r>
    </w:p>
    <w:p w:rsidR="00266180" w:rsidRPr="00266180" w:rsidRDefault="00266180" w:rsidP="00266180">
      <w:pPr>
        <w:pStyle w:val="coletanea"/>
        <w:rPr>
          <w:b/>
          <w:i/>
          <w:sz w:val="24"/>
          <w:szCs w:val="24"/>
        </w:rPr>
      </w:pPr>
    </w:p>
    <w:p w:rsidR="00266180" w:rsidRDefault="00266180" w:rsidP="00266180">
      <w:pPr>
        <w:pStyle w:val="coletanea"/>
        <w:rPr>
          <w:b/>
          <w:i/>
          <w:sz w:val="24"/>
          <w:szCs w:val="24"/>
        </w:rPr>
      </w:pPr>
      <w:r>
        <w:rPr>
          <w:b/>
          <w:i/>
          <w:sz w:val="24"/>
          <w:szCs w:val="24"/>
        </w:rPr>
        <w:t xml:space="preserve">Embargos interpostos sob a égide da Lei n.º 11.496/2007. Conhecimento. Arguição de contrariedade a súmula de conteúdo processual. Possibilidade. </w:t>
      </w:r>
    </w:p>
    <w:p w:rsidR="00266180" w:rsidRPr="005A3301" w:rsidRDefault="00266180" w:rsidP="00266180">
      <w:pPr>
        <w:pStyle w:val="Corpo"/>
        <w:spacing w:line="240" w:lineRule="auto"/>
        <w:ind w:firstLine="0"/>
        <w:rPr>
          <w:rFonts w:ascii="Times New Roman" w:eastAsia="Calibri" w:hAnsi="Times New Roman" w:cs="Times New Roman"/>
          <w:color w:val="auto"/>
          <w:u w:val="single"/>
          <w:lang w:val="pt-BR" w:eastAsia="en-US"/>
        </w:rPr>
      </w:pPr>
      <w:r w:rsidRPr="004235FA">
        <w:rPr>
          <w:rFonts w:ascii="Times New Roman" w:eastAsia="Calibri" w:hAnsi="Times New Roman" w:cs="Times New Roman"/>
          <w:color w:val="auto"/>
          <w:lang w:val="pt-BR" w:eastAsia="en-US"/>
        </w:rPr>
        <w:t>O conhecimento de embargos regidos pela Lei n.º 11.496/2007, por contrariedade a súmula ou orientação jurisprudencial de direito processual, viabiliza-se, excepcionalmente, na hipótese em que, do conteúdo da própria decisão da Turma, verifica-se afirmação ou manifestação que diverge do teor do verbete jurisprudencial indicado como contrariado pela parte. No caso, a Turma fixou o grau de insalubridade, com análise do conjunto fático probatório, sem que o TRT e a Vara do Trabalho tenham se manifestado a respeito, ou seja, houve decisão a partir de dados fáticos não inseridos no acórdão do Regional</w:t>
      </w:r>
      <w:r>
        <w:rPr>
          <w:rFonts w:ascii="Times New Roman" w:eastAsia="Calibri" w:hAnsi="Times New Roman" w:cs="Times New Roman"/>
          <w:color w:val="auto"/>
          <w:lang w:val="pt-BR" w:eastAsia="en-US"/>
        </w:rPr>
        <w:t>,</w:t>
      </w:r>
      <w:r w:rsidRPr="004235FA">
        <w:rPr>
          <w:rFonts w:ascii="Times New Roman" w:eastAsia="Calibri" w:hAnsi="Times New Roman" w:cs="Times New Roman"/>
          <w:color w:val="auto"/>
          <w:lang w:val="pt-BR" w:eastAsia="en-US"/>
        </w:rPr>
        <w:t xml:space="preserve"> sem que a matéria tivesse sido prequestionada, o que dissente, portanto, da diretriz preconizada nas Súmulas nº</w:t>
      </w:r>
      <w:r w:rsidRPr="00266180">
        <w:rPr>
          <w:rFonts w:ascii="Times New Roman" w:eastAsia="Calibri" w:hAnsi="Times New Roman" w:cs="Times New Roman"/>
          <w:color w:val="auto"/>
          <w:vertAlign w:val="superscript"/>
          <w:lang w:val="pt-BR" w:eastAsia="en-US"/>
        </w:rPr>
        <w:t>s</w:t>
      </w:r>
      <w:r w:rsidRPr="004235FA">
        <w:rPr>
          <w:rFonts w:ascii="Times New Roman" w:eastAsia="Calibri" w:hAnsi="Times New Roman" w:cs="Times New Roman"/>
          <w:color w:val="auto"/>
          <w:lang w:val="pt-BR" w:eastAsia="en-US"/>
        </w:rPr>
        <w:t xml:space="preserve"> 126 e 296 do TST. Assim sendo, a SBDI-I, em sua composição plena, por maioria, conheceu dos embargos interpostos pelo reclamado, por contrariedade às Súmulas nº</w:t>
      </w:r>
      <w:r w:rsidRPr="00266180">
        <w:rPr>
          <w:rFonts w:ascii="Times New Roman" w:eastAsia="Calibri" w:hAnsi="Times New Roman" w:cs="Times New Roman"/>
          <w:color w:val="auto"/>
          <w:vertAlign w:val="superscript"/>
          <w:lang w:val="pt-BR" w:eastAsia="en-US"/>
        </w:rPr>
        <w:t>s</w:t>
      </w:r>
      <w:r w:rsidRPr="004235FA">
        <w:rPr>
          <w:rFonts w:ascii="Times New Roman" w:eastAsia="Calibri" w:hAnsi="Times New Roman" w:cs="Times New Roman"/>
          <w:color w:val="auto"/>
          <w:lang w:val="pt-BR" w:eastAsia="en-US"/>
        </w:rPr>
        <w:t xml:space="preserve"> 126 e 296 do TST, vencido o Ministro Ives Gandra Martins Filho que não conhecia do apelo. No mérito, por maioria, a Subseção deu provimento aos embargos para determinar o retorno dos autos ao TRT de origem a fim de que examine, como entender de direito, o pedido sucessivo referente ao adicional de insalubridade, no contexto do laudo pericial já elaborado, vencidos parcialmente os Ministros Augusto César Leite de Carvalho, relator, João Oreste Dalazen, Ives Gandra Martins Filho, Brito Pereira e Renato de Lacerda Paiva.</w:t>
      </w:r>
      <w:r w:rsidRPr="004E34FB">
        <w:rPr>
          <w:lang w:val="pt-BR"/>
        </w:rPr>
        <w:t xml:space="preserve"> </w:t>
      </w:r>
      <w:hyperlink r:id="rId11" w:history="1">
        <w:r w:rsidRPr="00266180">
          <w:rPr>
            <w:rStyle w:val="Hyperlink"/>
            <w:rFonts w:ascii="Times New Roman" w:eastAsia="Calibri" w:hAnsi="Times New Roman"/>
            <w:lang w:val="pt-BR" w:eastAsia="en-US"/>
          </w:rPr>
          <w:t>TST-E-ED-ED-RR-67300-63.2003.5.17.0005</w:t>
        </w:r>
      </w:hyperlink>
      <w:r w:rsidRPr="004235FA">
        <w:rPr>
          <w:rFonts w:ascii="Times New Roman" w:eastAsia="Calibri" w:hAnsi="Times New Roman" w:cs="Times New Roman"/>
          <w:color w:val="auto"/>
          <w:u w:val="single"/>
          <w:lang w:val="pt-BR" w:eastAsia="en-US"/>
        </w:rPr>
        <w:t>,</w:t>
      </w:r>
      <w:r w:rsidRPr="005A3301">
        <w:rPr>
          <w:rFonts w:ascii="Times New Roman" w:eastAsia="Calibri" w:hAnsi="Times New Roman" w:cs="Times New Roman"/>
          <w:color w:val="auto"/>
          <w:u w:val="single"/>
          <w:lang w:val="pt-BR" w:eastAsia="en-US"/>
        </w:rPr>
        <w:t xml:space="preserve"> SBDI-I, rel. </w:t>
      </w:r>
      <w:r>
        <w:rPr>
          <w:rFonts w:ascii="Times New Roman" w:eastAsia="Calibri" w:hAnsi="Times New Roman" w:cs="Times New Roman"/>
          <w:color w:val="auto"/>
          <w:u w:val="single"/>
          <w:lang w:val="pt-BR" w:eastAsia="en-US"/>
        </w:rPr>
        <w:t xml:space="preserve">Min. Augusto César Leite de Carvalho, red. p/ acórdão </w:t>
      </w:r>
      <w:r w:rsidRPr="005A3301">
        <w:rPr>
          <w:rFonts w:ascii="Times New Roman" w:hAnsi="Times New Roman"/>
          <w:u w:val="single"/>
          <w:lang w:val="pt-BR"/>
        </w:rPr>
        <w:t xml:space="preserve">Min. </w:t>
      </w:r>
      <w:r>
        <w:rPr>
          <w:rFonts w:ascii="Times New Roman" w:hAnsi="Times New Roman"/>
          <w:u w:val="single"/>
          <w:lang w:val="pt-BR"/>
        </w:rPr>
        <w:t>José Roberto Freire Pimenta, 22.</w:t>
      </w:r>
      <w:r w:rsidRPr="005A3301">
        <w:rPr>
          <w:rFonts w:ascii="Times New Roman" w:hAnsi="Times New Roman"/>
          <w:u w:val="single"/>
          <w:lang w:val="pt-BR"/>
        </w:rPr>
        <w:t>5.2014</w:t>
      </w:r>
    </w:p>
    <w:p w:rsidR="00266180" w:rsidRPr="00266180" w:rsidRDefault="00266180" w:rsidP="00235356">
      <w:pPr>
        <w:jc w:val="both"/>
        <w:rPr>
          <w:sz w:val="24"/>
          <w:szCs w:val="24"/>
          <w:u w:val="single"/>
        </w:rPr>
      </w:pPr>
    </w:p>
    <w:p w:rsidR="00266180" w:rsidRPr="00C12497" w:rsidRDefault="00266180" w:rsidP="00266180">
      <w:pPr>
        <w:adjustRightInd w:val="0"/>
        <w:jc w:val="both"/>
        <w:rPr>
          <w:b/>
          <w:i/>
          <w:sz w:val="24"/>
          <w:szCs w:val="24"/>
        </w:rPr>
      </w:pPr>
      <w:r w:rsidRPr="00C12497">
        <w:rPr>
          <w:b/>
          <w:i/>
          <w:sz w:val="24"/>
          <w:szCs w:val="24"/>
        </w:rPr>
        <w:lastRenderedPageBreak/>
        <w:t xml:space="preserve">Metrô/DF. PES/94. Promoção por antiguidade atrelada à promoção por </w:t>
      </w:r>
      <w:r>
        <w:rPr>
          <w:b/>
          <w:i/>
          <w:sz w:val="24"/>
          <w:szCs w:val="24"/>
        </w:rPr>
        <w:t>m</w:t>
      </w:r>
      <w:r w:rsidRPr="00C12497">
        <w:rPr>
          <w:b/>
          <w:i/>
          <w:sz w:val="24"/>
          <w:szCs w:val="24"/>
        </w:rPr>
        <w:t>erecimento. Ausência</w:t>
      </w:r>
      <w:r>
        <w:rPr>
          <w:b/>
          <w:i/>
          <w:sz w:val="24"/>
          <w:szCs w:val="24"/>
        </w:rPr>
        <w:t xml:space="preserve"> de regulamentação. </w:t>
      </w:r>
      <w:r w:rsidRPr="00C12497">
        <w:rPr>
          <w:b/>
          <w:i/>
          <w:sz w:val="24"/>
          <w:szCs w:val="24"/>
        </w:rPr>
        <w:t>Condição puramente potestativa.</w:t>
      </w:r>
      <w:r>
        <w:rPr>
          <w:b/>
          <w:i/>
          <w:sz w:val="24"/>
          <w:szCs w:val="24"/>
        </w:rPr>
        <w:t xml:space="preserve"> </w:t>
      </w:r>
      <w:r w:rsidRPr="00C12497">
        <w:rPr>
          <w:b/>
          <w:i/>
          <w:sz w:val="24"/>
          <w:szCs w:val="24"/>
        </w:rPr>
        <w:t>Art</w:t>
      </w:r>
      <w:r>
        <w:rPr>
          <w:b/>
          <w:i/>
          <w:sz w:val="24"/>
          <w:szCs w:val="24"/>
        </w:rPr>
        <w:t>s</w:t>
      </w:r>
      <w:r w:rsidRPr="00C12497">
        <w:rPr>
          <w:b/>
          <w:i/>
          <w:sz w:val="24"/>
          <w:szCs w:val="24"/>
        </w:rPr>
        <w:t>.</w:t>
      </w:r>
      <w:r>
        <w:rPr>
          <w:b/>
          <w:i/>
          <w:sz w:val="24"/>
          <w:szCs w:val="24"/>
        </w:rPr>
        <w:t xml:space="preserve"> </w:t>
      </w:r>
      <w:r w:rsidRPr="00C12497">
        <w:rPr>
          <w:b/>
          <w:i/>
          <w:sz w:val="24"/>
          <w:szCs w:val="24"/>
        </w:rPr>
        <w:t>12</w:t>
      </w:r>
      <w:r>
        <w:rPr>
          <w:b/>
          <w:i/>
          <w:sz w:val="24"/>
          <w:szCs w:val="24"/>
        </w:rPr>
        <w:t>2 e 12</w:t>
      </w:r>
      <w:r w:rsidRPr="00C12497">
        <w:rPr>
          <w:b/>
          <w:i/>
          <w:sz w:val="24"/>
          <w:szCs w:val="24"/>
        </w:rPr>
        <w:t>9 do CC.</w:t>
      </w:r>
    </w:p>
    <w:p w:rsidR="00266180" w:rsidRDefault="00266180" w:rsidP="00266180">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O</w:t>
      </w:r>
      <w:r w:rsidRPr="00320FDC">
        <w:rPr>
          <w:rFonts w:ascii="Times New Roman" w:eastAsia="Calibri" w:hAnsi="Times New Roman" w:cs="Times New Roman"/>
          <w:color w:val="auto"/>
          <w:lang w:val="pt-BR" w:eastAsia="en-US"/>
        </w:rPr>
        <w:t xml:space="preserve"> requisito de prévia regulamentação das promoções por merecimento imposto </w:t>
      </w:r>
      <w:r>
        <w:rPr>
          <w:rFonts w:ascii="Times New Roman" w:eastAsia="Calibri" w:hAnsi="Times New Roman" w:cs="Times New Roman"/>
          <w:color w:val="auto"/>
          <w:lang w:val="pt-BR" w:eastAsia="en-US"/>
        </w:rPr>
        <w:t>em</w:t>
      </w:r>
      <w:r w:rsidRPr="00320FDC">
        <w:rPr>
          <w:rFonts w:ascii="Times New Roman" w:eastAsia="Calibri" w:hAnsi="Times New Roman" w:cs="Times New Roman"/>
          <w:color w:val="auto"/>
          <w:lang w:val="pt-BR" w:eastAsia="en-US"/>
        </w:rPr>
        <w:t xml:space="preserve"> norma interna </w:t>
      </w:r>
      <w:r>
        <w:rPr>
          <w:rFonts w:ascii="Times New Roman" w:eastAsia="Calibri" w:hAnsi="Times New Roman" w:cs="Times New Roman"/>
          <w:color w:val="auto"/>
          <w:lang w:val="pt-BR" w:eastAsia="en-US"/>
        </w:rPr>
        <w:t>da Companhia do Metropolitano do Distrito Federal – Metrô/DF</w:t>
      </w:r>
      <w:r w:rsidRPr="00320FDC">
        <w:rPr>
          <w:rFonts w:ascii="Times New Roman" w:eastAsia="Calibri" w:hAnsi="Times New Roman" w:cs="Times New Roman"/>
          <w:color w:val="auto"/>
          <w:lang w:val="pt-BR" w:eastAsia="en-US"/>
        </w:rPr>
        <w:t xml:space="preserve"> </w:t>
      </w:r>
      <w:r w:rsidRPr="00B220AC">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Plano de Empregos e Salários de 1994 - </w:t>
      </w:r>
      <w:r w:rsidRPr="00B220AC">
        <w:rPr>
          <w:rFonts w:ascii="Times New Roman" w:hAnsi="Times New Roman"/>
          <w:lang w:val="pt-BR"/>
        </w:rPr>
        <w:t>PES/94)</w:t>
      </w:r>
      <w:r>
        <w:rPr>
          <w:rFonts w:ascii="Times New Roman" w:eastAsia="Calibri" w:hAnsi="Times New Roman" w:cs="Times New Roman"/>
          <w:color w:val="auto"/>
          <w:lang w:val="pt-BR" w:eastAsia="en-US"/>
        </w:rPr>
        <w:t xml:space="preserve"> </w:t>
      </w:r>
      <w:r w:rsidRPr="00320FDC">
        <w:rPr>
          <w:rFonts w:ascii="Times New Roman" w:eastAsia="Calibri" w:hAnsi="Times New Roman" w:cs="Times New Roman"/>
          <w:color w:val="auto"/>
          <w:lang w:val="pt-BR" w:eastAsia="en-US"/>
        </w:rPr>
        <w:t xml:space="preserve">para a concessão </w:t>
      </w:r>
      <w:r>
        <w:rPr>
          <w:rFonts w:ascii="Times New Roman" w:eastAsia="Calibri" w:hAnsi="Times New Roman" w:cs="Times New Roman"/>
          <w:color w:val="auto"/>
          <w:lang w:val="pt-BR" w:eastAsia="en-US"/>
        </w:rPr>
        <w:t>de</w:t>
      </w:r>
      <w:r w:rsidRPr="00320FDC">
        <w:rPr>
          <w:rFonts w:ascii="Times New Roman" w:eastAsia="Calibri" w:hAnsi="Times New Roman" w:cs="Times New Roman"/>
          <w:color w:val="auto"/>
          <w:lang w:val="pt-BR" w:eastAsia="en-US"/>
        </w:rPr>
        <w:t xml:space="preserve"> promoções por antiguidade configura condição puramente potestativa, ou seja, dependente exclusivame</w:t>
      </w:r>
      <w:r>
        <w:rPr>
          <w:rFonts w:ascii="Times New Roman" w:eastAsia="Calibri" w:hAnsi="Times New Roman" w:cs="Times New Roman"/>
          <w:color w:val="auto"/>
          <w:lang w:val="pt-BR" w:eastAsia="en-US"/>
        </w:rPr>
        <w:t xml:space="preserve">nte da vontade de uma das partes. Logo, </w:t>
      </w:r>
      <w:r w:rsidRPr="00320FDC">
        <w:rPr>
          <w:rFonts w:ascii="Times New Roman" w:eastAsia="Calibri" w:hAnsi="Times New Roman" w:cs="Times New Roman"/>
          <w:color w:val="auto"/>
          <w:lang w:val="pt-BR" w:eastAsia="en-US"/>
        </w:rPr>
        <w:t xml:space="preserve">o seu </w:t>
      </w:r>
      <w:r>
        <w:rPr>
          <w:rFonts w:ascii="Times New Roman" w:eastAsia="Calibri" w:hAnsi="Times New Roman" w:cs="Times New Roman"/>
          <w:color w:val="auto"/>
          <w:lang w:val="pt-BR" w:eastAsia="en-US"/>
        </w:rPr>
        <w:t>des</w:t>
      </w:r>
      <w:r w:rsidRPr="00320FDC">
        <w:rPr>
          <w:rFonts w:ascii="Times New Roman" w:eastAsia="Calibri" w:hAnsi="Times New Roman" w:cs="Times New Roman"/>
          <w:color w:val="auto"/>
          <w:lang w:val="pt-BR" w:eastAsia="en-US"/>
        </w:rPr>
        <w:t xml:space="preserve">cumprimento não pode inviabilizar o direito do empregado às progressões por antiguidade quando </w:t>
      </w:r>
      <w:r>
        <w:rPr>
          <w:rFonts w:ascii="Times New Roman" w:eastAsia="Calibri" w:hAnsi="Times New Roman" w:cs="Times New Roman"/>
          <w:color w:val="auto"/>
          <w:lang w:val="pt-BR" w:eastAsia="en-US"/>
        </w:rPr>
        <w:t xml:space="preserve">presente </w:t>
      </w:r>
      <w:r w:rsidRPr="00320FDC">
        <w:rPr>
          <w:rFonts w:ascii="Times New Roman" w:eastAsia="Calibri" w:hAnsi="Times New Roman" w:cs="Times New Roman"/>
          <w:color w:val="auto"/>
          <w:lang w:val="pt-BR" w:eastAsia="en-US"/>
        </w:rPr>
        <w:t xml:space="preserve">o </w:t>
      </w:r>
      <w:r>
        <w:rPr>
          <w:rFonts w:ascii="Times New Roman" w:eastAsia="Calibri" w:hAnsi="Times New Roman" w:cs="Times New Roman"/>
          <w:color w:val="auto"/>
          <w:lang w:val="pt-BR" w:eastAsia="en-US"/>
        </w:rPr>
        <w:t xml:space="preserve">pressuposto temporal (objetivo), </w:t>
      </w:r>
      <w:r w:rsidRPr="00320FDC">
        <w:rPr>
          <w:rFonts w:ascii="Times New Roman" w:eastAsia="Calibri" w:hAnsi="Times New Roman" w:cs="Times New Roman"/>
          <w:color w:val="auto"/>
          <w:lang w:val="pt-BR" w:eastAsia="en-US"/>
        </w:rPr>
        <w:t>sob pena de violação dos art</w:t>
      </w:r>
      <w:r>
        <w:rPr>
          <w:rFonts w:ascii="Times New Roman" w:eastAsia="Calibri" w:hAnsi="Times New Roman" w:cs="Times New Roman"/>
          <w:color w:val="auto"/>
          <w:lang w:val="pt-BR" w:eastAsia="en-US"/>
        </w:rPr>
        <w:t>s.</w:t>
      </w:r>
      <w:r w:rsidRPr="00320FDC">
        <w:rPr>
          <w:rFonts w:ascii="Times New Roman" w:eastAsia="Calibri" w:hAnsi="Times New Roman" w:cs="Times New Roman"/>
          <w:color w:val="auto"/>
          <w:lang w:val="pt-BR" w:eastAsia="en-US"/>
        </w:rPr>
        <w:t xml:space="preserve"> 122 e 129 do C</w:t>
      </w:r>
      <w:r>
        <w:rPr>
          <w:rFonts w:ascii="Times New Roman" w:eastAsia="Calibri" w:hAnsi="Times New Roman" w:cs="Times New Roman"/>
          <w:color w:val="auto"/>
          <w:lang w:val="pt-BR" w:eastAsia="en-US"/>
        </w:rPr>
        <w:t xml:space="preserve">C. Com esses fundamentos, </w:t>
      </w:r>
      <w:r w:rsidRPr="00A911DF">
        <w:rPr>
          <w:rFonts w:ascii="Times New Roman" w:eastAsia="Calibri" w:hAnsi="Times New Roman" w:cs="Times New Roman"/>
          <w:color w:val="auto"/>
          <w:lang w:val="pt-BR" w:eastAsia="en-US"/>
        </w:rPr>
        <w:t xml:space="preserve">a </w:t>
      </w:r>
      <w:r w:rsidRPr="00604052">
        <w:rPr>
          <w:rFonts w:ascii="Times New Roman" w:eastAsia="Calibri" w:hAnsi="Times New Roman" w:cs="Times New Roman"/>
          <w:color w:val="auto"/>
          <w:lang w:val="pt-BR" w:eastAsia="en-US"/>
        </w:rPr>
        <w:t>SBDI-</w:t>
      </w:r>
      <w:r>
        <w:rPr>
          <w:rFonts w:ascii="Times New Roman" w:eastAsia="Calibri" w:hAnsi="Times New Roman" w:cs="Times New Roman"/>
          <w:color w:val="auto"/>
          <w:lang w:val="pt-BR" w:eastAsia="en-US"/>
        </w:rPr>
        <w:t xml:space="preserve">I, em sua composição plena, por maioria, conheceu dos embargos interpostos pela reclamante quanto às progressões por antiguidade e por merecimento, por divergência jurisprudencial, vencidos, parcialmente, os Ministros Renato de Lacerda Paiva, relator, Ives Gandra Martins Filho e Aloysio Corrêa da Veiga, e, totalmente, o Ministro Márcio Eurico Vitral Amaro. No mérito, a Subseção, também por maioria, deu provimento ao recurso para condenar a reclamada ao pagamento apenas das progressões por antiguidade, nos termos do contido no PES/94, com reflexos, respeitado o período imprescrito. Vencidos os Ministros Lelio Bentes Corrêa, Luiz Philippe Vieira de Mello Filho, Augusto César Leite de Carvalho, José Roberto Freire Pimenta, Hugo Carlos Scheuermann e Alexandre Agra Belmonte, que davam provimento ao recurso para deferir integralmente ambas as promoções. </w:t>
      </w:r>
      <w:hyperlink r:id="rId12" w:history="1">
        <w:r w:rsidRPr="00266180">
          <w:rPr>
            <w:rStyle w:val="Hyperlink"/>
            <w:rFonts w:ascii="Times New Roman" w:eastAsia="Calibri" w:hAnsi="Times New Roman"/>
            <w:lang w:val="pt-BR" w:eastAsia="en-US"/>
          </w:rPr>
          <w:t>TST-E-RR-1913-15.2011.5.10.0103</w:t>
        </w:r>
      </w:hyperlink>
      <w:r w:rsidRPr="005E0DA1">
        <w:rPr>
          <w:rFonts w:ascii="Times New Roman" w:eastAsia="Calibri" w:hAnsi="Times New Roman" w:cs="Times New Roman"/>
          <w:color w:val="auto"/>
          <w:u w:val="single"/>
          <w:lang w:val="pt-BR" w:eastAsia="en-US"/>
        </w:rPr>
        <w:t>, SBDI-</w:t>
      </w:r>
      <w:r>
        <w:rPr>
          <w:rFonts w:ascii="Times New Roman" w:eastAsia="Calibri" w:hAnsi="Times New Roman" w:cs="Times New Roman"/>
          <w:color w:val="auto"/>
          <w:u w:val="single"/>
          <w:lang w:val="pt-BR" w:eastAsia="en-US"/>
        </w:rPr>
        <w:t xml:space="preserve">I, </w:t>
      </w:r>
      <w:r w:rsidRPr="005E0DA1">
        <w:rPr>
          <w:rFonts w:ascii="Times New Roman" w:eastAsia="Calibri" w:hAnsi="Times New Roman" w:cs="Times New Roman"/>
          <w:color w:val="auto"/>
          <w:u w:val="single"/>
          <w:lang w:val="pt-BR" w:eastAsia="en-US"/>
        </w:rPr>
        <w:t xml:space="preserve">rel. Min. </w:t>
      </w:r>
      <w:r w:rsidRPr="00CE74AF">
        <w:rPr>
          <w:rFonts w:ascii="Times New Roman" w:eastAsia="Calibri" w:hAnsi="Times New Roman" w:cs="Times New Roman"/>
          <w:color w:val="auto"/>
          <w:u w:val="single"/>
          <w:lang w:val="pt-BR" w:eastAsia="en-US"/>
        </w:rPr>
        <w:t>Renato de Lacerda Paiva</w:t>
      </w:r>
      <w:r>
        <w:rPr>
          <w:rFonts w:ascii="Times New Roman" w:eastAsia="Calibri" w:hAnsi="Times New Roman" w:cs="Times New Roman"/>
          <w:color w:val="auto"/>
          <w:u w:val="single"/>
          <w:lang w:val="pt-BR" w:eastAsia="en-US"/>
        </w:rPr>
        <w:t>, 22</w:t>
      </w:r>
      <w:r w:rsidRPr="005E0DA1">
        <w:rPr>
          <w:rFonts w:ascii="Times New Roman" w:eastAsia="Calibri" w:hAnsi="Times New Roman" w:cs="Times New Roman"/>
          <w:color w:val="auto"/>
          <w:u w:val="single"/>
          <w:lang w:val="pt-BR" w:eastAsia="en-US"/>
        </w:rPr>
        <w:t>.5.2014</w:t>
      </w:r>
    </w:p>
    <w:p w:rsidR="00BC1DE7" w:rsidRPr="00266180" w:rsidRDefault="00BC1DE7" w:rsidP="00C71A3B">
      <w:pPr>
        <w:pStyle w:val="Corpo"/>
        <w:spacing w:line="240" w:lineRule="auto"/>
        <w:ind w:firstLine="0"/>
        <w:rPr>
          <w:rFonts w:ascii="Times New Roman" w:hAnsi="Times New Roman" w:cs="Times New Roman"/>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66180" w:rsidRDefault="00266180" w:rsidP="00266180">
      <w:pPr>
        <w:jc w:val="both"/>
        <w:rPr>
          <w:b/>
          <w:i/>
          <w:sz w:val="24"/>
          <w:szCs w:val="24"/>
        </w:rPr>
      </w:pPr>
    </w:p>
    <w:p w:rsidR="00266180" w:rsidRDefault="00266180" w:rsidP="00266180">
      <w:pPr>
        <w:jc w:val="both"/>
        <w:rPr>
          <w:sz w:val="24"/>
          <w:szCs w:val="24"/>
        </w:rPr>
      </w:pPr>
      <w:r>
        <w:rPr>
          <w:b/>
          <w:i/>
          <w:sz w:val="24"/>
          <w:szCs w:val="24"/>
        </w:rPr>
        <w:t>Ação rescisória. Execução. Hasta pública. Arrematação judicial. Complementação do valor do sinal após o prazo de 24 horas.  Violação do art. 888, § 4º, da CLT. Configuração.</w:t>
      </w:r>
    </w:p>
    <w:p w:rsidR="00266180" w:rsidRPr="00DF12AE" w:rsidRDefault="00266180" w:rsidP="00266180">
      <w:pPr>
        <w:jc w:val="both"/>
        <w:rPr>
          <w:sz w:val="24"/>
          <w:szCs w:val="24"/>
        </w:rPr>
      </w:pPr>
      <w:r>
        <w:rPr>
          <w:sz w:val="24"/>
          <w:szCs w:val="24"/>
        </w:rPr>
        <w:t xml:space="preserve">A CLT determina que o arrematante de bem levado à hasta pública deve garantir seu lance com sinal correspondente a 20% do valor da arrematação. Arrematado o bem, o valor deve ser complementado em 24 horas, sob pena de perda do valor do sinal em favor da execução, bem como do retorno do bem executado à praça ou leilão. Assim sendo, reputa-se violado o art. 888, § 4º, da CLT, na hipótese em que o pagamento dos 80% remanescentes ocorreu mais de um ano após a arrematação, em razão de prazo concedido pelo próprio leiloeiro. Com esse entendimento, a SBDI-II, por unanimidade, conheceu do recurso ordinário dos réus, e, no mérito, negou-lhes provimento, mantendo, portanto, a decisão do Regional que julgara procedente a ação rescisória para desconstituir o acórdão proferido em agravo de petição em que homologada a arrematação do bem levado a leilão, não obstante o pagamento tenha ocorrido fora do prazo de 24 horas previsto no art. 888, § 4º, da CLT. </w:t>
      </w:r>
      <w:hyperlink r:id="rId13" w:history="1">
        <w:r w:rsidRPr="00266180">
          <w:rPr>
            <w:rStyle w:val="Hyperlink"/>
            <w:sz w:val="24"/>
            <w:szCs w:val="24"/>
          </w:rPr>
          <w:t>TST-RO-219900-37.2009.5.04.0000</w:t>
        </w:r>
      </w:hyperlink>
      <w:r>
        <w:rPr>
          <w:sz w:val="24"/>
          <w:szCs w:val="24"/>
          <w:u w:val="single"/>
        </w:rPr>
        <w:t>, SBDI-II, rel. Min. Alberto Luiz Bresciani de Fontan Pereira, 20.5.2014</w:t>
      </w:r>
    </w:p>
    <w:p w:rsidR="00266180" w:rsidRDefault="00266180" w:rsidP="00235356">
      <w:pPr>
        <w:jc w:val="both"/>
        <w:rPr>
          <w:rFonts w:cs="Courier New"/>
          <w:sz w:val="24"/>
          <w:szCs w:val="24"/>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26" w:rsidRDefault="00EE7626">
      <w:r>
        <w:separator/>
      </w:r>
    </w:p>
  </w:endnote>
  <w:endnote w:type="continuationSeparator" w:id="0">
    <w:p w:rsidR="00EE7626" w:rsidRDefault="00E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4CA">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FB74C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26" w:rsidRDefault="00EE7626">
      <w:r>
        <w:separator/>
      </w:r>
    </w:p>
  </w:footnote>
  <w:footnote w:type="continuationSeparator" w:id="0">
    <w:p w:rsidR="00EE7626" w:rsidRDefault="00EE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54950">
      <w:rPr>
        <w:shadow/>
        <w:sz w:val="24"/>
        <w:szCs w:val="24"/>
      </w:rPr>
      <w:t>8</w:t>
    </w:r>
    <w:r w:rsidR="00266180">
      <w:rPr>
        <w:shadow/>
        <w:sz w:val="24"/>
        <w:szCs w:val="24"/>
      </w:rPr>
      <w:t>3</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266180">
      <w:rPr>
        <w:sz w:val="20"/>
        <w:szCs w:val="20"/>
      </w:rPr>
      <w:t>20</w:t>
    </w:r>
    <w:r w:rsidR="008D57CB">
      <w:rPr>
        <w:sz w:val="20"/>
        <w:szCs w:val="20"/>
      </w:rPr>
      <w:t xml:space="preserve"> a </w:t>
    </w:r>
    <w:r w:rsidR="00266180">
      <w:rPr>
        <w:sz w:val="20"/>
        <w:szCs w:val="20"/>
      </w:rPr>
      <w:t>26</w:t>
    </w:r>
    <w:r w:rsidR="008D57CB">
      <w:rPr>
        <w:sz w:val="20"/>
        <w:szCs w:val="20"/>
      </w:rPr>
      <w:t xml:space="preserve"> d</w:t>
    </w:r>
    <w:r w:rsidR="00FE00AD" w:rsidRPr="00971E07">
      <w:rPr>
        <w:sz w:val="20"/>
        <w:szCs w:val="20"/>
      </w:rPr>
      <w:t>e ma</w:t>
    </w:r>
    <w:r w:rsidR="00454950">
      <w:rPr>
        <w:sz w:val="20"/>
        <w:szCs w:val="20"/>
      </w:rPr>
      <w:t>io</w:t>
    </w:r>
    <w:r w:rsidR="00FE00AD" w:rsidRPr="00971E07">
      <w:rPr>
        <w:sz w:val="20"/>
        <w:szCs w:val="20"/>
      </w:rPr>
      <w:t xml:space="preserve"> de 20</w:t>
    </w:r>
    <w:r w:rsidR="00E16E01" w:rsidRPr="00971E07">
      <w:rPr>
        <w:sz w:val="20"/>
        <w:szCs w:val="20"/>
      </w:rPr>
      <w:t>1</w:t>
    </w:r>
    <w:r w:rsidR="00454950">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45EE6">
      <w:rPr>
        <w:b/>
        <w:sz w:val="40"/>
        <w:szCs w:val="40"/>
      </w:rPr>
      <w:t>8</w:t>
    </w:r>
    <w:r w:rsidR="00266180">
      <w:rPr>
        <w:b/>
        <w:sz w:val="40"/>
        <w:szCs w:val="40"/>
      </w:rPr>
      <w:t>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266180">
      <w:rPr>
        <w:i/>
        <w:iCs/>
      </w:rPr>
      <w:t xml:space="preserve">20 </w:t>
    </w:r>
    <w:r w:rsidR="008D57CB">
      <w:rPr>
        <w:i/>
        <w:iCs/>
      </w:rPr>
      <w:t xml:space="preserve">a </w:t>
    </w:r>
    <w:r w:rsidR="00266180">
      <w:rPr>
        <w:i/>
        <w:iCs/>
      </w:rPr>
      <w:t>26</w:t>
    </w:r>
    <w:r w:rsidR="008D57CB">
      <w:rPr>
        <w:i/>
        <w:iCs/>
      </w:rPr>
      <w:t xml:space="preserve"> </w:t>
    </w:r>
    <w:r w:rsidR="00A45EE6">
      <w:rPr>
        <w:i/>
        <w:iCs/>
      </w:rPr>
      <w:t>de maio</w:t>
    </w:r>
    <w:r w:rsidR="00FE00AD" w:rsidRPr="005D1DE4">
      <w:rPr>
        <w:i/>
        <w:iCs/>
      </w:rPr>
      <w:t xml:space="preserve"> de 201</w:t>
    </w:r>
    <w:r w:rsidR="00A45EE6">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2FB4"/>
    <w:rsid w:val="00224AC2"/>
    <w:rsid w:val="00235356"/>
    <w:rsid w:val="0023559D"/>
    <w:rsid w:val="002402B0"/>
    <w:rsid w:val="002449F9"/>
    <w:rsid w:val="002635ED"/>
    <w:rsid w:val="00266180"/>
    <w:rsid w:val="002662BA"/>
    <w:rsid w:val="00266D49"/>
    <w:rsid w:val="00271C5C"/>
    <w:rsid w:val="00271E67"/>
    <w:rsid w:val="002730B5"/>
    <w:rsid w:val="00280594"/>
    <w:rsid w:val="00285064"/>
    <w:rsid w:val="00297911"/>
    <w:rsid w:val="002A219D"/>
    <w:rsid w:val="002A546D"/>
    <w:rsid w:val="002B4738"/>
    <w:rsid w:val="002B6377"/>
    <w:rsid w:val="002C2904"/>
    <w:rsid w:val="002E78CB"/>
    <w:rsid w:val="003307C6"/>
    <w:rsid w:val="0033397A"/>
    <w:rsid w:val="00337ECC"/>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4950"/>
    <w:rsid w:val="0045657C"/>
    <w:rsid w:val="004655CC"/>
    <w:rsid w:val="00466DB9"/>
    <w:rsid w:val="00486521"/>
    <w:rsid w:val="0048671E"/>
    <w:rsid w:val="00486DFC"/>
    <w:rsid w:val="004922D6"/>
    <w:rsid w:val="004A14FC"/>
    <w:rsid w:val="004A5264"/>
    <w:rsid w:val="004B21AD"/>
    <w:rsid w:val="004C011C"/>
    <w:rsid w:val="004C14EA"/>
    <w:rsid w:val="004C2118"/>
    <w:rsid w:val="004C2612"/>
    <w:rsid w:val="004C67CE"/>
    <w:rsid w:val="004D6000"/>
    <w:rsid w:val="004D6415"/>
    <w:rsid w:val="004D71E8"/>
    <w:rsid w:val="004E393E"/>
    <w:rsid w:val="004E4507"/>
    <w:rsid w:val="004E45C6"/>
    <w:rsid w:val="004E4619"/>
    <w:rsid w:val="004F0A7D"/>
    <w:rsid w:val="0051538E"/>
    <w:rsid w:val="00517E01"/>
    <w:rsid w:val="00521EEC"/>
    <w:rsid w:val="005460BD"/>
    <w:rsid w:val="00552042"/>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D5148"/>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57CB"/>
    <w:rsid w:val="008D6A05"/>
    <w:rsid w:val="008E2AE5"/>
    <w:rsid w:val="008E3F89"/>
    <w:rsid w:val="008F26CB"/>
    <w:rsid w:val="008F6509"/>
    <w:rsid w:val="008F753A"/>
    <w:rsid w:val="008F79D9"/>
    <w:rsid w:val="009027C8"/>
    <w:rsid w:val="00925ABA"/>
    <w:rsid w:val="0093467A"/>
    <w:rsid w:val="0094155C"/>
    <w:rsid w:val="00951531"/>
    <w:rsid w:val="00960A3B"/>
    <w:rsid w:val="00967DE0"/>
    <w:rsid w:val="00971E07"/>
    <w:rsid w:val="00980944"/>
    <w:rsid w:val="00986D77"/>
    <w:rsid w:val="009943EC"/>
    <w:rsid w:val="0099692E"/>
    <w:rsid w:val="009A32D5"/>
    <w:rsid w:val="009B6012"/>
    <w:rsid w:val="009C102D"/>
    <w:rsid w:val="009C2A4F"/>
    <w:rsid w:val="009D4C59"/>
    <w:rsid w:val="009D7F91"/>
    <w:rsid w:val="009E20EF"/>
    <w:rsid w:val="009E26EE"/>
    <w:rsid w:val="009F21A2"/>
    <w:rsid w:val="00A226E3"/>
    <w:rsid w:val="00A32FBF"/>
    <w:rsid w:val="00A407EA"/>
    <w:rsid w:val="00A45EE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10670"/>
    <w:rsid w:val="00C26DFB"/>
    <w:rsid w:val="00C273FA"/>
    <w:rsid w:val="00C30D06"/>
    <w:rsid w:val="00C42067"/>
    <w:rsid w:val="00C432D0"/>
    <w:rsid w:val="00C4398E"/>
    <w:rsid w:val="00C60B4A"/>
    <w:rsid w:val="00C65BDB"/>
    <w:rsid w:val="00C71A3B"/>
    <w:rsid w:val="00C76CFA"/>
    <w:rsid w:val="00C963F8"/>
    <w:rsid w:val="00C96BB1"/>
    <w:rsid w:val="00CA109E"/>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649E"/>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DF2B8D"/>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E7626"/>
    <w:rsid w:val="00EF11A9"/>
    <w:rsid w:val="00EF38E1"/>
    <w:rsid w:val="00EF749A"/>
    <w:rsid w:val="00EF771E"/>
    <w:rsid w:val="00F02565"/>
    <w:rsid w:val="00F05542"/>
    <w:rsid w:val="00F17A2C"/>
    <w:rsid w:val="00F26708"/>
    <w:rsid w:val="00F511EE"/>
    <w:rsid w:val="00F558E7"/>
    <w:rsid w:val="00F62016"/>
    <w:rsid w:val="00F627ED"/>
    <w:rsid w:val="00F63F44"/>
    <w:rsid w:val="00F6746D"/>
    <w:rsid w:val="00F811CD"/>
    <w:rsid w:val="00F82D8F"/>
    <w:rsid w:val="00F83F62"/>
    <w:rsid w:val="00F918A2"/>
    <w:rsid w:val="00F9711D"/>
    <w:rsid w:val="00FA75E0"/>
    <w:rsid w:val="00FB20B1"/>
    <w:rsid w:val="00FB3AB4"/>
    <w:rsid w:val="00FB74CA"/>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8D57CB"/>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jc w:val="both"/>
    </w:pPr>
    <w:rPr>
      <w:rFonts w:ascii="Times New Roman" w:hAnsi="Times New Roman"/>
      <w:bCs/>
      <w:color w:val="000000"/>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numdef">
    <w:name w:val="numdef"/>
    <w:rsid w:val="00552042"/>
  </w:style>
  <w:style w:type="paragraph" w:customStyle="1" w:styleId="corpo1">
    <w:name w:val="corpo"/>
    <w:basedOn w:val="Normal"/>
    <w:rsid w:val="004C67CE"/>
    <w:pPr>
      <w:autoSpaceDE/>
      <w:autoSpaceDN/>
      <w:spacing w:before="100" w:beforeAutospacing="1" w:after="100" w:afterAutospacing="1"/>
    </w:pPr>
    <w:rPr>
      <w:color w:val="000000"/>
      <w:sz w:val="24"/>
      <w:szCs w:val="24"/>
    </w:rPr>
  </w:style>
  <w:style w:type="character" w:customStyle="1" w:styleId="grame">
    <w:name w:val="grame"/>
    <w:rsid w:val="00A2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700&amp;digitoTst=23&amp;anoTst=2006&amp;orgaoTst=5&amp;tribunalTst=10&amp;varaTst=0005" TargetMode="External"/><Relationship Id="rId13" Type="http://schemas.openxmlformats.org/officeDocument/2006/relationships/hyperlink" Target="https://aplicacao5.tst.jus.br/consultaProcessual/consultaTstNumUnica.do?consulta=Consultar&amp;conscsjt=&amp;numeroTst=219900&amp;digitoTst=37&amp;anoTst=2009&amp;orgaoTst=5&amp;tribunalTst=04&amp;varaTst=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913&amp;digitoTst=15&amp;anoTst=2011&amp;orgaoTst=5&amp;tribunalTst=10&amp;varaTst=01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67300&amp;digitoTst=63&amp;anoTst=2003&amp;orgaoTst=5&amp;tribunalTst=17&amp;varaTst=0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licacao5.tst.jus.br/consultaProcessual/consultaTstNumUnica.do?consulta=Consultar&amp;conscsjt=&amp;numeroTst=214940&amp;digitoTst=39&amp;anoTst=2006&amp;orgaoTst=5&amp;tribunalTst=02&amp;varaTst=04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10900&amp;digitoTst=27&amp;anoTst=2000&amp;orgaoTst=5&amp;tribunalTst=09&amp;varaTst=0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1F07-D040-4AA5-B0C0-A8ADFA43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1986</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12686</CharactersWithSpaces>
  <SharedDoc>false</SharedDoc>
  <HLinks>
    <vt:vector size="36" baseType="variant">
      <vt:variant>
        <vt:i4>5898307</vt:i4>
      </vt:variant>
      <vt:variant>
        <vt:i4>15</vt:i4>
      </vt:variant>
      <vt:variant>
        <vt:i4>0</vt:i4>
      </vt:variant>
      <vt:variant>
        <vt:i4>5</vt:i4>
      </vt:variant>
      <vt:variant>
        <vt:lpwstr>https://aplicacao5.tst.jus.br/consultaProcessual/consultaTstNumUnica.do?consulta=Consultar&amp;conscsjt=&amp;numeroTst=219900&amp;digitoTst=37&amp;anoTst=2009&amp;orgaoTst=5&amp;tribunalTst=04&amp;varaTst=0000</vt:lpwstr>
      </vt:variant>
      <vt:variant>
        <vt:lpwstr/>
      </vt:variant>
      <vt:variant>
        <vt:i4>7274610</vt:i4>
      </vt:variant>
      <vt:variant>
        <vt:i4>12</vt:i4>
      </vt:variant>
      <vt:variant>
        <vt:i4>0</vt:i4>
      </vt:variant>
      <vt:variant>
        <vt:i4>5</vt:i4>
      </vt:variant>
      <vt:variant>
        <vt:lpwstr>https://aplicacao5.tst.jus.br/consultaProcessual/consultaTstNumUnica.do?consulta=Consultar&amp;conscsjt=&amp;numeroTst=1913&amp;digitoTst=15&amp;anoTst=2011&amp;orgaoTst=5&amp;tribunalTst=10&amp;varaTst=0103</vt:lpwstr>
      </vt:variant>
      <vt:variant>
        <vt:lpwstr/>
      </vt:variant>
      <vt:variant>
        <vt:i4>1048580</vt:i4>
      </vt:variant>
      <vt:variant>
        <vt:i4>9</vt:i4>
      </vt:variant>
      <vt:variant>
        <vt:i4>0</vt:i4>
      </vt:variant>
      <vt:variant>
        <vt:i4>5</vt:i4>
      </vt:variant>
      <vt:variant>
        <vt:lpwstr>https://aplicacao5.tst.jus.br/consultaProcessual/consultaTstNumUnica.do?consulta=Consultar&amp;conscsjt=&amp;numeroTst=67300&amp;digitoTst=63&amp;anoTst=2003&amp;orgaoTst=5&amp;tribunalTst=17&amp;varaTst=0005</vt:lpwstr>
      </vt:variant>
      <vt:variant>
        <vt:lpwstr/>
      </vt:variant>
      <vt:variant>
        <vt:i4>5439559</vt:i4>
      </vt:variant>
      <vt:variant>
        <vt:i4>6</vt:i4>
      </vt:variant>
      <vt:variant>
        <vt:i4>0</vt:i4>
      </vt:variant>
      <vt:variant>
        <vt:i4>5</vt:i4>
      </vt:variant>
      <vt:variant>
        <vt:lpwstr>https://aplicacao5.tst.jus.br/consultaProcessual/consultaTstNumUnica.do?consulta=Consultar&amp;conscsjt=&amp;numeroTst=214940&amp;digitoTst=39&amp;anoTst=2006&amp;orgaoTst=5&amp;tribunalTst=02&amp;varaTst=0472</vt:lpwstr>
      </vt:variant>
      <vt:variant>
        <vt:lpwstr/>
      </vt:variant>
      <vt:variant>
        <vt:i4>5570626</vt:i4>
      </vt:variant>
      <vt:variant>
        <vt:i4>3</vt:i4>
      </vt:variant>
      <vt:variant>
        <vt:i4>0</vt:i4>
      </vt:variant>
      <vt:variant>
        <vt:i4>5</vt:i4>
      </vt:variant>
      <vt:variant>
        <vt:lpwstr>https://aplicacao5.tst.jus.br/consultaProcessual/consultaTstNumUnica.do?consulta=Consultar&amp;conscsjt=&amp;numeroTst=210900&amp;digitoTst=27&amp;anoTst=2000&amp;orgaoTst=5&amp;tribunalTst=09&amp;varaTst=0020</vt:lpwstr>
      </vt:variant>
      <vt:variant>
        <vt:lpwstr/>
      </vt:variant>
      <vt:variant>
        <vt:i4>7078012</vt:i4>
      </vt:variant>
      <vt:variant>
        <vt:i4>0</vt:i4>
      </vt:variant>
      <vt:variant>
        <vt:i4>0</vt:i4>
      </vt:variant>
      <vt:variant>
        <vt:i4>5</vt:i4>
      </vt:variant>
      <vt:variant>
        <vt:lpwstr>https://aplicacao5.tst.jus.br/consultaProcessual/consultaTstNumUnica.do?consulta=Consultar&amp;conscsjt=&amp;numeroTst=2700&amp;digitoTst=23&amp;anoTst=2006&amp;orgaoTst=5&amp;tribunalTst=10&amp;varaTst=0005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2014-06-02T15:43:00Z</cp:lastPrinted>
  <dcterms:created xsi:type="dcterms:W3CDTF">2018-06-27T21:47:00Z</dcterms:created>
  <dcterms:modified xsi:type="dcterms:W3CDTF">2018-06-27T21:47:00Z</dcterms:modified>
</cp:coreProperties>
</file>