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B1" w:rsidRPr="00FB20B1" w:rsidRDefault="00FB20B1">
      <w:pPr>
        <w:rPr>
          <w:sz w:val="10"/>
          <w:szCs w:val="10"/>
        </w:rPr>
      </w:pPr>
      <w:bookmarkStart w:id="0" w:name="_GoBack"/>
      <w:bookmarkEnd w:id="0"/>
    </w:p>
    <w:tbl>
      <w:tblPr>
        <w:tblW w:w="953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8"/>
      </w:tblGrid>
      <w:tr w:rsidR="00C26DFB" w:rsidRPr="00187A37" w:rsidTr="00FB20B1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9538" w:type="dxa"/>
          </w:tcPr>
          <w:p w:rsidR="00C26DFB" w:rsidRPr="001B7D2B" w:rsidRDefault="00C26DFB" w:rsidP="00DC50EB">
            <w:pPr>
              <w:pStyle w:val="Cabealho"/>
              <w:tabs>
                <w:tab w:val="clear" w:pos="4419"/>
                <w:tab w:val="clear" w:pos="8838"/>
              </w:tabs>
              <w:jc w:val="both"/>
              <w:rPr>
                <w:rFonts w:ascii="Times New Roman" w:hAnsi="Times New Roman"/>
                <w:sz w:val="10"/>
                <w:szCs w:val="10"/>
                <w:lang w:val="pt-BR" w:eastAsia="pt-BR"/>
              </w:rPr>
            </w:pPr>
            <w:r w:rsidRPr="001B7D2B">
              <w:rPr>
                <w:rFonts w:ascii="Times New Roman" w:hAnsi="Times New Roman"/>
                <w:sz w:val="16"/>
                <w:szCs w:val="16"/>
                <w:lang w:val="pt-BR" w:eastAsia="pt-BR"/>
              </w:rPr>
              <w:t>Este Informativo, elaborado a partir de notas tomadas nas sessões de julgamentos, contém resumos não</w:t>
            </w:r>
            <w:r w:rsidR="00DC50EB" w:rsidRPr="001B7D2B">
              <w:rPr>
                <w:rFonts w:ascii="Times New Roman" w:hAnsi="Times New Roman"/>
                <w:sz w:val="16"/>
                <w:szCs w:val="16"/>
                <w:lang w:val="pt-BR" w:eastAsia="pt-BR"/>
              </w:rPr>
              <w:t xml:space="preserve"> </w:t>
            </w:r>
            <w:r w:rsidRPr="001B7D2B">
              <w:rPr>
                <w:rFonts w:ascii="Times New Roman" w:hAnsi="Times New Roman"/>
                <w:sz w:val="16"/>
                <w:szCs w:val="16"/>
                <w:lang w:val="pt-BR" w:eastAsia="pt-BR"/>
              </w:rPr>
              <w:t>oficiais de decisões proferidas pelo Tribunal. A fidelidade dos resumos ao conteúdo efetivo das decisões, embora seja uma das metas perseguidas neste trabalho, somente poderá ser aferida após a sua publicação no Diário</w:t>
            </w:r>
            <w:r w:rsidR="00980944" w:rsidRPr="001B7D2B">
              <w:rPr>
                <w:rFonts w:ascii="Times New Roman" w:hAnsi="Times New Roman"/>
                <w:sz w:val="16"/>
                <w:szCs w:val="16"/>
                <w:lang w:val="pt-BR" w:eastAsia="pt-BR"/>
              </w:rPr>
              <w:t xml:space="preserve"> Eletrônico </w:t>
            </w:r>
            <w:r w:rsidRPr="001B7D2B">
              <w:rPr>
                <w:rFonts w:ascii="Times New Roman" w:hAnsi="Times New Roman"/>
                <w:sz w:val="16"/>
                <w:szCs w:val="16"/>
                <w:lang w:val="pt-BR" w:eastAsia="pt-BR"/>
              </w:rPr>
              <w:t>da Justiça</w:t>
            </w:r>
            <w:r w:rsidR="00980944" w:rsidRPr="001B7D2B">
              <w:rPr>
                <w:rFonts w:ascii="Times New Roman" w:hAnsi="Times New Roman"/>
                <w:sz w:val="16"/>
                <w:szCs w:val="16"/>
                <w:lang w:val="pt-BR" w:eastAsia="pt-BR"/>
              </w:rPr>
              <w:t xml:space="preserve"> do Trabalho</w:t>
            </w:r>
            <w:r w:rsidRPr="001B7D2B">
              <w:rPr>
                <w:rFonts w:ascii="Times New Roman" w:hAnsi="Times New Roman"/>
                <w:sz w:val="16"/>
                <w:szCs w:val="16"/>
                <w:lang w:val="pt-BR" w:eastAsia="pt-BR"/>
              </w:rPr>
              <w:t>.</w:t>
            </w:r>
          </w:p>
        </w:tc>
      </w:tr>
    </w:tbl>
    <w:p w:rsidR="00C71A3B" w:rsidRPr="00D50387" w:rsidRDefault="00C71A3B" w:rsidP="00F82D8F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shadow/>
          <w:color w:val="auto"/>
          <w:sz w:val="10"/>
          <w:szCs w:val="10"/>
          <w:lang w:val="pt-BR"/>
        </w:rPr>
      </w:pPr>
    </w:p>
    <w:p w:rsidR="00D50387" w:rsidRPr="00971E07" w:rsidRDefault="00D50387" w:rsidP="00D50387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  <w:t>TRIBUNAL PLENO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ab/>
      </w:r>
    </w:p>
    <w:p w:rsidR="00D50387" w:rsidRPr="00D85D1B" w:rsidRDefault="00D50387" w:rsidP="00D50387">
      <w:pPr>
        <w:pStyle w:val="Corpodetexto2"/>
        <w:rPr>
          <w:bCs/>
          <w:iCs/>
          <w:color w:val="000000"/>
          <w:sz w:val="10"/>
          <w:szCs w:val="10"/>
        </w:rPr>
      </w:pPr>
    </w:p>
    <w:p w:rsidR="00D50387" w:rsidRDefault="00D50387" w:rsidP="00D50387">
      <w:pPr>
        <w:pStyle w:val="Corpodetexto2"/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O Tribunal Pleno, na sessão extraordinária do dia 11.12.2013, aprovou as seguintes modificações na jurisprudência da Corte, ainda pendentes de publicação:</w:t>
      </w:r>
    </w:p>
    <w:p w:rsidR="00D50387" w:rsidRPr="00D50387" w:rsidRDefault="00D50387" w:rsidP="00D50387">
      <w:pPr>
        <w:autoSpaceDE/>
        <w:autoSpaceDN/>
        <w:rPr>
          <w:sz w:val="10"/>
          <w:szCs w:val="10"/>
        </w:rPr>
      </w:pPr>
    </w:p>
    <w:p w:rsidR="00D50387" w:rsidRPr="00D50387" w:rsidRDefault="00D50387" w:rsidP="00ED676E">
      <w:pPr>
        <w:autoSpaceDE/>
        <w:autoSpaceDN/>
        <w:jc w:val="both"/>
        <w:rPr>
          <w:b/>
          <w:caps/>
          <w:sz w:val="24"/>
          <w:szCs w:val="24"/>
        </w:rPr>
      </w:pPr>
      <w:r w:rsidRPr="00D50387">
        <w:rPr>
          <w:b/>
          <w:caps/>
          <w:sz w:val="24"/>
          <w:szCs w:val="24"/>
        </w:rPr>
        <w:t xml:space="preserve">Súmula nº 288 </w:t>
      </w:r>
    </w:p>
    <w:p w:rsidR="00D50387" w:rsidRPr="00A42A9E" w:rsidRDefault="00D50387" w:rsidP="00ED676E">
      <w:pPr>
        <w:autoSpaceDE/>
        <w:autoSpaceDN/>
        <w:jc w:val="both"/>
        <w:rPr>
          <w:b/>
          <w:spacing w:val="-2"/>
          <w:sz w:val="24"/>
          <w:szCs w:val="24"/>
        </w:rPr>
      </w:pPr>
      <w:r w:rsidRPr="00D50387">
        <w:rPr>
          <w:sz w:val="24"/>
          <w:szCs w:val="24"/>
        </w:rPr>
        <w:t>COMPLEMENTAÇÃO</w:t>
      </w:r>
      <w:r>
        <w:rPr>
          <w:sz w:val="24"/>
          <w:szCs w:val="24"/>
        </w:rPr>
        <w:t xml:space="preserve"> DOS PROVENTOS DA APOSENTADORIA </w:t>
      </w:r>
      <w:r w:rsidR="00A42A9E" w:rsidRPr="00A42A9E">
        <w:rPr>
          <w:b/>
          <w:spacing w:val="-2"/>
          <w:sz w:val="24"/>
          <w:szCs w:val="24"/>
        </w:rPr>
        <w:t xml:space="preserve">(inserido </w:t>
      </w:r>
      <w:r w:rsidR="00C07E5C" w:rsidRPr="00A42A9E">
        <w:rPr>
          <w:b/>
          <w:spacing w:val="-2"/>
          <w:sz w:val="24"/>
          <w:szCs w:val="24"/>
        </w:rPr>
        <w:t>item II à redação)</w:t>
      </w:r>
    </w:p>
    <w:p w:rsidR="00D50387" w:rsidRPr="00D50387" w:rsidRDefault="00D50387" w:rsidP="00ED676E">
      <w:pPr>
        <w:autoSpaceDE/>
        <w:autoSpaceDN/>
        <w:jc w:val="both"/>
        <w:rPr>
          <w:sz w:val="24"/>
          <w:szCs w:val="24"/>
        </w:rPr>
      </w:pPr>
      <w:r w:rsidRPr="00D50387">
        <w:rPr>
          <w:sz w:val="24"/>
          <w:szCs w:val="24"/>
        </w:rPr>
        <w:t>I - A complementação dos proventos da aposentadoria é regida pelas normas em vigor na data da admissão do empregado, observando-se as alterações posteriores desde que mais favoráveis ao beneficiário do direito.</w:t>
      </w:r>
    </w:p>
    <w:p w:rsidR="00D50387" w:rsidRPr="00D50387" w:rsidRDefault="00D50387" w:rsidP="00ED676E">
      <w:pPr>
        <w:autoSpaceDE/>
        <w:autoSpaceDN/>
        <w:jc w:val="both"/>
        <w:rPr>
          <w:sz w:val="24"/>
          <w:szCs w:val="24"/>
        </w:rPr>
      </w:pPr>
      <w:r w:rsidRPr="00D50387">
        <w:rPr>
          <w:sz w:val="24"/>
          <w:szCs w:val="24"/>
        </w:rPr>
        <w:t>II - Na hipótese de coexistência de dois regulamentos de planos de previdência complementar, instituídos pelo empregador ou por entidade de previdência privada, a opção do beneficiário por um deles tem efeito jurídico de renúncia às regras do outro.</w:t>
      </w:r>
    </w:p>
    <w:p w:rsidR="00D50387" w:rsidRPr="00D50387" w:rsidRDefault="00D50387" w:rsidP="00D50387">
      <w:pPr>
        <w:autoSpaceDE/>
        <w:autoSpaceDN/>
        <w:jc w:val="both"/>
        <w:rPr>
          <w:sz w:val="10"/>
          <w:szCs w:val="10"/>
        </w:rPr>
      </w:pPr>
    </w:p>
    <w:p w:rsidR="00D50387" w:rsidRPr="00D50387" w:rsidRDefault="00D50387" w:rsidP="00D50387">
      <w:pPr>
        <w:autoSpaceDE/>
        <w:autoSpaceDN/>
        <w:jc w:val="both"/>
        <w:rPr>
          <w:sz w:val="24"/>
          <w:szCs w:val="24"/>
        </w:rPr>
      </w:pPr>
      <w:r w:rsidRPr="00D50387">
        <w:rPr>
          <w:b/>
          <w:caps/>
          <w:sz w:val="24"/>
          <w:szCs w:val="24"/>
        </w:rPr>
        <w:t>Súmula nº 392</w:t>
      </w:r>
      <w:r>
        <w:rPr>
          <w:sz w:val="24"/>
          <w:szCs w:val="24"/>
        </w:rPr>
        <w:t xml:space="preserve"> </w:t>
      </w:r>
    </w:p>
    <w:p w:rsidR="00D50387" w:rsidRPr="00D50387" w:rsidRDefault="00D50387" w:rsidP="00D50387">
      <w:pPr>
        <w:autoSpaceDE/>
        <w:autoSpaceDN/>
        <w:jc w:val="both"/>
        <w:rPr>
          <w:sz w:val="24"/>
          <w:szCs w:val="24"/>
        </w:rPr>
      </w:pPr>
      <w:r w:rsidRPr="00D50387">
        <w:rPr>
          <w:sz w:val="24"/>
          <w:szCs w:val="24"/>
        </w:rPr>
        <w:t xml:space="preserve">DANO MORAL E MATERIAL. RELAÇÃO DE TRABALHO. COMPETÊNCIA DA JUSTIÇA DO TRABALHO. </w:t>
      </w:r>
      <w:r w:rsidRPr="00263F47">
        <w:rPr>
          <w:b/>
          <w:sz w:val="24"/>
          <w:szCs w:val="24"/>
        </w:rPr>
        <w:t>(redação alterada)</w:t>
      </w:r>
    </w:p>
    <w:p w:rsidR="00D50387" w:rsidRPr="00D50387" w:rsidRDefault="00D50387" w:rsidP="00D50387">
      <w:pPr>
        <w:autoSpaceDE/>
        <w:autoSpaceDN/>
        <w:jc w:val="both"/>
        <w:rPr>
          <w:sz w:val="24"/>
          <w:szCs w:val="24"/>
        </w:rPr>
      </w:pPr>
      <w:r w:rsidRPr="00D50387">
        <w:rPr>
          <w:sz w:val="24"/>
          <w:szCs w:val="24"/>
        </w:rPr>
        <w:t>Nos termos do art. 114, inc. VI, da Constituição da República, a Justiça do Trabalho é competente para processar e julgar ações de indenização por dano moral e material, decorrentes da relação de trabalho, inclusive as oriundas de acidente de trabalho e doenças a ele equiparadas.</w:t>
      </w:r>
    </w:p>
    <w:p w:rsidR="00D50387" w:rsidRPr="00D50387" w:rsidRDefault="00D50387" w:rsidP="00D50387">
      <w:pPr>
        <w:autoSpaceDE/>
        <w:autoSpaceDN/>
        <w:jc w:val="both"/>
        <w:rPr>
          <w:sz w:val="10"/>
          <w:szCs w:val="10"/>
        </w:rPr>
      </w:pPr>
    </w:p>
    <w:p w:rsidR="00D50387" w:rsidRPr="00D50387" w:rsidRDefault="00D50387" w:rsidP="00D50387">
      <w:pPr>
        <w:autoSpaceDE/>
        <w:autoSpaceDN/>
        <w:jc w:val="both"/>
        <w:rPr>
          <w:b/>
          <w:caps/>
          <w:sz w:val="24"/>
          <w:szCs w:val="24"/>
        </w:rPr>
      </w:pPr>
      <w:r w:rsidRPr="00D50387">
        <w:rPr>
          <w:b/>
          <w:caps/>
          <w:sz w:val="24"/>
          <w:szCs w:val="24"/>
        </w:rPr>
        <w:t>Súmula nº 446</w:t>
      </w:r>
    </w:p>
    <w:p w:rsidR="00D50387" w:rsidRPr="00D50387" w:rsidRDefault="00D50387" w:rsidP="00ED676E">
      <w:pPr>
        <w:autoSpaceDE/>
        <w:autoSpaceDN/>
        <w:jc w:val="both"/>
        <w:rPr>
          <w:sz w:val="24"/>
          <w:szCs w:val="24"/>
        </w:rPr>
      </w:pPr>
      <w:r w:rsidRPr="00D50387">
        <w:rPr>
          <w:sz w:val="24"/>
          <w:szCs w:val="24"/>
        </w:rPr>
        <w:t xml:space="preserve">MAQUINISTA FERROVIÁRIO. INTERVALO INTRAJORNADA. SUPRESSÃO PARCIAL OU TOTAL. HORAS EXTRAS DEVIDAS. COMPATIBILIDADE ENTRE OS ARTS 71, § 4º, E 238, § 5º, DA CLT. </w:t>
      </w:r>
    </w:p>
    <w:p w:rsidR="00D50387" w:rsidRPr="00D50387" w:rsidRDefault="00D50387" w:rsidP="00ED676E">
      <w:pPr>
        <w:autoSpaceDE/>
        <w:autoSpaceDN/>
        <w:jc w:val="both"/>
        <w:rPr>
          <w:sz w:val="24"/>
          <w:szCs w:val="24"/>
        </w:rPr>
      </w:pPr>
      <w:r w:rsidRPr="00D50387">
        <w:rPr>
          <w:sz w:val="24"/>
          <w:szCs w:val="24"/>
        </w:rPr>
        <w:t>A garantia ao intervalo intrajornada, prevista no art. 71 da CLT, por constituir-se em medida de higiene, saúde e segurança do empregado, é aplicável também ao ferroviário maquinista integrante da categoria “c” (equipagem de trem em geral), não havendo incompatibilidade entre as regras inscritas nos arts. 71, § 4º, e 238, § 5º, da CLT.</w:t>
      </w:r>
    </w:p>
    <w:p w:rsidR="00D50387" w:rsidRPr="00D50387" w:rsidRDefault="00D50387" w:rsidP="00D50387">
      <w:pPr>
        <w:autoSpaceDE/>
        <w:autoSpaceDN/>
        <w:jc w:val="both"/>
        <w:rPr>
          <w:sz w:val="10"/>
          <w:szCs w:val="10"/>
        </w:rPr>
      </w:pPr>
    </w:p>
    <w:p w:rsidR="00D50387" w:rsidRPr="00D50387" w:rsidRDefault="00D50387" w:rsidP="00D50387">
      <w:pPr>
        <w:autoSpaceDE/>
        <w:autoSpaceDN/>
        <w:jc w:val="both"/>
        <w:rPr>
          <w:b/>
          <w:caps/>
          <w:sz w:val="24"/>
          <w:szCs w:val="24"/>
        </w:rPr>
      </w:pPr>
      <w:r w:rsidRPr="00D50387">
        <w:rPr>
          <w:b/>
          <w:caps/>
          <w:sz w:val="24"/>
          <w:szCs w:val="24"/>
        </w:rPr>
        <w:t>Súmula nº 447</w:t>
      </w:r>
    </w:p>
    <w:p w:rsidR="00D50387" w:rsidRPr="00D50387" w:rsidRDefault="00D50387" w:rsidP="00D50387">
      <w:pPr>
        <w:autoSpaceDE/>
        <w:autoSpaceDN/>
        <w:jc w:val="both"/>
        <w:rPr>
          <w:sz w:val="24"/>
          <w:szCs w:val="24"/>
        </w:rPr>
      </w:pPr>
      <w:r w:rsidRPr="00D50387">
        <w:rPr>
          <w:sz w:val="24"/>
          <w:szCs w:val="24"/>
        </w:rPr>
        <w:t xml:space="preserve">ADICIONAL DE PERICULOSIDADE. PERMANÊNCIA A BORDO DURANTE O ABASTECIMENTO DA AERONAVE. INDEVIDO. </w:t>
      </w:r>
    </w:p>
    <w:p w:rsidR="00D50387" w:rsidRPr="00D50387" w:rsidRDefault="00D50387" w:rsidP="00D50387">
      <w:pPr>
        <w:autoSpaceDE/>
        <w:autoSpaceDN/>
        <w:jc w:val="both"/>
        <w:rPr>
          <w:sz w:val="24"/>
          <w:szCs w:val="24"/>
        </w:rPr>
      </w:pPr>
      <w:r w:rsidRPr="00D50387">
        <w:rPr>
          <w:sz w:val="24"/>
          <w:szCs w:val="24"/>
        </w:rPr>
        <w:t>Os tripulantes e demais empregados em serviços auxiliares de transporte aéreo que, no momento do abastecimento da aeronave, permanecem a bordo não têm direito ao adicional de periculosidade a que aludem o art. 193 da CLT e o Anexo 2, item 1, “c”, da NR 16 do MTE.</w:t>
      </w:r>
    </w:p>
    <w:p w:rsidR="00D50387" w:rsidRPr="00D85D1B" w:rsidRDefault="00D50387" w:rsidP="00F82D8F">
      <w:pPr>
        <w:pStyle w:val="Corpo"/>
        <w:spacing w:line="240" w:lineRule="auto"/>
        <w:ind w:firstLine="0"/>
        <w:rPr>
          <w:rFonts w:ascii="Times New Roman" w:hAnsi="Times New Roman" w:cs="Times New Roman"/>
          <w:b/>
          <w:bCs/>
          <w:shadow/>
          <w:color w:val="auto"/>
          <w:sz w:val="10"/>
          <w:szCs w:val="10"/>
          <w:lang w:val="pt-BR"/>
        </w:rPr>
      </w:pPr>
    </w:p>
    <w:p w:rsidR="00631F1C" w:rsidRPr="00971E07" w:rsidRDefault="00631F1C" w:rsidP="00631F1C">
      <w:pPr>
        <w:pStyle w:val="Corp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B8CCE4" w:fill="B8CCE4"/>
        <w:tabs>
          <w:tab w:val="center" w:pos="4819"/>
          <w:tab w:val="left" w:pos="6759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</w:pP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S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UBSEÇÃO I </w:t>
      </w:r>
      <w:r w:rsidRPr="00971E07"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 xml:space="preserve">ESPECIALIZADA EM DISSÍDIOS </w:t>
      </w:r>
      <w:r>
        <w:rPr>
          <w:rFonts w:ascii="Times New Roman" w:hAnsi="Times New Roman" w:cs="Times New Roman"/>
          <w:b/>
          <w:bCs/>
          <w:shadow/>
          <w:color w:val="auto"/>
          <w:sz w:val="26"/>
          <w:szCs w:val="26"/>
          <w:lang w:val="pt-BR"/>
        </w:rPr>
        <w:t>INDIVIDUAIS</w:t>
      </w:r>
    </w:p>
    <w:p w:rsidR="00826B18" w:rsidRPr="00D85D1B" w:rsidRDefault="00826B18" w:rsidP="00513C7D">
      <w:pPr>
        <w:ind w:right="-567"/>
        <w:jc w:val="both"/>
        <w:rPr>
          <w:b/>
          <w:i/>
          <w:sz w:val="10"/>
          <w:szCs w:val="10"/>
        </w:rPr>
      </w:pPr>
    </w:p>
    <w:p w:rsidR="0046668A" w:rsidRPr="0046668A" w:rsidRDefault="0046668A" w:rsidP="0046668A">
      <w:pPr>
        <w:jc w:val="both"/>
        <w:rPr>
          <w:b/>
          <w:i/>
          <w:sz w:val="24"/>
          <w:szCs w:val="24"/>
        </w:rPr>
      </w:pPr>
      <w:r w:rsidRPr="0046668A">
        <w:rPr>
          <w:b/>
          <w:i/>
          <w:sz w:val="24"/>
          <w:szCs w:val="24"/>
        </w:rPr>
        <w:t>Empregado rural. Atividade de corte de cana-de-açúcar. Pausa para descanso. Obrigatoriedade. Norma Regulamentar nº 31 do Ministério do Trabalho e Emprego. Aplicação analógica do art. 72 da CLT. Possibilidade.</w:t>
      </w:r>
    </w:p>
    <w:p w:rsidR="0046668A" w:rsidRPr="003B693B" w:rsidRDefault="0046668A" w:rsidP="002923A9">
      <w:pPr>
        <w:jc w:val="both"/>
        <w:rPr>
          <w:sz w:val="24"/>
          <w:szCs w:val="24"/>
          <w:u w:val="single"/>
        </w:rPr>
      </w:pPr>
      <w:r w:rsidRPr="0046668A">
        <w:rPr>
          <w:sz w:val="24"/>
          <w:szCs w:val="24"/>
        </w:rPr>
        <w:t xml:space="preserve">Aos empregados rurais que trabalham no corte de cana-de-açúcar aplica-se, por analogia, o disposto no art. 72 da CLT, que garante um intervalo de dez minutos a cada período de noventa minutos de trabalho consecutivo nos serviços permanentes de mecanografia. Isso porque a Norma Regulamentar nº 31 do Ministério do Trabalho e Emprego, apesar de estabelecer a obrigatoriedade </w:t>
      </w:r>
      <w:r w:rsidRPr="0046668A">
        <w:rPr>
          <w:sz w:val="24"/>
          <w:szCs w:val="24"/>
        </w:rPr>
        <w:lastRenderedPageBreak/>
        <w:t xml:space="preserve">de concessão de pausas para descanso aos trabalhadores rurais que realizem atividades em pé ou submetam-se à sobrecarga muscular, não especifica as condições ou o tempo de duração dos períodos de repouso. Com base nesse entendimento, a SBDI-I, por unanimidade, conheceu dos embargos do reclamante, por divergência jurisprudencial, e, no mérito, deu-lhes provimento para acrescer à condenação o pagamento de 10 minutos a cada 90 minutos de trabalho como extras, com acréscimo de 50% sobre o valor da remuneração da hora normal de trabalho, com os reflexos postulados nas prestações contratuais vinculadas ao salário. </w:t>
      </w:r>
      <w:hyperlink r:id="rId8" w:history="1">
        <w:r w:rsidRPr="00732003">
          <w:rPr>
            <w:rStyle w:val="Hyperlink"/>
            <w:sz w:val="24"/>
            <w:szCs w:val="24"/>
          </w:rPr>
          <w:t>TS</w:t>
        </w:r>
        <w:r w:rsidRPr="00732003">
          <w:rPr>
            <w:rStyle w:val="Hyperlink"/>
            <w:sz w:val="24"/>
            <w:szCs w:val="24"/>
          </w:rPr>
          <w:t>T</w:t>
        </w:r>
        <w:r w:rsidRPr="00732003">
          <w:rPr>
            <w:rStyle w:val="Hyperlink"/>
            <w:sz w:val="24"/>
            <w:szCs w:val="24"/>
          </w:rPr>
          <w:t>-E-R</w:t>
        </w:r>
        <w:r w:rsidRPr="00732003">
          <w:rPr>
            <w:rStyle w:val="Hyperlink"/>
            <w:sz w:val="24"/>
            <w:szCs w:val="24"/>
          </w:rPr>
          <w:t>R</w:t>
        </w:r>
        <w:r w:rsidRPr="00732003">
          <w:rPr>
            <w:rStyle w:val="Hyperlink"/>
            <w:sz w:val="24"/>
            <w:szCs w:val="24"/>
          </w:rPr>
          <w:t>-</w:t>
        </w:r>
        <w:r w:rsidRPr="00732003">
          <w:rPr>
            <w:rStyle w:val="Hyperlink"/>
            <w:sz w:val="24"/>
            <w:szCs w:val="24"/>
          </w:rPr>
          <w:t>9</w:t>
        </w:r>
        <w:r w:rsidRPr="00732003">
          <w:rPr>
            <w:rStyle w:val="Hyperlink"/>
            <w:sz w:val="24"/>
            <w:szCs w:val="24"/>
          </w:rPr>
          <w:t>12-26</w:t>
        </w:r>
        <w:r w:rsidRPr="00732003">
          <w:rPr>
            <w:rStyle w:val="Hyperlink"/>
            <w:sz w:val="24"/>
            <w:szCs w:val="24"/>
          </w:rPr>
          <w:t>.</w:t>
        </w:r>
        <w:r w:rsidRPr="00732003">
          <w:rPr>
            <w:rStyle w:val="Hyperlink"/>
            <w:sz w:val="24"/>
            <w:szCs w:val="24"/>
          </w:rPr>
          <w:t>2010.5.15.0156</w:t>
        </w:r>
      </w:hyperlink>
      <w:r w:rsidRPr="003B693B">
        <w:rPr>
          <w:sz w:val="24"/>
          <w:szCs w:val="24"/>
          <w:u w:val="single"/>
        </w:rPr>
        <w:t>, SBDI-I, rel. Min. João Oreste Dalazen, 5.12.2013</w:t>
      </w:r>
    </w:p>
    <w:p w:rsidR="0046668A" w:rsidRPr="00D85D1B" w:rsidRDefault="0046668A" w:rsidP="0046668A">
      <w:pPr>
        <w:jc w:val="both"/>
        <w:rPr>
          <w:sz w:val="10"/>
          <w:szCs w:val="10"/>
          <w:u w:val="single"/>
        </w:rPr>
      </w:pPr>
    </w:p>
    <w:p w:rsidR="00826B18" w:rsidRPr="00826B18" w:rsidRDefault="00826B18" w:rsidP="00513C7D">
      <w:pPr>
        <w:jc w:val="both"/>
        <w:rPr>
          <w:b/>
          <w:i/>
          <w:sz w:val="24"/>
          <w:szCs w:val="24"/>
        </w:rPr>
      </w:pPr>
      <w:r w:rsidRPr="00826B18">
        <w:rPr>
          <w:b/>
          <w:i/>
          <w:sz w:val="24"/>
          <w:szCs w:val="24"/>
        </w:rPr>
        <w:t>Equiparação salarial. Impossibilidade. Municípios que têm condições urbanísticas e socioeconômicas semelhantes, mas não pertencem à mesma região metropolitana. Súmula nº 6, X, do TST e art. 461 da CLT.</w:t>
      </w:r>
    </w:p>
    <w:p w:rsidR="00513C7D" w:rsidRDefault="00513C7D" w:rsidP="00513C7D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 </w:t>
      </w:r>
      <w:r w:rsidRPr="00FA358F">
        <w:rPr>
          <w:sz w:val="24"/>
          <w:szCs w:val="24"/>
        </w:rPr>
        <w:t xml:space="preserve">simples semelhança </w:t>
      </w:r>
      <w:r>
        <w:rPr>
          <w:sz w:val="24"/>
          <w:szCs w:val="24"/>
        </w:rPr>
        <w:t xml:space="preserve">entre </w:t>
      </w:r>
      <w:r w:rsidRPr="00FA358F">
        <w:rPr>
          <w:sz w:val="24"/>
          <w:szCs w:val="24"/>
        </w:rPr>
        <w:t xml:space="preserve">as condições urbanísticas e socioeconômicas de municípios diferentes </w:t>
      </w:r>
      <w:r>
        <w:rPr>
          <w:sz w:val="24"/>
          <w:szCs w:val="24"/>
        </w:rPr>
        <w:t>não é</w:t>
      </w:r>
      <w:r w:rsidRPr="00FA358F">
        <w:rPr>
          <w:sz w:val="24"/>
          <w:szCs w:val="24"/>
        </w:rPr>
        <w:t xml:space="preserve"> suficiente para o enquadramento no conceito de “mesma localidade”</w:t>
      </w:r>
      <w:r>
        <w:rPr>
          <w:sz w:val="24"/>
          <w:szCs w:val="24"/>
        </w:rPr>
        <w:t xml:space="preserve"> </w:t>
      </w:r>
      <w:r w:rsidRPr="00712744">
        <w:rPr>
          <w:sz w:val="24"/>
          <w:szCs w:val="24"/>
        </w:rPr>
        <w:t>de que trata o art</w:t>
      </w:r>
      <w:r>
        <w:rPr>
          <w:sz w:val="24"/>
          <w:szCs w:val="24"/>
        </w:rPr>
        <w:t>.</w:t>
      </w:r>
      <w:r w:rsidRPr="00712744">
        <w:rPr>
          <w:sz w:val="24"/>
          <w:szCs w:val="24"/>
        </w:rPr>
        <w:t xml:space="preserve"> 461 da CLT</w:t>
      </w:r>
      <w:r>
        <w:rPr>
          <w:sz w:val="24"/>
          <w:szCs w:val="24"/>
        </w:rPr>
        <w:t>, pois o item X da Súmula nº 6 do TST</w:t>
      </w:r>
      <w:r w:rsidRPr="00584B81">
        <w:rPr>
          <w:sz w:val="24"/>
          <w:szCs w:val="24"/>
        </w:rPr>
        <w:t xml:space="preserve"> é expresso no sentido de que, em se tratando de </w:t>
      </w:r>
      <w:r>
        <w:rPr>
          <w:sz w:val="24"/>
          <w:szCs w:val="24"/>
        </w:rPr>
        <w:t>cidades</w:t>
      </w:r>
      <w:r w:rsidRPr="00584B81">
        <w:rPr>
          <w:sz w:val="24"/>
          <w:szCs w:val="24"/>
        </w:rPr>
        <w:t xml:space="preserve"> distint</w:t>
      </w:r>
      <w:r>
        <w:rPr>
          <w:sz w:val="24"/>
          <w:szCs w:val="24"/>
        </w:rPr>
        <w:t>a</w:t>
      </w:r>
      <w:r w:rsidRPr="00584B81">
        <w:rPr>
          <w:sz w:val="24"/>
          <w:szCs w:val="24"/>
        </w:rPr>
        <w:t>s, el</w:t>
      </w:r>
      <w:r>
        <w:rPr>
          <w:sz w:val="24"/>
          <w:szCs w:val="24"/>
        </w:rPr>
        <w:t>a</w:t>
      </w:r>
      <w:r w:rsidRPr="00584B81">
        <w:rPr>
          <w:sz w:val="24"/>
          <w:szCs w:val="24"/>
        </w:rPr>
        <w:t>s devem pertencer à mesma região metropolitana</w:t>
      </w:r>
      <w:r>
        <w:rPr>
          <w:sz w:val="24"/>
          <w:szCs w:val="24"/>
        </w:rPr>
        <w:t xml:space="preserve">. Se assim não fosse, seria possível reconhecer a equiparação salarial entre empregados que trabalham até mesmo em Estados-membros diversos, o que não se coaduna com o entendimento firmado pela Súmula nº 6, X, do TST. Na espécie, reconheceu-se o direito à isonomia salarial no caso em que o reclamante trabalhava em Sorocaba/SP e o paradigma em Campinas/SP, ao fundamento de que as referidas cidades apresentam condições de urbanização e de desenvolvimento econômico compatíveis, não tendo havido prova de fatores regionais capazes de justificar a diferença de remuneração no período em que paradigma e paragonado exerceram idêntica função. </w:t>
      </w:r>
      <w:r w:rsidRPr="008A5F1D">
        <w:rPr>
          <w:sz w:val="24"/>
          <w:szCs w:val="24"/>
        </w:rPr>
        <w:t>Com esses fundamentos, a S</w:t>
      </w:r>
      <w:r>
        <w:rPr>
          <w:sz w:val="24"/>
          <w:szCs w:val="24"/>
        </w:rPr>
        <w:t>B</w:t>
      </w:r>
      <w:r w:rsidRPr="008A5F1D">
        <w:rPr>
          <w:sz w:val="24"/>
          <w:szCs w:val="24"/>
        </w:rPr>
        <w:t>D</w:t>
      </w:r>
      <w:r>
        <w:rPr>
          <w:sz w:val="24"/>
          <w:szCs w:val="24"/>
        </w:rPr>
        <w:t>I-I, por maioria</w:t>
      </w:r>
      <w:r w:rsidRPr="008A5F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conheceu dos embargos do reclamado </w:t>
      </w:r>
      <w:r w:rsidRPr="00712744">
        <w:rPr>
          <w:sz w:val="24"/>
          <w:szCs w:val="24"/>
        </w:rPr>
        <w:t>por contrariedade à Súmula nº 6, X, do TST</w:t>
      </w:r>
      <w:r>
        <w:rPr>
          <w:sz w:val="24"/>
          <w:szCs w:val="24"/>
        </w:rPr>
        <w:t xml:space="preserve"> e, no mérito, deu-lhes provimento </w:t>
      </w:r>
      <w:r w:rsidRPr="00712744">
        <w:rPr>
          <w:sz w:val="24"/>
          <w:szCs w:val="24"/>
        </w:rPr>
        <w:t>para excluir da condenação o pagamento de diferenças salariais decorrentes da equiparação salarial</w:t>
      </w:r>
      <w:r>
        <w:rPr>
          <w:sz w:val="24"/>
          <w:szCs w:val="24"/>
        </w:rPr>
        <w:t>. Vencidos os Ministros Luiz Philippe Vieira de Mello, Augusto César Leite de Carvalho e Alexandre</w:t>
      </w:r>
      <w:r w:rsidR="00732003">
        <w:rPr>
          <w:sz w:val="24"/>
          <w:szCs w:val="24"/>
        </w:rPr>
        <w:t xml:space="preserve"> de Souza </w:t>
      </w:r>
      <w:r>
        <w:rPr>
          <w:sz w:val="24"/>
          <w:szCs w:val="24"/>
        </w:rPr>
        <w:t>Agra Belmonte</w:t>
      </w:r>
      <w:r w:rsidRPr="008A5F1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hyperlink r:id="rId9" w:history="1">
        <w:r w:rsidRPr="00866CFF">
          <w:rPr>
            <w:rStyle w:val="Hyperlink"/>
            <w:sz w:val="24"/>
            <w:szCs w:val="24"/>
          </w:rPr>
          <w:t>TST-E</w:t>
        </w:r>
        <w:r w:rsidRPr="00866CFF">
          <w:rPr>
            <w:rStyle w:val="Hyperlink"/>
            <w:sz w:val="24"/>
            <w:szCs w:val="24"/>
          </w:rPr>
          <w:t>-</w:t>
        </w:r>
        <w:r w:rsidRPr="00866CFF">
          <w:rPr>
            <w:rStyle w:val="Hyperlink"/>
            <w:sz w:val="24"/>
            <w:szCs w:val="24"/>
          </w:rPr>
          <w:t>ED-</w:t>
        </w:r>
        <w:r w:rsidRPr="00866CFF">
          <w:rPr>
            <w:rStyle w:val="Hyperlink"/>
            <w:sz w:val="24"/>
            <w:szCs w:val="24"/>
          </w:rPr>
          <w:t>R</w:t>
        </w:r>
        <w:r w:rsidRPr="00866CFF">
          <w:rPr>
            <w:rStyle w:val="Hyperlink"/>
            <w:sz w:val="24"/>
            <w:szCs w:val="24"/>
          </w:rPr>
          <w:t>R</w:t>
        </w:r>
        <w:r w:rsidRPr="00866CFF">
          <w:rPr>
            <w:rStyle w:val="Hyperlink"/>
            <w:sz w:val="24"/>
            <w:szCs w:val="24"/>
          </w:rPr>
          <w:t>-116885-86.2005.5.15.0129</w:t>
        </w:r>
      </w:hyperlink>
      <w:r w:rsidRPr="00FA358F">
        <w:rPr>
          <w:sz w:val="24"/>
          <w:szCs w:val="24"/>
          <w:u w:val="single"/>
        </w:rPr>
        <w:t>, S</w:t>
      </w:r>
      <w:r>
        <w:rPr>
          <w:sz w:val="24"/>
          <w:szCs w:val="24"/>
          <w:u w:val="single"/>
        </w:rPr>
        <w:t>B</w:t>
      </w:r>
      <w:r w:rsidRPr="00FA358F">
        <w:rPr>
          <w:sz w:val="24"/>
          <w:szCs w:val="24"/>
          <w:u w:val="single"/>
        </w:rPr>
        <w:t>DI-</w:t>
      </w:r>
      <w:r>
        <w:rPr>
          <w:sz w:val="24"/>
          <w:szCs w:val="24"/>
          <w:u w:val="single"/>
        </w:rPr>
        <w:t>I</w:t>
      </w:r>
      <w:r w:rsidRPr="00FA358F">
        <w:rPr>
          <w:sz w:val="24"/>
          <w:szCs w:val="24"/>
          <w:u w:val="single"/>
        </w:rPr>
        <w:t>, rel. Min</w:t>
      </w:r>
      <w:r>
        <w:rPr>
          <w:sz w:val="24"/>
          <w:szCs w:val="24"/>
          <w:u w:val="single"/>
        </w:rPr>
        <w:t>. D</w:t>
      </w:r>
      <w:r w:rsidRPr="00FA358F">
        <w:rPr>
          <w:sz w:val="24"/>
          <w:szCs w:val="24"/>
          <w:u w:val="single"/>
        </w:rPr>
        <w:t>ora Maria da Costa, 5.12.2013</w:t>
      </w:r>
    </w:p>
    <w:p w:rsidR="00513C7D" w:rsidRPr="00D85D1B" w:rsidRDefault="00513C7D" w:rsidP="00513C7D">
      <w:pPr>
        <w:jc w:val="both"/>
        <w:rPr>
          <w:sz w:val="10"/>
          <w:szCs w:val="10"/>
          <w:u w:val="single"/>
        </w:rPr>
      </w:pPr>
    </w:p>
    <w:p w:rsidR="00513C7D" w:rsidRDefault="00513C7D" w:rsidP="00513C7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Rurícola</w:t>
      </w:r>
      <w:r w:rsidRPr="001E2C9F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Contrato de trabalho em curso quando da publicação da</w:t>
      </w:r>
      <w:r w:rsidRPr="001E2C9F">
        <w:rPr>
          <w:b/>
          <w:i/>
          <w:sz w:val="24"/>
          <w:szCs w:val="24"/>
        </w:rPr>
        <w:t xml:space="preserve"> E</w:t>
      </w:r>
      <w:r>
        <w:rPr>
          <w:b/>
          <w:i/>
          <w:sz w:val="24"/>
          <w:szCs w:val="24"/>
        </w:rPr>
        <w:t>menda Constitucional nº 28/2000</w:t>
      </w:r>
      <w:r w:rsidRPr="001E2C9F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Ação ajuizada após cinco anos da vigência da referida emenda. Prescrição quinquenal.</w:t>
      </w:r>
    </w:p>
    <w:p w:rsidR="00513C7D" w:rsidRPr="004D676E" w:rsidRDefault="00513C7D" w:rsidP="00513C7D">
      <w:pPr>
        <w:jc w:val="both"/>
        <w:rPr>
          <w:spacing w:val="-4"/>
          <w:sz w:val="24"/>
          <w:szCs w:val="24"/>
          <w:u w:val="single"/>
        </w:rPr>
      </w:pPr>
      <w:r>
        <w:rPr>
          <w:sz w:val="24"/>
          <w:szCs w:val="24"/>
        </w:rPr>
        <w:t>Ajuizada a ação após cinco anos da vigência da Emenda Co</w:t>
      </w:r>
      <w:r w:rsidR="00B40684">
        <w:rPr>
          <w:sz w:val="24"/>
          <w:szCs w:val="24"/>
        </w:rPr>
        <w:t>nstitucional nº 28, de 26.5.2000</w:t>
      </w:r>
      <w:r>
        <w:rPr>
          <w:sz w:val="24"/>
          <w:szCs w:val="24"/>
        </w:rPr>
        <w:t>, por rurícola, cujo contrato de trabalho encontrava-se em curso quando da publicação da referida emenda, incide a prescrição quinquenal sobre todas as pretensões, inclusive as relativas a direitos exigíveis antes da alteração do art. 7º, XXIX, da CF. Com esses fundamentos</w:t>
      </w:r>
      <w:r w:rsidRPr="00901F7E">
        <w:rPr>
          <w:sz w:val="24"/>
          <w:szCs w:val="24"/>
        </w:rPr>
        <w:t>,</w:t>
      </w:r>
      <w:r>
        <w:rPr>
          <w:sz w:val="24"/>
          <w:szCs w:val="24"/>
        </w:rPr>
        <w:t xml:space="preserve"> e aplicando o entendimento consubstanciado na Orientação Jurisprudencial nº 417 da SBDI-1 do TST, a Subseção, por unanimidade, conheceu</w:t>
      </w:r>
      <w:r w:rsidRPr="00901F7E">
        <w:rPr>
          <w:sz w:val="24"/>
          <w:szCs w:val="24"/>
        </w:rPr>
        <w:t xml:space="preserve"> dos embargos, por divergência ju</w:t>
      </w:r>
      <w:r>
        <w:rPr>
          <w:sz w:val="24"/>
          <w:szCs w:val="24"/>
        </w:rPr>
        <w:t xml:space="preserve">risprudencial, e, no mérito, deu-lhes provimento para </w:t>
      </w:r>
      <w:r w:rsidRPr="00901F7E">
        <w:rPr>
          <w:sz w:val="24"/>
          <w:szCs w:val="24"/>
        </w:rPr>
        <w:t>declarar a incidência da prescrição quinquenal em relação às parcelas anteriores a 13.10.2000, tendo em vista o ajuiza</w:t>
      </w:r>
      <w:r>
        <w:rPr>
          <w:sz w:val="24"/>
          <w:szCs w:val="24"/>
        </w:rPr>
        <w:t>mento da demanda em 13.10.2005, e determinar</w:t>
      </w:r>
      <w:r w:rsidRPr="00901F7E">
        <w:rPr>
          <w:sz w:val="24"/>
          <w:szCs w:val="24"/>
        </w:rPr>
        <w:t xml:space="preserve"> o retorno dos autos à Turma de origem a fim de que prossiga no julgamento do</w:t>
      </w:r>
      <w:r>
        <w:rPr>
          <w:sz w:val="24"/>
          <w:szCs w:val="24"/>
        </w:rPr>
        <w:t>s</w:t>
      </w:r>
      <w:r w:rsidRPr="00901F7E">
        <w:rPr>
          <w:sz w:val="24"/>
          <w:szCs w:val="24"/>
        </w:rPr>
        <w:t xml:space="preserve"> recurso</w:t>
      </w:r>
      <w:r>
        <w:rPr>
          <w:sz w:val="24"/>
          <w:szCs w:val="24"/>
        </w:rPr>
        <w:t>s</w:t>
      </w:r>
      <w:r w:rsidRPr="00901F7E">
        <w:rPr>
          <w:sz w:val="24"/>
          <w:szCs w:val="24"/>
        </w:rPr>
        <w:t xml:space="preserve"> de revista do reclamante e da reclamada como entender de direito.</w:t>
      </w:r>
      <w:r w:rsidR="004D676E">
        <w:rPr>
          <w:sz w:val="24"/>
          <w:szCs w:val="24"/>
        </w:rPr>
        <w:t xml:space="preserve"> </w:t>
      </w:r>
      <w:hyperlink r:id="rId10" w:history="1">
        <w:r w:rsidRPr="004D676E">
          <w:rPr>
            <w:rStyle w:val="Hyperlink"/>
            <w:spacing w:val="-4"/>
            <w:sz w:val="24"/>
            <w:szCs w:val="24"/>
          </w:rPr>
          <w:t>TST</w:t>
        </w:r>
        <w:r w:rsidRPr="004D676E">
          <w:rPr>
            <w:rStyle w:val="Hyperlink"/>
            <w:spacing w:val="-4"/>
            <w:sz w:val="24"/>
            <w:szCs w:val="24"/>
          </w:rPr>
          <w:t>-</w:t>
        </w:r>
        <w:r w:rsidRPr="004D676E">
          <w:rPr>
            <w:rStyle w:val="Hyperlink"/>
            <w:spacing w:val="-4"/>
            <w:sz w:val="24"/>
            <w:szCs w:val="24"/>
          </w:rPr>
          <w:t>E-RR-1521</w:t>
        </w:r>
        <w:r w:rsidRPr="004D676E">
          <w:rPr>
            <w:rStyle w:val="Hyperlink"/>
            <w:spacing w:val="-4"/>
            <w:sz w:val="24"/>
            <w:szCs w:val="24"/>
          </w:rPr>
          <w:t>0</w:t>
        </w:r>
        <w:r w:rsidRPr="004D676E">
          <w:rPr>
            <w:rStyle w:val="Hyperlink"/>
            <w:spacing w:val="-4"/>
            <w:sz w:val="24"/>
            <w:szCs w:val="24"/>
          </w:rPr>
          <w:t>0-35.2005.5.15.0029</w:t>
        </w:r>
      </w:hyperlink>
      <w:r w:rsidRPr="004D676E">
        <w:rPr>
          <w:spacing w:val="-4"/>
          <w:sz w:val="24"/>
          <w:szCs w:val="24"/>
          <w:u w:val="single"/>
        </w:rPr>
        <w:t>, SBDI-1, rel. Min. Delaíde Miranda Arantes, 5.12.2013</w:t>
      </w:r>
    </w:p>
    <w:p w:rsidR="00513C7D" w:rsidRPr="00D85D1B" w:rsidRDefault="00513C7D" w:rsidP="00513C7D">
      <w:pPr>
        <w:jc w:val="both"/>
        <w:rPr>
          <w:sz w:val="10"/>
          <w:szCs w:val="10"/>
          <w:u w:val="single"/>
        </w:rPr>
      </w:pPr>
    </w:p>
    <w:p w:rsidR="00184590" w:rsidRPr="002923A9" w:rsidRDefault="00184590" w:rsidP="00D11B24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outlineLvl w:val="0"/>
        <w:rPr>
          <w:b/>
          <w:bCs/>
          <w:snapToGrid w:val="0"/>
        </w:rPr>
      </w:pPr>
      <w:r w:rsidRPr="002923A9">
        <w:rPr>
          <w:b/>
          <w:bCs/>
          <w:snapToGrid w:val="0"/>
        </w:rPr>
        <w:t xml:space="preserve">Informativo TST é mantido pela </w:t>
      </w:r>
    </w:p>
    <w:p w:rsidR="00184590" w:rsidRPr="002923A9" w:rsidRDefault="00184590" w:rsidP="00C07E5C">
      <w:pPr>
        <w:pStyle w:val="Corpodetexto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rPr>
          <w:b/>
          <w:bCs/>
          <w:snapToGrid w:val="0"/>
        </w:rPr>
      </w:pPr>
      <w:r w:rsidRPr="002923A9">
        <w:rPr>
          <w:b/>
          <w:bCs/>
          <w:snapToGrid w:val="0"/>
        </w:rPr>
        <w:t>Coordenadoria de Jurisprudência – CJUR</w:t>
      </w:r>
    </w:p>
    <w:p w:rsidR="00184590" w:rsidRPr="002923A9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2923A9">
        <w:rPr>
          <w:snapToGrid w:val="0"/>
        </w:rPr>
        <w:t>Informações/Sugestões/Críticas: (61)3043</w:t>
      </w:r>
      <w:r w:rsidR="00352B27" w:rsidRPr="002923A9">
        <w:rPr>
          <w:snapToGrid w:val="0"/>
        </w:rPr>
        <w:t>-</w:t>
      </w:r>
      <w:r w:rsidRPr="002923A9">
        <w:rPr>
          <w:snapToGrid w:val="0"/>
        </w:rPr>
        <w:t>4</w:t>
      </w:r>
      <w:r w:rsidR="00D72C05" w:rsidRPr="002923A9">
        <w:rPr>
          <w:snapToGrid w:val="0"/>
        </w:rPr>
        <w:t>417</w:t>
      </w:r>
    </w:p>
    <w:p w:rsidR="007614F1" w:rsidRPr="002923A9" w:rsidRDefault="00184590" w:rsidP="00D11B2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hd w:val="clear" w:color="auto" w:fill="B8CCE4"/>
        <w:jc w:val="center"/>
        <w:rPr>
          <w:snapToGrid w:val="0"/>
        </w:rPr>
      </w:pPr>
      <w:r w:rsidRPr="002923A9">
        <w:rPr>
          <w:snapToGrid w:val="0"/>
        </w:rPr>
        <w:t>cjur@tst.jus.br</w:t>
      </w:r>
    </w:p>
    <w:sectPr w:rsidR="007614F1" w:rsidRPr="002923A9" w:rsidSect="00D11B2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304" w:right="1134" w:bottom="851" w:left="1134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D2B" w:rsidRDefault="001B7D2B">
      <w:r>
        <w:separator/>
      </w:r>
    </w:p>
  </w:endnote>
  <w:endnote w:type="continuationSeparator" w:id="0">
    <w:p w:rsidR="001B7D2B" w:rsidRDefault="001B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FE00AD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3098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FE00AD" w:rsidRDefault="00187A37">
    <w:pPr>
      <w:pStyle w:val="Rodap"/>
      <w:ind w:right="360"/>
    </w:pPr>
    <w:r>
      <w:rPr>
        <w:noProof/>
      </w:rPr>
      <w:pict>
        <v:line id="_x0000_s2050" style="position:absolute;z-index:251658240" from=".9pt,-3.55pt" to="497.7pt,-3.55pt" o:allowincell="f" strokecolor="#969696"/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187A37">
    <w:pPr>
      <w:pStyle w:val="Rodap"/>
      <w:jc w:val="right"/>
    </w:pPr>
    <w:r>
      <w:rPr>
        <w:noProof/>
      </w:rPr>
      <w:pict>
        <v:line id="_x0000_s2054" style="position:absolute;left:0;text-align:left;flip:y;z-index:251659264" from=".9pt,-3.55pt" to="497.7pt,-3.4pt" o:allowincell="f" strokecolor="#969696"/>
      </w:pict>
    </w:r>
    <w:r w:rsidR="00FE00AD">
      <w:rPr>
        <w:rStyle w:val="Nmerodepgina"/>
      </w:rPr>
      <w:fldChar w:fldCharType="begin"/>
    </w:r>
    <w:r w:rsidR="00FE00AD">
      <w:rPr>
        <w:rStyle w:val="Nmerodepgina"/>
      </w:rPr>
      <w:instrText xml:space="preserve"> PAGE </w:instrText>
    </w:r>
    <w:r w:rsidR="00FE00AD">
      <w:rPr>
        <w:rStyle w:val="Nmerodepgina"/>
      </w:rPr>
      <w:fldChar w:fldCharType="separate"/>
    </w:r>
    <w:r w:rsidR="00630985">
      <w:rPr>
        <w:rStyle w:val="Nmerodepgina"/>
        <w:noProof/>
      </w:rPr>
      <w:t>1</w:t>
    </w:r>
    <w:r w:rsidR="00FE00AD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D2B" w:rsidRDefault="001B7D2B">
      <w:r>
        <w:separator/>
      </w:r>
    </w:p>
  </w:footnote>
  <w:footnote w:type="continuationSeparator" w:id="0">
    <w:p w:rsidR="001B7D2B" w:rsidRDefault="001B7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Pr="00971E07" w:rsidRDefault="00FE00AD">
    <w:pPr>
      <w:pStyle w:val="Corpodetexto"/>
      <w:jc w:val="right"/>
      <w:rPr>
        <w:shadow/>
        <w:sz w:val="24"/>
        <w:szCs w:val="24"/>
      </w:rPr>
    </w:pPr>
    <w:r w:rsidRPr="00971E07">
      <w:rPr>
        <w:shadow/>
        <w:sz w:val="24"/>
        <w:szCs w:val="24"/>
      </w:rPr>
      <w:t xml:space="preserve">Informativo TST - </w:t>
    </w:r>
    <w:r w:rsidR="00986D77">
      <w:rPr>
        <w:shadow/>
        <w:sz w:val="24"/>
        <w:szCs w:val="24"/>
      </w:rPr>
      <w:t>n</w:t>
    </w:r>
    <w:r w:rsidRPr="00971E07">
      <w:rPr>
        <w:shadow/>
        <w:sz w:val="24"/>
        <w:szCs w:val="24"/>
      </w:rPr>
      <w:t xml:space="preserve">º </w:t>
    </w:r>
    <w:r w:rsidR="0046668A">
      <w:rPr>
        <w:shadow/>
        <w:sz w:val="24"/>
        <w:szCs w:val="24"/>
      </w:rPr>
      <w:t>69</w:t>
    </w:r>
  </w:p>
  <w:p w:rsidR="00FE00AD" w:rsidRPr="00971E07" w:rsidRDefault="00187A37">
    <w:pPr>
      <w:pStyle w:val="Ttulo6"/>
      <w:spacing w:line="360" w:lineRule="auto"/>
      <w:jc w:val="right"/>
      <w:rPr>
        <w:i/>
        <w:iCs/>
        <w:sz w:val="20"/>
        <w:szCs w:val="20"/>
      </w:rPr>
    </w:pPr>
    <w:r>
      <w:rPr>
        <w:noProof/>
      </w:rPr>
      <w:pict>
        <v:line id="_x0000_s2049" style="position:absolute;left:0;text-align:left;flip:x;z-index:251657216" from=".9pt,10.15pt" to="497.7pt,10.15pt" o:allowincell="f" strokecolor="#969696"/>
      </w:pict>
    </w:r>
    <w:r w:rsidR="002168DE">
      <w:rPr>
        <w:sz w:val="20"/>
        <w:szCs w:val="20"/>
      </w:rPr>
      <w:t xml:space="preserve">Período: </w:t>
    </w:r>
    <w:r w:rsidR="0046668A">
      <w:rPr>
        <w:sz w:val="20"/>
        <w:szCs w:val="20"/>
      </w:rPr>
      <w:t>3</w:t>
    </w:r>
    <w:r w:rsidR="00E16E01" w:rsidRPr="00971E07">
      <w:rPr>
        <w:sz w:val="20"/>
        <w:szCs w:val="20"/>
      </w:rPr>
      <w:t xml:space="preserve"> a</w:t>
    </w:r>
    <w:r w:rsidR="00FE00AD" w:rsidRPr="00971E07">
      <w:rPr>
        <w:sz w:val="20"/>
        <w:szCs w:val="20"/>
      </w:rPr>
      <w:t xml:space="preserve"> </w:t>
    </w:r>
    <w:r w:rsidR="00D50387">
      <w:rPr>
        <w:sz w:val="20"/>
        <w:szCs w:val="20"/>
      </w:rPr>
      <w:t xml:space="preserve">11 </w:t>
    </w:r>
    <w:r w:rsidR="0046668A">
      <w:rPr>
        <w:sz w:val="20"/>
        <w:szCs w:val="20"/>
      </w:rPr>
      <w:t>de dezembro</w:t>
    </w:r>
    <w:r w:rsidR="00FE00AD" w:rsidRPr="00971E07">
      <w:rPr>
        <w:sz w:val="20"/>
        <w:szCs w:val="20"/>
      </w:rPr>
      <w:t xml:space="preserve"> de 20</w:t>
    </w:r>
    <w:r w:rsidR="0046668A">
      <w:rPr>
        <w:sz w:val="20"/>
        <w:szCs w:val="20"/>
      </w:rPr>
      <w:t>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0AD" w:rsidRDefault="00075BD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2" type="#_x0000_t136" style="position:absolute;margin-left:65.7pt;margin-top:25pt;width:381.6pt;height:36pt;z-index:251656192" o:allowincell="f" fillcolor="black">
          <v:shadow color="#868686"/>
          <v:textpath style="font-family:&quot;Times New Roman&quot;;v-text-kern:t" trim="t" fitpath="t" string="INFORMATIVO TST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6.2pt;height:76.85pt">
          <v:imagedata r:id="rId1" o:title="TST LOGO"/>
        </v:shape>
      </w:pict>
    </w:r>
  </w:p>
  <w:p w:rsidR="00FE00AD" w:rsidRPr="002168DE" w:rsidRDefault="00A51749" w:rsidP="00075BDB">
    <w:pPr>
      <w:pStyle w:val="Cabealho"/>
      <w:tabs>
        <w:tab w:val="clear" w:pos="4419"/>
        <w:tab w:val="clear" w:pos="8838"/>
        <w:tab w:val="left" w:pos="2793"/>
      </w:tabs>
      <w:jc w:val="right"/>
      <w:rPr>
        <w:b/>
        <w:sz w:val="40"/>
        <w:szCs w:val="40"/>
      </w:rPr>
    </w:pPr>
    <w:r>
      <w:tab/>
    </w:r>
    <w:r w:rsidR="00075BDB">
      <w:tab/>
    </w:r>
    <w:r w:rsidR="00075BDB">
      <w:tab/>
    </w:r>
    <w:r w:rsidR="00075BDB">
      <w:tab/>
    </w:r>
    <w:r w:rsidR="00075BDB">
      <w:tab/>
    </w:r>
    <w:r w:rsidR="00075BDB">
      <w:tab/>
    </w:r>
    <w:r w:rsidR="00FE00AD" w:rsidRPr="002168DE">
      <w:rPr>
        <w:b/>
        <w:sz w:val="40"/>
        <w:szCs w:val="40"/>
      </w:rPr>
      <w:t xml:space="preserve">Nº </w:t>
    </w:r>
    <w:r w:rsidR="00F42FE7">
      <w:rPr>
        <w:b/>
        <w:sz w:val="40"/>
        <w:szCs w:val="40"/>
      </w:rPr>
      <w:t>69</w:t>
    </w:r>
  </w:p>
  <w:p w:rsidR="00FE00AD" w:rsidRPr="005D1DE4" w:rsidRDefault="00FE00AD">
    <w:pPr>
      <w:pStyle w:val="Cabealho"/>
      <w:jc w:val="right"/>
      <w:rPr>
        <w:i/>
        <w:iCs/>
        <w:sz w:val="10"/>
        <w:szCs w:val="10"/>
      </w:rPr>
    </w:pPr>
  </w:p>
  <w:p w:rsidR="00FE00AD" w:rsidRPr="005D1DE4" w:rsidRDefault="002168DE">
    <w:pPr>
      <w:pStyle w:val="Cabealho"/>
      <w:jc w:val="right"/>
    </w:pPr>
    <w:r>
      <w:rPr>
        <w:i/>
        <w:iCs/>
      </w:rPr>
      <w:t>Período:</w:t>
    </w:r>
    <w:r w:rsidR="00FE00AD" w:rsidRPr="005D1DE4">
      <w:rPr>
        <w:i/>
        <w:iCs/>
      </w:rPr>
      <w:t xml:space="preserve"> </w:t>
    </w:r>
    <w:r w:rsidR="00D50387">
      <w:rPr>
        <w:i/>
        <w:iCs/>
      </w:rPr>
      <w:t>3 a 11</w:t>
    </w:r>
    <w:r w:rsidR="00F42FE7">
      <w:rPr>
        <w:i/>
        <w:iCs/>
      </w:rPr>
      <w:t xml:space="preserve"> de dezembro</w:t>
    </w:r>
    <w:r w:rsidR="00FE00AD" w:rsidRPr="005D1DE4">
      <w:rPr>
        <w:i/>
        <w:iCs/>
      </w:rPr>
      <w:t xml:space="preserve"> </w:t>
    </w:r>
    <w:r w:rsidR="00F42FE7">
      <w:rPr>
        <w:i/>
        <w:iCs/>
      </w:rPr>
      <w:t>de 2013</w:t>
    </w:r>
  </w:p>
  <w:p w:rsidR="00FE00AD" w:rsidRDefault="00FE00AD" w:rsidP="00631F1C">
    <w:pPr>
      <w:pStyle w:val="Cabealho"/>
      <w:pBdr>
        <w:bottom w:val="single" w:sz="4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08C3"/>
    <w:multiLevelType w:val="multilevel"/>
    <w:tmpl w:val="1292BA3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61C72"/>
    <w:multiLevelType w:val="multilevel"/>
    <w:tmpl w:val="E452BD52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86985"/>
    <w:multiLevelType w:val="multilevel"/>
    <w:tmpl w:val="D854AEF8"/>
    <w:lvl w:ilvl="0"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36FE"/>
    <w:rsid w:val="00004C36"/>
    <w:rsid w:val="000228E6"/>
    <w:rsid w:val="00032056"/>
    <w:rsid w:val="000322FB"/>
    <w:rsid w:val="000425FC"/>
    <w:rsid w:val="00050E85"/>
    <w:rsid w:val="00056752"/>
    <w:rsid w:val="00057B87"/>
    <w:rsid w:val="0006020E"/>
    <w:rsid w:val="000733B4"/>
    <w:rsid w:val="00073880"/>
    <w:rsid w:val="00075BDB"/>
    <w:rsid w:val="00080F10"/>
    <w:rsid w:val="0009237D"/>
    <w:rsid w:val="00093AE9"/>
    <w:rsid w:val="00093BA8"/>
    <w:rsid w:val="000A04E6"/>
    <w:rsid w:val="000B4D41"/>
    <w:rsid w:val="000B67DF"/>
    <w:rsid w:val="000B7CDE"/>
    <w:rsid w:val="000C3022"/>
    <w:rsid w:val="000C672B"/>
    <w:rsid w:val="000E0A91"/>
    <w:rsid w:val="0011575C"/>
    <w:rsid w:val="0011692E"/>
    <w:rsid w:val="00137564"/>
    <w:rsid w:val="00137DC1"/>
    <w:rsid w:val="0015612D"/>
    <w:rsid w:val="00176D15"/>
    <w:rsid w:val="00184590"/>
    <w:rsid w:val="00187A37"/>
    <w:rsid w:val="0019151D"/>
    <w:rsid w:val="00193208"/>
    <w:rsid w:val="001B7D2B"/>
    <w:rsid w:val="001C04D2"/>
    <w:rsid w:val="001C271F"/>
    <w:rsid w:val="001C6C93"/>
    <w:rsid w:val="001D4CF9"/>
    <w:rsid w:val="001D5AB0"/>
    <w:rsid w:val="001D757D"/>
    <w:rsid w:val="001E14BB"/>
    <w:rsid w:val="001E4B57"/>
    <w:rsid w:val="001E5BD1"/>
    <w:rsid w:val="001E713B"/>
    <w:rsid w:val="001F030F"/>
    <w:rsid w:val="00206810"/>
    <w:rsid w:val="002168DE"/>
    <w:rsid w:val="00224AC2"/>
    <w:rsid w:val="0023559D"/>
    <w:rsid w:val="002402B0"/>
    <w:rsid w:val="002449F9"/>
    <w:rsid w:val="002635ED"/>
    <w:rsid w:val="002662BA"/>
    <w:rsid w:val="00266D49"/>
    <w:rsid w:val="00271C5C"/>
    <w:rsid w:val="00271E67"/>
    <w:rsid w:val="002730B5"/>
    <w:rsid w:val="00280594"/>
    <w:rsid w:val="00285064"/>
    <w:rsid w:val="002923A9"/>
    <w:rsid w:val="002A219D"/>
    <w:rsid w:val="002A546D"/>
    <w:rsid w:val="002B4738"/>
    <w:rsid w:val="002B6377"/>
    <w:rsid w:val="002C2904"/>
    <w:rsid w:val="002E78CB"/>
    <w:rsid w:val="0033397A"/>
    <w:rsid w:val="00352B27"/>
    <w:rsid w:val="0036325E"/>
    <w:rsid w:val="003671FE"/>
    <w:rsid w:val="003708FD"/>
    <w:rsid w:val="0037667D"/>
    <w:rsid w:val="00384075"/>
    <w:rsid w:val="003908C5"/>
    <w:rsid w:val="00396053"/>
    <w:rsid w:val="003A4086"/>
    <w:rsid w:val="003A5E5B"/>
    <w:rsid w:val="003B045C"/>
    <w:rsid w:val="003B0A59"/>
    <w:rsid w:val="003B3EB5"/>
    <w:rsid w:val="003B4E23"/>
    <w:rsid w:val="003B693B"/>
    <w:rsid w:val="003B767E"/>
    <w:rsid w:val="003C6FE7"/>
    <w:rsid w:val="003D032E"/>
    <w:rsid w:val="003D4205"/>
    <w:rsid w:val="003F2078"/>
    <w:rsid w:val="0042772A"/>
    <w:rsid w:val="004323B0"/>
    <w:rsid w:val="00444E88"/>
    <w:rsid w:val="0045657C"/>
    <w:rsid w:val="004655CC"/>
    <w:rsid w:val="0046668A"/>
    <w:rsid w:val="00466DB9"/>
    <w:rsid w:val="004748B1"/>
    <w:rsid w:val="00486521"/>
    <w:rsid w:val="00486DFC"/>
    <w:rsid w:val="004922D6"/>
    <w:rsid w:val="004A14FC"/>
    <w:rsid w:val="004A5264"/>
    <w:rsid w:val="004B21AD"/>
    <w:rsid w:val="004C011C"/>
    <w:rsid w:val="004C14EA"/>
    <w:rsid w:val="004C2118"/>
    <w:rsid w:val="004C2612"/>
    <w:rsid w:val="004D6000"/>
    <w:rsid w:val="004D6415"/>
    <w:rsid w:val="004D676E"/>
    <w:rsid w:val="004D71E8"/>
    <w:rsid w:val="004E393E"/>
    <w:rsid w:val="004E4507"/>
    <w:rsid w:val="004E4619"/>
    <w:rsid w:val="004F0A7D"/>
    <w:rsid w:val="00512125"/>
    <w:rsid w:val="00513C7D"/>
    <w:rsid w:val="0051538E"/>
    <w:rsid w:val="00517E01"/>
    <w:rsid w:val="00521EEC"/>
    <w:rsid w:val="005460BD"/>
    <w:rsid w:val="00553197"/>
    <w:rsid w:val="0055409E"/>
    <w:rsid w:val="00556367"/>
    <w:rsid w:val="00556B35"/>
    <w:rsid w:val="00573E13"/>
    <w:rsid w:val="00584F82"/>
    <w:rsid w:val="00591DFA"/>
    <w:rsid w:val="005A5695"/>
    <w:rsid w:val="005B2F00"/>
    <w:rsid w:val="005B57DE"/>
    <w:rsid w:val="005C1886"/>
    <w:rsid w:val="005C761E"/>
    <w:rsid w:val="005D0E5F"/>
    <w:rsid w:val="005D1DE4"/>
    <w:rsid w:val="005E35BD"/>
    <w:rsid w:val="005E3D4D"/>
    <w:rsid w:val="005E7FD1"/>
    <w:rsid w:val="005F2858"/>
    <w:rsid w:val="006002E3"/>
    <w:rsid w:val="0060157B"/>
    <w:rsid w:val="006145AC"/>
    <w:rsid w:val="00615F98"/>
    <w:rsid w:val="00621F9C"/>
    <w:rsid w:val="00630985"/>
    <w:rsid w:val="00631166"/>
    <w:rsid w:val="00631F1C"/>
    <w:rsid w:val="006366A4"/>
    <w:rsid w:val="006456B1"/>
    <w:rsid w:val="006564EC"/>
    <w:rsid w:val="0066084C"/>
    <w:rsid w:val="00672CF9"/>
    <w:rsid w:val="00672E11"/>
    <w:rsid w:val="0068273B"/>
    <w:rsid w:val="00691234"/>
    <w:rsid w:val="006931CC"/>
    <w:rsid w:val="006947F2"/>
    <w:rsid w:val="00697919"/>
    <w:rsid w:val="006B3FCF"/>
    <w:rsid w:val="006B46CA"/>
    <w:rsid w:val="006C0391"/>
    <w:rsid w:val="006C28B3"/>
    <w:rsid w:val="006D1F66"/>
    <w:rsid w:val="006D306E"/>
    <w:rsid w:val="006D4497"/>
    <w:rsid w:val="006F6C15"/>
    <w:rsid w:val="0070727E"/>
    <w:rsid w:val="00710D3A"/>
    <w:rsid w:val="0071315F"/>
    <w:rsid w:val="00721942"/>
    <w:rsid w:val="00722BE7"/>
    <w:rsid w:val="00732003"/>
    <w:rsid w:val="00732DF2"/>
    <w:rsid w:val="007614F1"/>
    <w:rsid w:val="007618C5"/>
    <w:rsid w:val="00764066"/>
    <w:rsid w:val="00776118"/>
    <w:rsid w:val="007B0F83"/>
    <w:rsid w:val="007D29A1"/>
    <w:rsid w:val="007E0EA7"/>
    <w:rsid w:val="007E3F23"/>
    <w:rsid w:val="007F142E"/>
    <w:rsid w:val="007F7B5E"/>
    <w:rsid w:val="00802B1A"/>
    <w:rsid w:val="0080615C"/>
    <w:rsid w:val="0081027F"/>
    <w:rsid w:val="0081742D"/>
    <w:rsid w:val="00821F4D"/>
    <w:rsid w:val="00823906"/>
    <w:rsid w:val="00826B18"/>
    <w:rsid w:val="008409D3"/>
    <w:rsid w:val="00845559"/>
    <w:rsid w:val="00854DB8"/>
    <w:rsid w:val="00854EF2"/>
    <w:rsid w:val="00863B86"/>
    <w:rsid w:val="00866CFF"/>
    <w:rsid w:val="00871F69"/>
    <w:rsid w:val="008842D0"/>
    <w:rsid w:val="00884AC4"/>
    <w:rsid w:val="0088579D"/>
    <w:rsid w:val="008A7953"/>
    <w:rsid w:val="008B3081"/>
    <w:rsid w:val="008B32D4"/>
    <w:rsid w:val="008D0020"/>
    <w:rsid w:val="008D3C38"/>
    <w:rsid w:val="008D6A05"/>
    <w:rsid w:val="008E2AE5"/>
    <w:rsid w:val="008E3F89"/>
    <w:rsid w:val="008F26CB"/>
    <w:rsid w:val="008F6509"/>
    <w:rsid w:val="008F79D9"/>
    <w:rsid w:val="009027C8"/>
    <w:rsid w:val="0093467A"/>
    <w:rsid w:val="0094155C"/>
    <w:rsid w:val="00951531"/>
    <w:rsid w:val="00960A3B"/>
    <w:rsid w:val="00967DE0"/>
    <w:rsid w:val="00971E07"/>
    <w:rsid w:val="00980944"/>
    <w:rsid w:val="00986D77"/>
    <w:rsid w:val="009943EC"/>
    <w:rsid w:val="009A32D5"/>
    <w:rsid w:val="009B6012"/>
    <w:rsid w:val="009C102D"/>
    <w:rsid w:val="009C2A4F"/>
    <w:rsid w:val="009D4C59"/>
    <w:rsid w:val="009D7F91"/>
    <w:rsid w:val="009E20EF"/>
    <w:rsid w:val="009E26EE"/>
    <w:rsid w:val="009F21A2"/>
    <w:rsid w:val="00A32FBF"/>
    <w:rsid w:val="00A407EA"/>
    <w:rsid w:val="00A42A9E"/>
    <w:rsid w:val="00A51749"/>
    <w:rsid w:val="00A521B6"/>
    <w:rsid w:val="00A56962"/>
    <w:rsid w:val="00A6412C"/>
    <w:rsid w:val="00A75419"/>
    <w:rsid w:val="00A76661"/>
    <w:rsid w:val="00A76D2A"/>
    <w:rsid w:val="00A82081"/>
    <w:rsid w:val="00A8557E"/>
    <w:rsid w:val="00A91181"/>
    <w:rsid w:val="00A935AC"/>
    <w:rsid w:val="00AB299E"/>
    <w:rsid w:val="00AB507C"/>
    <w:rsid w:val="00AD6E76"/>
    <w:rsid w:val="00AE3EAA"/>
    <w:rsid w:val="00AE5EDF"/>
    <w:rsid w:val="00B14F7F"/>
    <w:rsid w:val="00B16EB9"/>
    <w:rsid w:val="00B22F24"/>
    <w:rsid w:val="00B22F53"/>
    <w:rsid w:val="00B24DBE"/>
    <w:rsid w:val="00B34EB2"/>
    <w:rsid w:val="00B40684"/>
    <w:rsid w:val="00B50B49"/>
    <w:rsid w:val="00B517C3"/>
    <w:rsid w:val="00B518B2"/>
    <w:rsid w:val="00B526EA"/>
    <w:rsid w:val="00B536FE"/>
    <w:rsid w:val="00B73FFA"/>
    <w:rsid w:val="00B874F1"/>
    <w:rsid w:val="00BC1DE7"/>
    <w:rsid w:val="00BC5AEE"/>
    <w:rsid w:val="00BD05A4"/>
    <w:rsid w:val="00BD6029"/>
    <w:rsid w:val="00BE0541"/>
    <w:rsid w:val="00BE1ADB"/>
    <w:rsid w:val="00C070DE"/>
    <w:rsid w:val="00C07E5C"/>
    <w:rsid w:val="00C26DFB"/>
    <w:rsid w:val="00C273FA"/>
    <w:rsid w:val="00C30D06"/>
    <w:rsid w:val="00C42067"/>
    <w:rsid w:val="00C432D0"/>
    <w:rsid w:val="00C4398E"/>
    <w:rsid w:val="00C60B4A"/>
    <w:rsid w:val="00C65BDB"/>
    <w:rsid w:val="00C71A3B"/>
    <w:rsid w:val="00C76CFA"/>
    <w:rsid w:val="00C963F8"/>
    <w:rsid w:val="00C96BB1"/>
    <w:rsid w:val="00CA2F80"/>
    <w:rsid w:val="00CB0C2A"/>
    <w:rsid w:val="00CC4B2B"/>
    <w:rsid w:val="00CC579C"/>
    <w:rsid w:val="00CC5F5F"/>
    <w:rsid w:val="00CD3460"/>
    <w:rsid w:val="00CD4B61"/>
    <w:rsid w:val="00CD5043"/>
    <w:rsid w:val="00CE2928"/>
    <w:rsid w:val="00CE314A"/>
    <w:rsid w:val="00D01C50"/>
    <w:rsid w:val="00D11B24"/>
    <w:rsid w:val="00D133C8"/>
    <w:rsid w:val="00D14DB8"/>
    <w:rsid w:val="00D244D5"/>
    <w:rsid w:val="00D2776A"/>
    <w:rsid w:val="00D413DB"/>
    <w:rsid w:val="00D420E2"/>
    <w:rsid w:val="00D4459D"/>
    <w:rsid w:val="00D50387"/>
    <w:rsid w:val="00D573F9"/>
    <w:rsid w:val="00D6058B"/>
    <w:rsid w:val="00D63EC5"/>
    <w:rsid w:val="00D72C05"/>
    <w:rsid w:val="00D847CF"/>
    <w:rsid w:val="00D85D1B"/>
    <w:rsid w:val="00DA0A99"/>
    <w:rsid w:val="00DA7603"/>
    <w:rsid w:val="00DA7E39"/>
    <w:rsid w:val="00DA7EDE"/>
    <w:rsid w:val="00DB2AF1"/>
    <w:rsid w:val="00DC0AB5"/>
    <w:rsid w:val="00DC50EB"/>
    <w:rsid w:val="00DD3FA0"/>
    <w:rsid w:val="00DE5B2D"/>
    <w:rsid w:val="00DE5CE9"/>
    <w:rsid w:val="00E03064"/>
    <w:rsid w:val="00E04BD5"/>
    <w:rsid w:val="00E070D2"/>
    <w:rsid w:val="00E1539C"/>
    <w:rsid w:val="00E162B6"/>
    <w:rsid w:val="00E16E01"/>
    <w:rsid w:val="00E24A50"/>
    <w:rsid w:val="00E35639"/>
    <w:rsid w:val="00E432CC"/>
    <w:rsid w:val="00E50711"/>
    <w:rsid w:val="00E60EDA"/>
    <w:rsid w:val="00E62BBC"/>
    <w:rsid w:val="00E9503C"/>
    <w:rsid w:val="00E956D9"/>
    <w:rsid w:val="00EA1958"/>
    <w:rsid w:val="00EA29F5"/>
    <w:rsid w:val="00EA482D"/>
    <w:rsid w:val="00EB5FE6"/>
    <w:rsid w:val="00EB61A5"/>
    <w:rsid w:val="00EB7A09"/>
    <w:rsid w:val="00EC5AF4"/>
    <w:rsid w:val="00ED661C"/>
    <w:rsid w:val="00ED676E"/>
    <w:rsid w:val="00EE41B5"/>
    <w:rsid w:val="00EE66C9"/>
    <w:rsid w:val="00EF11A9"/>
    <w:rsid w:val="00EF38E1"/>
    <w:rsid w:val="00EF749A"/>
    <w:rsid w:val="00EF771E"/>
    <w:rsid w:val="00F02565"/>
    <w:rsid w:val="00F05542"/>
    <w:rsid w:val="00F17A2C"/>
    <w:rsid w:val="00F26708"/>
    <w:rsid w:val="00F31534"/>
    <w:rsid w:val="00F42FE7"/>
    <w:rsid w:val="00F511EE"/>
    <w:rsid w:val="00F558E7"/>
    <w:rsid w:val="00F62016"/>
    <w:rsid w:val="00F63F44"/>
    <w:rsid w:val="00F6746D"/>
    <w:rsid w:val="00F811CD"/>
    <w:rsid w:val="00F82D8F"/>
    <w:rsid w:val="00F83F62"/>
    <w:rsid w:val="00F9711D"/>
    <w:rsid w:val="00FA75E0"/>
    <w:rsid w:val="00FB20B1"/>
    <w:rsid w:val="00FB3AB4"/>
    <w:rsid w:val="00FC56A4"/>
    <w:rsid w:val="00FD3D06"/>
    <w:rsid w:val="00FD5662"/>
    <w:rsid w:val="00FD72B6"/>
    <w:rsid w:val="00FE00AD"/>
    <w:rsid w:val="00FE499F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Date" w:unhideWhenUsed="0"/>
    <w:lsdException w:name="Body Text 2" w:unhideWhenUsed="0"/>
    <w:lsdException w:name="Body Text 3" w:unhideWhenUsed="0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99"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5Char">
    <w:name w:val="Título 5 Char"/>
    <w:link w:val="Ttulo5"/>
    <w:uiPriority w:val="99"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9"/>
    <w:locked/>
    <w:rPr>
      <w:rFonts w:ascii="Calibri" w:hAnsi="Calibri" w:cs="Calibri"/>
      <w:b/>
      <w:bCs/>
      <w:sz w:val="22"/>
      <w:szCs w:val="22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Calibri" w:hAnsi="Calibri"/>
      <w:lang w:val="x-none" w:eastAsia="x-none"/>
    </w:rPr>
  </w:style>
  <w:style w:type="character" w:customStyle="1" w:styleId="CabealhoChar">
    <w:name w:val="Cabeçalho Char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rFonts w:ascii="Calibri" w:hAnsi="Calibri"/>
      <w:lang w:val="x-none" w:eastAsia="x-none"/>
    </w:rPr>
  </w:style>
  <w:style w:type="character" w:customStyle="1" w:styleId="RodapChar">
    <w:name w:val="Rodapé Char"/>
    <w:link w:val="Rodap"/>
    <w:uiPriority w:val="99"/>
    <w:locked/>
    <w:rPr>
      <w:rFonts w:cs="Times New Roman"/>
    </w:rPr>
  </w:style>
  <w:style w:type="paragraph" w:styleId="Corpodetexto">
    <w:name w:val="Body Text"/>
    <w:basedOn w:val="Normal"/>
    <w:link w:val="CorpodetextoChar"/>
    <w:uiPriority w:val="99"/>
    <w:pPr>
      <w:jc w:val="center"/>
    </w:pPr>
    <w:rPr>
      <w:rFonts w:ascii="Calibri" w:hAnsi="Calibri"/>
      <w:lang w:val="x-none" w:eastAsia="x-none"/>
    </w:rPr>
  </w:style>
  <w:style w:type="character" w:customStyle="1" w:styleId="CorpodetextoChar">
    <w:name w:val="Corpo de texto Char"/>
    <w:link w:val="Corpodetexto"/>
    <w:uiPriority w:val="99"/>
    <w:locked/>
    <w:rPr>
      <w:rFonts w:cs="Times New Roman"/>
    </w:rPr>
  </w:style>
  <w:style w:type="paragraph" w:customStyle="1" w:styleId="coletanea">
    <w:name w:val="coletanea"/>
    <w:basedOn w:val="Normal"/>
    <w:pPr>
      <w:jc w:val="both"/>
    </w:pPr>
  </w:style>
  <w:style w:type="paragraph" w:customStyle="1" w:styleId="Ementa">
    <w:name w:val="Ementa"/>
    <w:basedOn w:val="Normal"/>
    <w:uiPriority w:val="99"/>
    <w:pPr>
      <w:ind w:left="4536"/>
      <w:jc w:val="both"/>
    </w:pPr>
    <w:rPr>
      <w:rFonts w:ascii="Courier New" w:hAnsi="Courier New" w:cs="Courier New"/>
      <w:color w:val="808000"/>
      <w:sz w:val="24"/>
      <w:szCs w:val="24"/>
      <w:lang w:val="en-US"/>
    </w:rPr>
  </w:style>
  <w:style w:type="paragraph" w:styleId="Corpodetexto3">
    <w:name w:val="Body Text 3"/>
    <w:basedOn w:val="Normal"/>
    <w:link w:val="Corpodetexto3Char"/>
    <w:uiPriority w:val="99"/>
    <w:pPr>
      <w:jc w:val="both"/>
    </w:pPr>
    <w:rPr>
      <w:rFonts w:ascii="Calibri" w:hAnsi="Calibri"/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uiPriority w:val="99"/>
    <w:locked/>
    <w:rPr>
      <w:rFonts w:cs="Times New Roman"/>
      <w:sz w:val="16"/>
      <w:szCs w:val="16"/>
    </w:rPr>
  </w:style>
  <w:style w:type="character" w:styleId="Nmerodepgina">
    <w:name w:val="page number"/>
    <w:uiPriority w:val="99"/>
    <w:rPr>
      <w:rFonts w:cs="Times New Roman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customStyle="1" w:styleId="Identificao">
    <w:name w:val="Identificação"/>
    <w:basedOn w:val="Normal"/>
    <w:uiPriority w:val="99"/>
    <w:pPr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paragraph" w:customStyle="1" w:styleId="Corpo">
    <w:name w:val="Corpo"/>
    <w:link w:val="CorpoChar"/>
    <w:uiPriority w:val="99"/>
    <w:qFormat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  <w:lang w:val="en-US"/>
    </w:rPr>
  </w:style>
  <w:style w:type="character" w:customStyle="1" w:styleId="Hiperlink">
    <w:name w:val="Hiperlink"/>
    <w:uiPriority w:val="99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rFonts w:ascii="Calibri" w:hAnsi="Calibri"/>
      <w:sz w:val="22"/>
      <w:szCs w:val="22"/>
      <w:lang w:val="x-none" w:eastAsia="x-none"/>
    </w:rPr>
  </w:style>
  <w:style w:type="character" w:customStyle="1" w:styleId="Corpodetexto2Char">
    <w:name w:val="Corpo de texto 2 Char"/>
    <w:link w:val="Corpodetexto2"/>
    <w:uiPriority w:val="99"/>
    <w:locked/>
    <w:rPr>
      <w:rFonts w:cs="Times New Roman"/>
      <w:sz w:val="22"/>
      <w:szCs w:val="22"/>
    </w:rPr>
  </w:style>
  <w:style w:type="paragraph" w:customStyle="1" w:styleId="Voto">
    <w:name w:val="Voto"/>
    <w:basedOn w:val="Corpo"/>
    <w:next w:val="Corpo"/>
    <w:uiPriority w:val="99"/>
    <w:rPr>
      <w:color w:val="0000FF"/>
    </w:rPr>
  </w:style>
  <w:style w:type="paragraph" w:customStyle="1" w:styleId="Transcrio">
    <w:name w:val="Transcrição"/>
    <w:basedOn w:val="Corpo"/>
    <w:uiPriority w:val="99"/>
    <w:pPr>
      <w:ind w:left="2551" w:firstLine="567"/>
    </w:pPr>
    <w:rPr>
      <w:rFonts w:ascii="Times New Roman" w:hAnsi="Times New Roman" w:cs="Times New Roman"/>
    </w:rPr>
  </w:style>
  <w:style w:type="paragraph" w:customStyle="1" w:styleId="Transcrio2">
    <w:name w:val="Transcrição 2"/>
    <w:basedOn w:val="Corpo"/>
    <w:uiPriority w:val="99"/>
    <w:pPr>
      <w:spacing w:line="240" w:lineRule="auto"/>
      <w:ind w:left="3686" w:firstLine="567"/>
    </w:pPr>
    <w:rPr>
      <w:rFonts w:ascii="Times New Roman" w:hAnsi="Times New Roman" w:cs="Times New Roman"/>
    </w:rPr>
  </w:style>
  <w:style w:type="paragraph" w:styleId="Recuodecorpodetexto">
    <w:name w:val="Body Text Indent"/>
    <w:basedOn w:val="Normal"/>
    <w:link w:val="RecuodecorpodetextoChar"/>
    <w:uiPriority w:val="99"/>
    <w:pPr>
      <w:spacing w:line="360" w:lineRule="auto"/>
      <w:ind w:firstLine="2552"/>
      <w:jc w:val="both"/>
    </w:pPr>
    <w:rPr>
      <w:rFonts w:ascii="Calibri" w:hAnsi="Calibri"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locked/>
    <w:rPr>
      <w:rFonts w:cs="Times New Roman"/>
    </w:rPr>
  </w:style>
  <w:style w:type="paragraph" w:customStyle="1" w:styleId="CORPO0">
    <w:name w:val="CORPO"/>
    <w:uiPriority w:val="99"/>
    <w:pPr>
      <w:autoSpaceDE w:val="0"/>
      <w:autoSpaceDN w:val="0"/>
      <w:spacing w:line="360" w:lineRule="atLeast"/>
      <w:ind w:firstLine="2551"/>
      <w:jc w:val="both"/>
    </w:pPr>
    <w:rPr>
      <w:rFonts w:ascii="Courier New" w:hAnsi="Courier New" w:cs="Courier New"/>
      <w:color w:val="000000"/>
      <w:sz w:val="24"/>
      <w:szCs w:val="24"/>
    </w:rPr>
  </w:style>
  <w:style w:type="character" w:styleId="Forte">
    <w:name w:val="Strong"/>
    <w:uiPriority w:val="99"/>
    <w:qFormat/>
    <w:rPr>
      <w:rFonts w:cs="Times New Roman"/>
      <w:b/>
      <w:bCs/>
    </w:rPr>
  </w:style>
  <w:style w:type="paragraph" w:styleId="Recuodecorpodetexto2">
    <w:name w:val="Body Text Indent 2"/>
    <w:basedOn w:val="Normal"/>
    <w:link w:val="Recuodecorpodetexto2Char"/>
    <w:uiPriority w:val="99"/>
    <w:pPr>
      <w:ind w:left="214" w:hanging="142"/>
    </w:pPr>
    <w:rPr>
      <w:rFonts w:ascii="Calibri" w:hAnsi="Calibri"/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locked/>
    <w:rPr>
      <w:rFonts w:cs="Times New Roman"/>
    </w:rPr>
  </w:style>
  <w:style w:type="paragraph" w:customStyle="1" w:styleId="Funo">
    <w:name w:val="Função"/>
    <w:basedOn w:val="Corpo"/>
    <w:uiPriority w:val="99"/>
    <w:pPr>
      <w:spacing w:line="360" w:lineRule="auto"/>
      <w:ind w:left="1871" w:right="1871" w:firstLine="0"/>
      <w:jc w:val="center"/>
    </w:pPr>
    <w:rPr>
      <w:b/>
      <w:bCs/>
      <w:sz w:val="20"/>
      <w:szCs w:val="20"/>
    </w:rPr>
  </w:style>
  <w:style w:type="paragraph" w:customStyle="1" w:styleId="IstoPosto">
    <w:name w:val="Isto Posto"/>
    <w:basedOn w:val="Corpo"/>
    <w:next w:val="Corpo"/>
    <w:uiPriority w:val="99"/>
    <w:rPr>
      <w:color w:val="800080"/>
    </w:rPr>
  </w:style>
  <w:style w:type="paragraph" w:customStyle="1" w:styleId="body8sem">
    <w:name w:val="body8sem"/>
    <w:uiPriority w:val="99"/>
    <w:pPr>
      <w:autoSpaceDE w:val="0"/>
      <w:autoSpaceDN w:val="0"/>
      <w:spacing w:line="180" w:lineRule="atLeast"/>
      <w:jc w:val="both"/>
    </w:pPr>
    <w:rPr>
      <w:rFonts w:ascii="Times New Roman" w:hAnsi="Times New Roman"/>
      <w:color w:val="000000"/>
      <w:sz w:val="16"/>
      <w:szCs w:val="16"/>
    </w:rPr>
  </w:style>
  <w:style w:type="paragraph" w:customStyle="1" w:styleId="Relatrio">
    <w:name w:val="Relatório"/>
    <w:basedOn w:val="Corpo"/>
    <w:next w:val="Corpo"/>
    <w:uiPriority w:val="99"/>
    <w:rPr>
      <w:color w:val="008000"/>
    </w:rPr>
  </w:style>
  <w:style w:type="paragraph" w:styleId="Data">
    <w:name w:val="Date"/>
    <w:basedOn w:val="Corpo"/>
    <w:next w:val="Corpo"/>
    <w:link w:val="DataChar"/>
    <w:uiPriority w:val="99"/>
    <w:pPr>
      <w:ind w:firstLine="2552"/>
    </w:pPr>
    <w:rPr>
      <w:rFonts w:ascii="Calibri" w:hAnsi="Calibri" w:cs="Times New Roman"/>
      <w:color w:val="auto"/>
      <w:sz w:val="20"/>
      <w:szCs w:val="20"/>
      <w:lang w:val="x-none" w:eastAsia="x-none"/>
    </w:rPr>
  </w:style>
  <w:style w:type="character" w:customStyle="1" w:styleId="DataChar">
    <w:name w:val="Data Char"/>
    <w:link w:val="Data"/>
    <w:uiPriority w:val="99"/>
    <w:locked/>
    <w:rPr>
      <w:rFonts w:cs="Times New Roman"/>
    </w:rPr>
  </w:style>
  <w:style w:type="paragraph" w:customStyle="1" w:styleId="TemaPN">
    <w:name w:val="TemaPN"/>
    <w:next w:val="Normal"/>
    <w:autoRedefine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  <w:tab w:val="left" w:pos="7088"/>
      </w:tabs>
      <w:autoSpaceDE w:val="0"/>
      <w:autoSpaceDN w:val="0"/>
      <w:spacing w:before="260"/>
      <w:ind w:left="737" w:hanging="907"/>
      <w:jc w:val="both"/>
    </w:pPr>
    <w:rPr>
      <w:rFonts w:ascii="Times New Roman" w:hAnsi="Times New Roman"/>
      <w:b/>
      <w:bCs/>
      <w:color w:val="000000"/>
      <w:sz w:val="28"/>
      <w:szCs w:val="28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locked/>
    <w:rPr>
      <w:rFonts w:ascii="Tahoma" w:hAnsi="Tahoma" w:cs="Tahoma"/>
      <w:sz w:val="16"/>
      <w:szCs w:val="16"/>
    </w:rPr>
  </w:style>
  <w:style w:type="paragraph" w:customStyle="1" w:styleId="Textoenun">
    <w:name w:val="Textoenun"/>
    <w:basedOn w:val="Normal"/>
    <w:uiPriority w:val="99"/>
    <w:pPr>
      <w:keepNext/>
      <w:keepLines/>
      <w:tabs>
        <w:tab w:val="left" w:pos="284"/>
        <w:tab w:val="left" w:pos="568"/>
        <w:tab w:val="left" w:pos="852"/>
        <w:tab w:val="left" w:pos="1136"/>
        <w:tab w:val="left" w:pos="1420"/>
        <w:tab w:val="left" w:pos="1704"/>
        <w:tab w:val="left" w:pos="1988"/>
        <w:tab w:val="left" w:pos="2272"/>
        <w:tab w:val="left" w:pos="2556"/>
        <w:tab w:val="left" w:pos="2840"/>
        <w:tab w:val="left" w:pos="3124"/>
        <w:tab w:val="left" w:pos="3408"/>
        <w:tab w:val="left" w:pos="3692"/>
        <w:tab w:val="left" w:pos="3976"/>
        <w:tab w:val="left" w:pos="4260"/>
        <w:tab w:val="left" w:pos="4544"/>
        <w:tab w:val="left" w:pos="4828"/>
        <w:tab w:val="left" w:pos="5112"/>
        <w:tab w:val="left" w:pos="5396"/>
        <w:tab w:val="left" w:pos="5680"/>
        <w:tab w:val="left" w:pos="5964"/>
        <w:tab w:val="left" w:pos="6248"/>
      </w:tabs>
      <w:ind w:left="737"/>
      <w:jc w:val="both"/>
    </w:pPr>
    <w:rPr>
      <w:sz w:val="28"/>
      <w:szCs w:val="28"/>
    </w:rPr>
  </w:style>
  <w:style w:type="paragraph" w:customStyle="1" w:styleId="NumProcesso">
    <w:name w:val="Num.Processo"/>
    <w:uiPriority w:val="99"/>
    <w:pPr>
      <w:widowControl w:val="0"/>
      <w:autoSpaceDE w:val="0"/>
      <w:autoSpaceDN w:val="0"/>
      <w:spacing w:before="170" w:line="360" w:lineRule="atLeast"/>
      <w:jc w:val="right"/>
    </w:pPr>
    <w:rPr>
      <w:rFonts w:ascii="Courier New" w:hAnsi="Courier New" w:cs="Courier New"/>
      <w:b/>
      <w:bCs/>
      <w:color w:val="000000"/>
      <w:sz w:val="24"/>
      <w:szCs w:val="24"/>
    </w:rPr>
  </w:style>
  <w:style w:type="character" w:styleId="nfase">
    <w:name w:val="Emphasis"/>
    <w:uiPriority w:val="99"/>
    <w:qFormat/>
    <w:rPr>
      <w:rFonts w:cs="Times New Roman"/>
      <w:i/>
      <w:iCs/>
    </w:rPr>
  </w:style>
  <w:style w:type="paragraph" w:customStyle="1" w:styleId="tema">
    <w:name w:val="tema"/>
    <w:link w:val="temaChar"/>
    <w:qFormat/>
    <w:pPr>
      <w:widowControl w:val="0"/>
      <w:autoSpaceDE w:val="0"/>
      <w:autoSpaceDN w:val="0"/>
      <w:spacing w:line="200" w:lineRule="exact"/>
      <w:ind w:left="567"/>
      <w:jc w:val="both"/>
    </w:pPr>
    <w:rPr>
      <w:rFonts w:ascii="Courier New" w:hAnsi="Courier New" w:cs="Courier New"/>
      <w:b/>
      <w:bCs/>
      <w:caps/>
      <w:color w:val="000000"/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sz w:val="24"/>
      <w:szCs w:val="24"/>
    </w:rPr>
  </w:style>
  <w:style w:type="character" w:customStyle="1" w:styleId="moz-txt-tag">
    <w:name w:val="moz-txt-tag"/>
    <w:uiPriority w:val="99"/>
    <w:rPr>
      <w:rFonts w:cs="Times New Roman"/>
    </w:rPr>
  </w:style>
  <w:style w:type="paragraph" w:customStyle="1" w:styleId="EXPLICAO">
    <w:name w:val="EXPLICAÇÃO"/>
    <w:pPr>
      <w:widowControl w:val="0"/>
      <w:autoSpaceDE w:val="0"/>
      <w:autoSpaceDN w:val="0"/>
      <w:spacing w:line="230" w:lineRule="atLeast"/>
      <w:ind w:left="284"/>
      <w:jc w:val="both"/>
    </w:pPr>
    <w:rPr>
      <w:rFonts w:ascii="Courier New" w:hAnsi="Courier New" w:cs="Courier New"/>
      <w:i/>
      <w:iCs/>
      <w:color w:val="000000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Pr-formataoHTMLChar">
    <w:name w:val="Pré-formatação HTML Char"/>
    <w:link w:val="Pr-formatao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Preformatted">
    <w:name w:val="Preformatted"/>
    <w:basedOn w:val="Normal"/>
    <w:uiPriority w:val="9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explicao0">
    <w:name w:val="explicação"/>
    <w:qFormat/>
    <w:rsid w:val="00553197"/>
    <w:pPr>
      <w:widowControl w:val="0"/>
      <w:tabs>
        <w:tab w:val="left" w:pos="5103"/>
        <w:tab w:val="left" w:pos="5245"/>
      </w:tabs>
      <w:spacing w:line="200" w:lineRule="exact"/>
      <w:ind w:left="284"/>
      <w:jc w:val="both"/>
    </w:pPr>
    <w:rPr>
      <w:rFonts w:ascii="Courier New" w:hAnsi="Courier New"/>
      <w:i/>
      <w:color w:val="000000"/>
      <w:sz w:val="24"/>
    </w:rPr>
  </w:style>
  <w:style w:type="paragraph" w:customStyle="1" w:styleId="Tabela">
    <w:name w:val="Tabela"/>
    <w:rsid w:val="00004C36"/>
    <w:pPr>
      <w:widowControl w:val="0"/>
      <w:spacing w:line="255" w:lineRule="atLeast"/>
      <w:jc w:val="both"/>
    </w:pPr>
    <w:rPr>
      <w:rFonts w:ascii="Courier New" w:hAnsi="Courier New"/>
      <w:caps/>
      <w:color w:val="000000"/>
      <w:sz w:val="24"/>
    </w:rPr>
  </w:style>
  <w:style w:type="character" w:customStyle="1" w:styleId="temaChar">
    <w:name w:val="tema Char"/>
    <w:link w:val="tema"/>
    <w:locked/>
    <w:rsid w:val="003908C5"/>
    <w:rPr>
      <w:rFonts w:ascii="Courier New" w:hAnsi="Courier New" w:cs="Courier New"/>
      <w:b/>
      <w:bCs/>
      <w:caps/>
      <w:color w:val="000000"/>
      <w:sz w:val="24"/>
      <w:szCs w:val="24"/>
      <w:lang w:val="pt-BR" w:eastAsia="pt-BR" w:bidi="ar-SA"/>
    </w:rPr>
  </w:style>
  <w:style w:type="character" w:customStyle="1" w:styleId="CorpoChar">
    <w:name w:val="Corpo Char"/>
    <w:link w:val="Corpo"/>
    <w:uiPriority w:val="99"/>
    <w:locked/>
    <w:rsid w:val="008D3C38"/>
    <w:rPr>
      <w:rFonts w:ascii="Courier New" w:hAnsi="Courier New" w:cs="Courier New"/>
      <w:color w:val="000000"/>
      <w:sz w:val="24"/>
      <w:szCs w:val="24"/>
      <w:lang w:val="en-US" w:eastAsia="pt-BR" w:bidi="ar-SA"/>
    </w:rPr>
  </w:style>
  <w:style w:type="character" w:styleId="HiperlinkVisitado">
    <w:name w:val="FollowedHyperlink"/>
    <w:uiPriority w:val="99"/>
    <w:semiHidden/>
    <w:unhideWhenUsed/>
    <w:rsid w:val="007320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icacao5.tst.jus.br/consultaProcessual/consultaTstNumUnica.do?consulta=Consultar&amp;conscsjt=&amp;numeroTst=912&amp;digitoTst=26&amp;anoTst=2010&amp;orgaoTst=5&amp;tribunalTst=15&amp;varaTst=0156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licacao5.tst.jus.br/consultaProcessual/consultaTstNumUnica.do?consulta=Consultar&amp;conscsjt=&amp;numeroTst=152100&amp;digitoTst=35&amp;anoTst=2005&amp;orgaoTst=5&amp;tribunalTst=15&amp;varaTst=002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ao5.tst.jus.br/consultaProcessual/consultaTstNumUnica.do?consulta=Consultar&amp;conscsjt=&amp;numeroTst=116885&amp;digitoTst=86&amp;anoTst=2005&amp;orgaoTst=5&amp;tribunalTst=15&amp;varaTst=0129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FA848-A76B-44D3-B3B0-7C4BB3146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1133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Este Informativo, elaborado a partir de notas tomadas nas sessões de julgamentos, contém resumos não-oficiais de decisões proferidas pelo Tribunal</vt:lpstr>
    </vt:vector>
  </TitlesOfParts>
  <Company>Tribunal Superior do Trabalho</Company>
  <LinksUpToDate>false</LinksUpToDate>
  <CharactersWithSpaces>7243</CharactersWithSpaces>
  <SharedDoc>false</SharedDoc>
  <HLinks>
    <vt:vector size="18" baseType="variant">
      <vt:variant>
        <vt:i4>6225998</vt:i4>
      </vt:variant>
      <vt:variant>
        <vt:i4>6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https://aplicacao5.tst.jus.br/consultaProcessual/consultaTstNumUnica.do?consulta=Consultar&amp;conscsjt=&amp;numeroTst=152100&amp;digitoTst=35&amp;anoTst=2005&amp;orgaoTst=5&amp;tribunalTst=15&amp;varaTst=0029</vt:lpwstr>
      </vt:variant>
      <vt:variant>
        <vt:lpwstr/>
      </vt:variant>
      <vt:variant>
        <vt:i4>5242956</vt:i4>
      </vt:variant>
      <vt:variant>
        <vt:i4>3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https://aplicacao5.tst.jus.br/consultaProcessual/consultaTstNumUnica.do?consulta=Consultar&amp;conscsjt=&amp;numeroTst=116885&amp;digitoTst=86&amp;anoTst=2005&amp;orgaoTst=5&amp;tribunalTst=15&amp;varaTst=0129</vt:lpwstr>
      </vt:variant>
      <vt:variant>
        <vt:lpwstr/>
      </vt:variant>
      <vt:variant>
        <vt:i4>2687027</vt:i4>
      </vt:variant>
      <vt:variant>
        <vt:i4>0</vt:i4>
      </vt:variant>
      <vt:variant>
        <vt:i4>0</vt:i4>
      </vt:variant>
      <vt:variant>
        <vt:i4>5</vt:i4>
      </vt:variant>
      <vt:variant>
        <vt:lpwstr>https://aplicacao5.tst.jus.br/consultaProcessual/consultaTstNumUnica.do?consulta=Consultar&amp;conscsjt=&amp;numeroTst=912&amp;digitoTst=26&amp;anoTst=2010&amp;orgaoTst=5&amp;tribunalTst=15&amp;varaTst=0156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Este Informativo, elaborado a partir de notas tomadas nas sessões de julgamentos, contém resumos não-oficiais de decisões proferidas pelo Tribunal</dc:title>
  <dc:subject/>
  <dc:creator>C037163</dc:creator>
  <cp:keywords/>
  <cp:lastModifiedBy>c041658</cp:lastModifiedBy>
  <cp:revision>2</cp:revision>
  <cp:lastPrinted>2012-03-09T15:01:00Z</cp:lastPrinted>
  <dcterms:created xsi:type="dcterms:W3CDTF">2018-06-27T21:45:00Z</dcterms:created>
  <dcterms:modified xsi:type="dcterms:W3CDTF">2018-06-27T21:45:00Z</dcterms:modified>
</cp:coreProperties>
</file>