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631F1C" w:rsidRPr="00971E07" w:rsidRDefault="00631F1C" w:rsidP="009729B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SEÇÃO ESPECIALIZADA EM DISSÍDIOS COLETIVOS</w:t>
      </w:r>
    </w:p>
    <w:p w:rsidR="00C71A3B" w:rsidRPr="005D1DE4" w:rsidRDefault="00C71A3B" w:rsidP="00F82D8F">
      <w:pPr>
        <w:pStyle w:val="Corpo"/>
        <w:spacing w:line="240" w:lineRule="auto"/>
        <w:ind w:firstLine="0"/>
        <w:rPr>
          <w:rFonts w:ascii="Times New Roman" w:hAnsi="Times New Roman" w:cs="Times New Roman"/>
          <w:b/>
          <w:bCs/>
          <w:i/>
          <w:iCs/>
          <w:sz w:val="10"/>
          <w:szCs w:val="10"/>
          <w:lang w:val="pt-BR"/>
        </w:rPr>
      </w:pPr>
    </w:p>
    <w:p w:rsidR="009729B4" w:rsidRDefault="009729B4" w:rsidP="009729B4">
      <w:pPr>
        <w:jc w:val="both"/>
        <w:rPr>
          <w:b/>
          <w:i/>
          <w:sz w:val="24"/>
          <w:szCs w:val="24"/>
        </w:rPr>
      </w:pPr>
      <w:r>
        <w:rPr>
          <w:b/>
          <w:i/>
          <w:sz w:val="24"/>
          <w:szCs w:val="24"/>
        </w:rPr>
        <w:t xml:space="preserve">Horas </w:t>
      </w:r>
      <w:r w:rsidRPr="009242E6">
        <w:rPr>
          <w:i/>
          <w:sz w:val="24"/>
          <w:szCs w:val="24"/>
        </w:rPr>
        <w:t>in itinere</w:t>
      </w:r>
      <w:r w:rsidRPr="008A5F1D">
        <w:rPr>
          <w:b/>
          <w:i/>
          <w:sz w:val="24"/>
          <w:szCs w:val="24"/>
        </w:rPr>
        <w:t xml:space="preserve">. </w:t>
      </w:r>
      <w:r>
        <w:rPr>
          <w:b/>
          <w:i/>
          <w:sz w:val="24"/>
          <w:szCs w:val="24"/>
        </w:rPr>
        <w:t>Prefixação</w:t>
      </w:r>
      <w:r w:rsidRPr="008A5F1D">
        <w:rPr>
          <w:b/>
          <w:i/>
          <w:sz w:val="24"/>
          <w:szCs w:val="24"/>
        </w:rPr>
        <w:t>.</w:t>
      </w:r>
      <w:r>
        <w:rPr>
          <w:b/>
          <w:i/>
          <w:sz w:val="24"/>
          <w:szCs w:val="24"/>
        </w:rPr>
        <w:t xml:space="preserve"> Norma coletiva. </w:t>
      </w:r>
      <w:r w:rsidRPr="008A5F1D">
        <w:rPr>
          <w:b/>
          <w:i/>
          <w:sz w:val="24"/>
          <w:szCs w:val="24"/>
        </w:rPr>
        <w:t>Validade</w:t>
      </w:r>
      <w:r>
        <w:rPr>
          <w:b/>
          <w:i/>
          <w:sz w:val="24"/>
          <w:szCs w:val="24"/>
        </w:rPr>
        <w:t xml:space="preserve">. </w:t>
      </w:r>
    </w:p>
    <w:p w:rsidR="009729B4" w:rsidRDefault="009729B4" w:rsidP="009729B4">
      <w:pPr>
        <w:jc w:val="both"/>
        <w:rPr>
          <w:sz w:val="24"/>
          <w:szCs w:val="24"/>
          <w:u w:val="single"/>
        </w:rPr>
      </w:pPr>
      <w:r w:rsidRPr="00CC5B12">
        <w:rPr>
          <w:sz w:val="24"/>
          <w:szCs w:val="24"/>
        </w:rPr>
        <w:t xml:space="preserve">A SDC, por unanimidade, negou provimento ao recurso ordinário do Ministério Público do Trabalho da 18ª Região, confirmando decisão do Regional que manteve cláusula de convenção coletiva de trabalho que pré-fixou em uma hora o tempo a ser pago a título de </w:t>
      </w:r>
      <w:r>
        <w:rPr>
          <w:sz w:val="24"/>
          <w:szCs w:val="24"/>
        </w:rPr>
        <w:t>horas</w:t>
      </w:r>
      <w:r w:rsidRPr="00CC5B12">
        <w:rPr>
          <w:sz w:val="24"/>
          <w:szCs w:val="24"/>
        </w:rPr>
        <w:t xml:space="preserve"> </w:t>
      </w:r>
      <w:r w:rsidRPr="00CC5B12">
        <w:rPr>
          <w:i/>
          <w:sz w:val="24"/>
          <w:szCs w:val="24"/>
        </w:rPr>
        <w:t>in itinere</w:t>
      </w:r>
      <w:r>
        <w:rPr>
          <w:sz w:val="24"/>
          <w:szCs w:val="24"/>
        </w:rPr>
        <w:t xml:space="preserve"> aos trabalhadores rurais do setor canavieiro de todo o Estado de Goiás. Na espécie, prevaleceu o entendimento de que é possível, por meio de negociação coletiva, estipular um montante de horas itinerantes a serem pagas, não se admitindo apenas a supressão da parcela, sua fixação desproporcional ou, ainda, a retirada do caráter salarial, do direito aos respectivos reflexos ou do adicional de horas extras. Na espécie, restou consignado que embora os trabalhadores de alguns municípios necessitassem de longo período de locomoção, os empregados de outras cidades da região perfaziam o percurso até o trabalho em período próximo ao prefixado, razão pela qual o tempo de uma hora não se mostrou abusivo em relação ao tempo efetivamente gasto pelo conjunto de trabalhadores submetidos à cláusula, considerando-se não os casos individuais, mas a dinâmica das empresas envolvidas e as variadas distâncias entre os pontos de acesso e as frentes de trabalho. </w:t>
      </w:r>
      <w:hyperlink r:id="rId8" w:history="1">
        <w:r w:rsidRPr="0029580D">
          <w:rPr>
            <w:rStyle w:val="Hyperlink"/>
            <w:sz w:val="24"/>
            <w:szCs w:val="24"/>
          </w:rPr>
          <w:t>TST-RO-415-74.2011.5.18.0000</w:t>
        </w:r>
      </w:hyperlink>
      <w:r w:rsidRPr="0029580D">
        <w:rPr>
          <w:sz w:val="24"/>
          <w:szCs w:val="24"/>
          <w:u w:val="single"/>
        </w:rPr>
        <w:t xml:space="preserve">, SDC, rel. </w:t>
      </w:r>
      <w:r>
        <w:rPr>
          <w:sz w:val="24"/>
          <w:szCs w:val="24"/>
          <w:u w:val="single"/>
        </w:rPr>
        <w:t xml:space="preserve">Min. </w:t>
      </w:r>
      <w:r w:rsidRPr="0029580D">
        <w:rPr>
          <w:sz w:val="24"/>
          <w:szCs w:val="24"/>
          <w:u w:val="single"/>
        </w:rPr>
        <w:t xml:space="preserve">Mauricio Godinho Delgado, </w:t>
      </w:r>
      <w:r>
        <w:rPr>
          <w:sz w:val="24"/>
          <w:szCs w:val="24"/>
          <w:u w:val="single"/>
        </w:rPr>
        <w:t>9.</w:t>
      </w:r>
      <w:r w:rsidRPr="0029580D">
        <w:rPr>
          <w:sz w:val="24"/>
          <w:szCs w:val="24"/>
          <w:u w:val="single"/>
        </w:rPr>
        <w:t>9.2013</w:t>
      </w:r>
    </w:p>
    <w:p w:rsidR="009729B4" w:rsidRDefault="009729B4" w:rsidP="009729B4">
      <w:pPr>
        <w:jc w:val="both"/>
        <w:rPr>
          <w:sz w:val="24"/>
          <w:szCs w:val="24"/>
          <w:u w:val="single"/>
        </w:rPr>
      </w:pPr>
    </w:p>
    <w:p w:rsidR="009729B4" w:rsidRDefault="009729B4" w:rsidP="009729B4">
      <w:pPr>
        <w:jc w:val="both"/>
        <w:rPr>
          <w:b/>
          <w:i/>
          <w:sz w:val="24"/>
          <w:szCs w:val="24"/>
        </w:rPr>
      </w:pPr>
      <w:r>
        <w:rPr>
          <w:b/>
          <w:i/>
          <w:sz w:val="24"/>
          <w:szCs w:val="24"/>
        </w:rPr>
        <w:t xml:space="preserve">Dissídio coletivo </w:t>
      </w:r>
      <w:r w:rsidRPr="003F7F66">
        <w:rPr>
          <w:b/>
          <w:i/>
          <w:sz w:val="24"/>
          <w:szCs w:val="24"/>
        </w:rPr>
        <w:t xml:space="preserve">ajuizado pelo </w:t>
      </w:r>
      <w:r>
        <w:rPr>
          <w:b/>
          <w:i/>
          <w:sz w:val="24"/>
          <w:szCs w:val="24"/>
        </w:rPr>
        <w:t>S</w:t>
      </w:r>
      <w:r w:rsidRPr="003F7F66">
        <w:rPr>
          <w:b/>
          <w:i/>
          <w:sz w:val="24"/>
          <w:szCs w:val="24"/>
        </w:rPr>
        <w:t xml:space="preserve">indicato dos </w:t>
      </w:r>
      <w:r>
        <w:rPr>
          <w:b/>
          <w:i/>
          <w:sz w:val="24"/>
          <w:szCs w:val="24"/>
        </w:rPr>
        <w:t>A</w:t>
      </w:r>
      <w:r w:rsidRPr="003F7F66">
        <w:rPr>
          <w:b/>
          <w:i/>
          <w:sz w:val="24"/>
          <w:szCs w:val="24"/>
        </w:rPr>
        <w:t>eroviá</w:t>
      </w:r>
      <w:r>
        <w:rPr>
          <w:b/>
          <w:i/>
          <w:sz w:val="24"/>
          <w:szCs w:val="24"/>
        </w:rPr>
        <w:t>rios de Guarulhos perante o S</w:t>
      </w:r>
      <w:r w:rsidRPr="003F7F66">
        <w:rPr>
          <w:b/>
          <w:i/>
          <w:sz w:val="24"/>
          <w:szCs w:val="24"/>
        </w:rPr>
        <w:t xml:space="preserve">indicato </w:t>
      </w:r>
      <w:r>
        <w:rPr>
          <w:b/>
          <w:i/>
          <w:sz w:val="24"/>
          <w:szCs w:val="24"/>
        </w:rPr>
        <w:t>N</w:t>
      </w:r>
      <w:r w:rsidRPr="003F7F66">
        <w:rPr>
          <w:b/>
          <w:i/>
          <w:sz w:val="24"/>
          <w:szCs w:val="24"/>
        </w:rPr>
        <w:t xml:space="preserve">acional das </w:t>
      </w:r>
      <w:r>
        <w:rPr>
          <w:b/>
          <w:i/>
          <w:sz w:val="24"/>
          <w:szCs w:val="24"/>
        </w:rPr>
        <w:t>Empresas P</w:t>
      </w:r>
      <w:r w:rsidRPr="003F7F66">
        <w:rPr>
          <w:b/>
          <w:i/>
          <w:sz w:val="24"/>
          <w:szCs w:val="24"/>
        </w:rPr>
        <w:t xml:space="preserve">restadoras de </w:t>
      </w:r>
      <w:r>
        <w:rPr>
          <w:b/>
          <w:i/>
          <w:sz w:val="24"/>
          <w:szCs w:val="24"/>
        </w:rPr>
        <w:t>Serviços A</w:t>
      </w:r>
      <w:r w:rsidRPr="003F7F66">
        <w:rPr>
          <w:b/>
          <w:i/>
          <w:sz w:val="24"/>
          <w:szCs w:val="24"/>
        </w:rPr>
        <w:t xml:space="preserve">uxiliares de </w:t>
      </w:r>
      <w:r>
        <w:rPr>
          <w:b/>
          <w:i/>
          <w:sz w:val="24"/>
          <w:szCs w:val="24"/>
        </w:rPr>
        <w:t>T</w:t>
      </w:r>
      <w:r w:rsidRPr="003F7F66">
        <w:rPr>
          <w:b/>
          <w:i/>
          <w:sz w:val="24"/>
          <w:szCs w:val="24"/>
        </w:rPr>
        <w:t xml:space="preserve">ransporte </w:t>
      </w:r>
      <w:r>
        <w:rPr>
          <w:b/>
          <w:i/>
          <w:sz w:val="24"/>
          <w:szCs w:val="24"/>
        </w:rPr>
        <w:t>Aéreo – S</w:t>
      </w:r>
      <w:r w:rsidRPr="003F7F66">
        <w:rPr>
          <w:b/>
          <w:i/>
          <w:sz w:val="24"/>
          <w:szCs w:val="24"/>
        </w:rPr>
        <w:t xml:space="preserve">ineata. </w:t>
      </w:r>
      <w:r>
        <w:rPr>
          <w:b/>
          <w:i/>
          <w:sz w:val="24"/>
          <w:szCs w:val="24"/>
        </w:rPr>
        <w:t>I</w:t>
      </w:r>
      <w:r w:rsidRPr="003F7F66">
        <w:rPr>
          <w:b/>
          <w:i/>
          <w:sz w:val="24"/>
          <w:szCs w:val="24"/>
        </w:rPr>
        <w:t xml:space="preserve">legitimidade passiva </w:t>
      </w:r>
      <w:r w:rsidRPr="003F7F66">
        <w:rPr>
          <w:i/>
          <w:sz w:val="24"/>
          <w:szCs w:val="24"/>
        </w:rPr>
        <w:t>ad causam</w:t>
      </w:r>
      <w:r w:rsidRPr="003F7F66">
        <w:rPr>
          <w:b/>
          <w:i/>
          <w:sz w:val="24"/>
          <w:szCs w:val="24"/>
        </w:rPr>
        <w:t>.</w:t>
      </w:r>
      <w:r>
        <w:rPr>
          <w:b/>
          <w:i/>
          <w:sz w:val="24"/>
          <w:szCs w:val="24"/>
        </w:rPr>
        <w:t xml:space="preserve"> Superveniência de sindicato profissional específico.</w:t>
      </w:r>
    </w:p>
    <w:p w:rsidR="009729B4" w:rsidRDefault="009729B4" w:rsidP="009729B4">
      <w:pPr>
        <w:jc w:val="both"/>
        <w:rPr>
          <w:sz w:val="24"/>
          <w:szCs w:val="24"/>
          <w:u w:val="single"/>
        </w:rPr>
      </w:pPr>
      <w:r>
        <w:rPr>
          <w:sz w:val="24"/>
          <w:szCs w:val="24"/>
        </w:rPr>
        <w:t xml:space="preserve">Os aeroviários que trabalham em empresas aéreas, em terra, não devem ser confundidos com os trabalhadores em empresas auxiliares ao transporte aéreo, se houver, na base territorial, sindicato específico aos últimos. No caso vertente, os empregados nos serviços auxiliares passaram a ser representados, no Município de Guarulhos/SP, a partir de 2007, pelo Sindicato dos Trabalhadores em Empresas Prestadoras de Serviços Auxiliares de Transportes Aéreos do Estado de São Paulo – Sinteata, correspondente profissional ao Sindicato Nacional das Empresas Prestadoras de Serviços Auxiliares de Transporte Aéreo – Sineata, fazendo cessar, portanto, a </w:t>
      </w:r>
      <w:r w:rsidRPr="006A6C08">
        <w:rPr>
          <w:sz w:val="24"/>
          <w:szCs w:val="24"/>
        </w:rPr>
        <w:t xml:space="preserve">representação do Sindicato dos Aeroviários de Guarulhos, no tocante aos trabalhadores em empresas prestadoras de serviços auxiliares de transportes, até então legitimamente exercida por esse sindicato profissional mais antigo, </w:t>
      </w:r>
      <w:r>
        <w:rPr>
          <w:sz w:val="24"/>
          <w:szCs w:val="24"/>
        </w:rPr>
        <w:t xml:space="preserve">sem qualquer distinção entre os aeroviários em </w:t>
      </w:r>
      <w:r w:rsidRPr="006A6C08">
        <w:rPr>
          <w:sz w:val="24"/>
          <w:szCs w:val="24"/>
        </w:rPr>
        <w:t>empresas aéreas ou</w:t>
      </w:r>
      <w:r>
        <w:rPr>
          <w:sz w:val="24"/>
          <w:szCs w:val="24"/>
        </w:rPr>
        <w:t xml:space="preserve"> em</w:t>
      </w:r>
      <w:r w:rsidRPr="006A6C08">
        <w:rPr>
          <w:sz w:val="24"/>
          <w:szCs w:val="24"/>
        </w:rPr>
        <w:t xml:space="preserve"> empresas prestadoras de serviços auxiliares de transporte aéreo</w:t>
      </w:r>
      <w:r>
        <w:rPr>
          <w:sz w:val="24"/>
          <w:szCs w:val="24"/>
        </w:rPr>
        <w:t xml:space="preserve">. Assim, configurada a superveniência de sindicato profissional específico, nos termos do art. 570 da CLT, a SDC, por maioria, negou provimento ao recurso ordinário do suscitante, mantendo, ainda que por fundamento diverso, a ilegitimidade passiva </w:t>
      </w:r>
      <w:r>
        <w:rPr>
          <w:i/>
          <w:sz w:val="24"/>
          <w:szCs w:val="24"/>
        </w:rPr>
        <w:t>ad causam</w:t>
      </w:r>
      <w:r>
        <w:rPr>
          <w:sz w:val="24"/>
          <w:szCs w:val="24"/>
        </w:rPr>
        <w:t xml:space="preserve"> do Sineata para figurar no dissídio coletivo ajuizado pelo Sindicato dos Aeroviários de Garulhos. Vencidos os Ministros Márcio Eurico Vitral Amaro, Mauricio Godinho Delgado e Maria de Assis Calsing. </w:t>
      </w:r>
      <w:hyperlink r:id="rId9" w:history="1">
        <w:r w:rsidRPr="009729B4">
          <w:rPr>
            <w:rStyle w:val="Hyperlink"/>
            <w:sz w:val="24"/>
            <w:szCs w:val="24"/>
          </w:rPr>
          <w:t>TST-RO-7724-30.2010.5.02.0000</w:t>
        </w:r>
      </w:hyperlink>
      <w:r w:rsidRPr="003D032E">
        <w:rPr>
          <w:sz w:val="24"/>
          <w:szCs w:val="24"/>
          <w:u w:val="single"/>
        </w:rPr>
        <w:t xml:space="preserve">, </w:t>
      </w:r>
      <w:r>
        <w:rPr>
          <w:sz w:val="24"/>
          <w:szCs w:val="24"/>
          <w:u w:val="single"/>
        </w:rPr>
        <w:t>SDC, rel. Min. Fernando Eizo Ono, 9.9.2013</w:t>
      </w:r>
    </w:p>
    <w:p w:rsidR="009729B4" w:rsidRPr="00CC5B12" w:rsidRDefault="009729B4" w:rsidP="009729B4">
      <w:pPr>
        <w:jc w:val="both"/>
        <w:rPr>
          <w:sz w:val="24"/>
          <w:szCs w:val="24"/>
        </w:rPr>
      </w:pPr>
    </w:p>
    <w:p w:rsidR="009729B4" w:rsidRPr="008D6C83" w:rsidRDefault="009729B4" w:rsidP="009729B4">
      <w:pPr>
        <w:jc w:val="both"/>
        <w:rPr>
          <w:b/>
          <w:i/>
          <w:sz w:val="24"/>
          <w:szCs w:val="24"/>
        </w:rPr>
      </w:pPr>
      <w:r>
        <w:rPr>
          <w:b/>
          <w:i/>
          <w:sz w:val="24"/>
          <w:szCs w:val="24"/>
        </w:rPr>
        <w:t>Dissídio coletivo. Greve. Petrobras S/A. Contrato de prestação de serviços de construção civil. Ilegitimidade do Sindipetro/ES para liderar movimento grevista na qualidade de representante dos empregados da empresa terceirizada. Art. 511, §§ 1º e 2º, da CLT.</w:t>
      </w:r>
    </w:p>
    <w:p w:rsidR="009729B4" w:rsidRDefault="009729B4" w:rsidP="009729B4">
      <w:pPr>
        <w:jc w:val="both"/>
        <w:rPr>
          <w:sz w:val="24"/>
          <w:szCs w:val="24"/>
          <w:u w:val="single"/>
        </w:rPr>
      </w:pPr>
      <w:r>
        <w:rPr>
          <w:sz w:val="24"/>
          <w:szCs w:val="24"/>
        </w:rPr>
        <w:lastRenderedPageBreak/>
        <w:t>Nos termos do art. 511, §§ 1º e 2º, da CLT, a</w:t>
      </w:r>
      <w:r w:rsidRPr="008D6C83">
        <w:rPr>
          <w:sz w:val="24"/>
          <w:szCs w:val="24"/>
        </w:rPr>
        <w:t xml:space="preserve"> </w:t>
      </w:r>
      <w:r>
        <w:rPr>
          <w:sz w:val="24"/>
          <w:szCs w:val="24"/>
        </w:rPr>
        <w:t xml:space="preserve">vinculação sindical dos empregados, ainda que terceirizados, deve ser definida pela atividade preponderante da empresa prestadora de serviços, porquanto a categoria profissional a qual pertence o trabalhador deve corresponder à categoria econômica a qual se vincula o empregador. Com esse fundamento, a SDC, por maioria, deu provimento ao recurso ordinário em dissídio coletivo de greve interposto pela PROEN Projetos Engenharia Comércio e Montagens Ltda., para declarar a abusividade da greve deflagrada por seus empregados sob a liderança do Sindicato dos Trabalhadores na Indústria de Exploração, Perfuração, Extração e Produção de Petróleo nos Municípios de São Mateus, Linhares, Conceição da Barra e Jaguaré no Estado do Espírito Santo (Sindipetro/ES), e, em consequência, excluir da decisão normativa recorrida as obrigações impostas à PROEN. Na espécie, reconheceu-se que, à época da greve em questão, a empregadora, por força de contrato de prestação de serviços com a Petrobras S/A, atuava, de forma preponderante, no ramo da construção civil e não na exploração ou extração de petróleo. Nessa perspectiva, afastou-se a legitimidade do Sindipetro/ES por ausência de paralelismo entre a categoria profissional por este representada e a categoria econômica da empresa prestadora de serviços, em observância ao princípio constitucional da unicidade sindical e tendo em vista a existência de sindicato representante dos trabalhadores da construção civil na mesma base territorial, qual seja, o </w:t>
      </w:r>
      <w:r w:rsidRPr="00F06D75">
        <w:rPr>
          <w:sz w:val="24"/>
          <w:szCs w:val="24"/>
        </w:rPr>
        <w:t>Sindicato dos Trabalhadores na Indústria da Construção Civil, Terraplenagem, Estradas, Pontes e Construção de Montagem de Linhares, Rio Bananal, Jaguaré, Colatina e São Gabriel da Palha</w:t>
      </w:r>
      <w:r>
        <w:rPr>
          <w:sz w:val="24"/>
          <w:szCs w:val="24"/>
        </w:rPr>
        <w:t xml:space="preserve"> (</w:t>
      </w:r>
      <w:r w:rsidRPr="00F06D75">
        <w:rPr>
          <w:sz w:val="24"/>
          <w:szCs w:val="24"/>
        </w:rPr>
        <w:t>S</w:t>
      </w:r>
      <w:r>
        <w:rPr>
          <w:sz w:val="24"/>
          <w:szCs w:val="24"/>
        </w:rPr>
        <w:t>intracon</w:t>
      </w:r>
      <w:r w:rsidRPr="00F06D75">
        <w:rPr>
          <w:sz w:val="24"/>
          <w:szCs w:val="24"/>
        </w:rPr>
        <w:t xml:space="preserve"> Linhares/ES</w:t>
      </w:r>
      <w:r>
        <w:rPr>
          <w:sz w:val="24"/>
          <w:szCs w:val="24"/>
        </w:rPr>
        <w:t xml:space="preserve">). Vencidos os Ministros Maurício Godinho Delgado, Katia Magalhães Arruda e Maria de Assis Calsing. </w:t>
      </w:r>
      <w:hyperlink r:id="rId10" w:history="1">
        <w:r w:rsidRPr="009729B4">
          <w:rPr>
            <w:rStyle w:val="Hyperlink"/>
            <w:sz w:val="24"/>
            <w:szCs w:val="24"/>
          </w:rPr>
          <w:t>TST-RO-42600-28.2009.5.17.0000</w:t>
        </w:r>
      </w:hyperlink>
      <w:r w:rsidRPr="00D842E9">
        <w:rPr>
          <w:sz w:val="24"/>
          <w:szCs w:val="24"/>
          <w:u w:val="single"/>
        </w:rPr>
        <w:t xml:space="preserve">, SDC, rel. </w:t>
      </w:r>
      <w:r>
        <w:rPr>
          <w:sz w:val="24"/>
          <w:szCs w:val="24"/>
          <w:u w:val="single"/>
        </w:rPr>
        <w:t xml:space="preserve">Min. </w:t>
      </w:r>
      <w:r w:rsidRPr="00D842E9">
        <w:rPr>
          <w:sz w:val="24"/>
          <w:szCs w:val="24"/>
          <w:u w:val="single"/>
        </w:rPr>
        <w:t>Fernando Eizo Ono, 9.9.2013</w:t>
      </w:r>
    </w:p>
    <w:p w:rsidR="009729B4" w:rsidRDefault="009729B4" w:rsidP="009729B4">
      <w:pPr>
        <w:jc w:val="both"/>
        <w:rPr>
          <w:sz w:val="24"/>
          <w:szCs w:val="24"/>
          <w:u w:val="single"/>
        </w:rPr>
      </w:pPr>
    </w:p>
    <w:p w:rsidR="009729B4" w:rsidRPr="009729B4" w:rsidRDefault="009729B4" w:rsidP="009729B4">
      <w:pPr>
        <w:pStyle w:val="Corpo"/>
        <w:spacing w:line="240" w:lineRule="auto"/>
        <w:ind w:firstLine="0"/>
        <w:rPr>
          <w:rFonts w:ascii="Times New Roman" w:hAnsi="Times New Roman" w:cs="Times New Roman"/>
          <w:b/>
          <w:bCs/>
          <w:i/>
          <w:lang w:val="pt-BR"/>
        </w:rPr>
      </w:pPr>
      <w:r w:rsidRPr="009729B4">
        <w:rPr>
          <w:rFonts w:ascii="Times New Roman" w:hAnsi="Times New Roman" w:cs="Times New Roman"/>
          <w:b/>
          <w:bCs/>
          <w:i/>
          <w:lang w:val="pt-BR"/>
        </w:rPr>
        <w:t>Dissídio coletivo. Natureza jurídica. Procedimento de cunho declaratório direcionado a i</w:t>
      </w:r>
      <w:r w:rsidRPr="009729B4">
        <w:rPr>
          <w:rFonts w:ascii="Times New Roman" w:hAnsi="Times New Roman" w:cs="Times New Roman"/>
          <w:b/>
          <w:i/>
          <w:lang w:val="pt-BR"/>
        </w:rPr>
        <w:t>nterpretar e declarar o sentido e/ou do alcance da norma. C</w:t>
      </w:r>
      <w:r w:rsidRPr="009729B4">
        <w:rPr>
          <w:rFonts w:ascii="Times New Roman" w:hAnsi="Times New Roman" w:cs="Times New Roman"/>
          <w:b/>
          <w:bCs/>
          <w:i/>
          <w:lang w:val="pt-BR"/>
        </w:rPr>
        <w:t>láusula que limita o funcionamento das empresas a dois domingos por mês. D</w:t>
      </w:r>
      <w:r w:rsidRPr="009729B4">
        <w:rPr>
          <w:rFonts w:ascii="Times New Roman" w:hAnsi="Times New Roman" w:cs="Times New Roman"/>
          <w:b/>
          <w:i/>
          <w:lang w:val="pt-BR"/>
        </w:rPr>
        <w:t xml:space="preserve">eclaração de não </w:t>
      </w:r>
      <w:r w:rsidRPr="009729B4">
        <w:rPr>
          <w:rFonts w:ascii="Times New Roman" w:hAnsi="Times New Roman" w:cs="Times New Roman"/>
          <w:b/>
          <w:bCs/>
          <w:i/>
          <w:lang w:val="pt-BR"/>
        </w:rPr>
        <w:t xml:space="preserve">conformidade com o arcabouço jurídico. Inadequação da via eleita. </w:t>
      </w:r>
    </w:p>
    <w:p w:rsidR="009729B4" w:rsidRPr="00932B91" w:rsidRDefault="009729B4" w:rsidP="009729B4">
      <w:pPr>
        <w:pStyle w:val="Corpo"/>
        <w:spacing w:line="240" w:lineRule="auto"/>
        <w:ind w:firstLine="0"/>
        <w:rPr>
          <w:rFonts w:ascii="Times New Roman" w:hAnsi="Times New Roman" w:cs="Times New Roman"/>
        </w:rPr>
      </w:pPr>
      <w:r w:rsidRPr="009729B4">
        <w:rPr>
          <w:rFonts w:ascii="Times New Roman" w:hAnsi="Times New Roman" w:cs="Times New Roman"/>
          <w:lang w:val="pt-BR"/>
        </w:rPr>
        <w:t xml:space="preserve">O dissídio coletivo de natureza jurídica é procedimento de cunho declaratório direcionado a interpretar e declarar o sentido e/ou alcance da norma, razão pela qual não se presta à declaração de “inconstitucionalidade, ilegalidade e ineficácia” de cláusula de convenção coletiva de trabalho que fixa o funcionamento dos estabelecimentos comerciais em apenas dois domingos por mês. Nesse contexto, concluindo que a declaração de não conformidade da cláusula ao arcabouço jurídico não se insere na finalidade do dissídio coletivo de natureza jurídica, a SDC, à unanimidade, deu provimento ao recurso ordinário do Sindicato dos Comerciários de São Paulo, a fim de extinguir o feito, sem resolução de mérito, por inadequação da via eleita, nos termos do art. 267, VI, do CPC, e, por consequência, cassar a tutela antecipada renovada no acórdão recorrido. </w:t>
      </w:r>
      <w:hyperlink r:id="rId11" w:history="1">
        <w:r w:rsidRPr="009729B4">
          <w:rPr>
            <w:rStyle w:val="Hyperlink"/>
            <w:rFonts w:ascii="Times New Roman" w:hAnsi="Times New Roman"/>
          </w:rPr>
          <w:t>TST-RO-285-94.2012.5.02.0000</w:t>
        </w:r>
      </w:hyperlink>
      <w:r w:rsidRPr="006A42E3">
        <w:rPr>
          <w:rFonts w:ascii="Times New Roman" w:hAnsi="Times New Roman" w:cs="Times New Roman"/>
          <w:u w:val="single"/>
        </w:rPr>
        <w:t>, SD</w:t>
      </w:r>
      <w:r>
        <w:rPr>
          <w:rFonts w:ascii="Times New Roman" w:hAnsi="Times New Roman" w:cs="Times New Roman"/>
          <w:u w:val="single"/>
        </w:rPr>
        <w:t>C</w:t>
      </w:r>
      <w:r w:rsidRPr="006A42E3">
        <w:rPr>
          <w:rFonts w:ascii="Times New Roman" w:hAnsi="Times New Roman" w:cs="Times New Roman"/>
          <w:u w:val="single"/>
        </w:rPr>
        <w:t xml:space="preserve">, rel. Min. </w:t>
      </w:r>
      <w:r>
        <w:rPr>
          <w:rFonts w:ascii="Times New Roman" w:hAnsi="Times New Roman" w:cs="Times New Roman"/>
          <w:u w:val="single"/>
        </w:rPr>
        <w:t>Maria de Assis Calsing</w:t>
      </w:r>
      <w:r w:rsidRPr="006A42E3">
        <w:rPr>
          <w:rFonts w:ascii="Times New Roman" w:hAnsi="Times New Roman" w:cs="Times New Roman"/>
          <w:u w:val="single"/>
        </w:rPr>
        <w:t xml:space="preserve">, </w:t>
      </w:r>
      <w:r>
        <w:rPr>
          <w:rFonts w:ascii="Times New Roman" w:hAnsi="Times New Roman" w:cs="Times New Roman"/>
          <w:u w:val="single"/>
        </w:rPr>
        <w:t>9</w:t>
      </w:r>
      <w:r w:rsidRPr="006A42E3">
        <w:rPr>
          <w:rFonts w:ascii="Times New Roman" w:hAnsi="Times New Roman" w:cs="Times New Roman"/>
          <w:u w:val="single"/>
        </w:rPr>
        <w:t>.9.201</w:t>
      </w:r>
      <w:r>
        <w:rPr>
          <w:rFonts w:ascii="Times New Roman" w:hAnsi="Times New Roman" w:cs="Times New Roman"/>
          <w:u w:val="single"/>
        </w:rPr>
        <w:t>3</w:t>
      </w:r>
    </w:p>
    <w:p w:rsidR="009729B4" w:rsidRDefault="009729B4" w:rsidP="009729B4">
      <w:pPr>
        <w:jc w:val="both"/>
        <w:rPr>
          <w:sz w:val="24"/>
          <w:szCs w:val="24"/>
        </w:rPr>
      </w:pPr>
    </w:p>
    <w:p w:rsidR="009729B4" w:rsidRDefault="009729B4" w:rsidP="009729B4">
      <w:pPr>
        <w:jc w:val="both"/>
        <w:rPr>
          <w:sz w:val="24"/>
          <w:szCs w:val="24"/>
          <w:u w:val="single"/>
        </w:rPr>
      </w:pPr>
      <w:r>
        <w:rPr>
          <w:b/>
          <w:i/>
          <w:sz w:val="24"/>
          <w:szCs w:val="24"/>
        </w:rPr>
        <w:t>Dissídio coletivo. Uniões estáveis homoafetivas e heteroafetivas. Paridade de tratamento. Reconhecimento. ADI 4277.</w:t>
      </w:r>
    </w:p>
    <w:p w:rsidR="009729B4" w:rsidRPr="00042E87" w:rsidRDefault="009729B4" w:rsidP="009729B4">
      <w:pPr>
        <w:jc w:val="both"/>
        <w:rPr>
          <w:sz w:val="24"/>
          <w:szCs w:val="24"/>
        </w:rPr>
      </w:pPr>
      <w:r>
        <w:rPr>
          <w:sz w:val="24"/>
          <w:szCs w:val="24"/>
        </w:rPr>
        <w:t xml:space="preserve">Ante os princípios da dignidade humana (art. 1º, III, da CF) e da igualdade (art. 5º, </w:t>
      </w:r>
      <w:r w:rsidRPr="00042E87">
        <w:rPr>
          <w:i/>
          <w:sz w:val="24"/>
          <w:szCs w:val="24"/>
        </w:rPr>
        <w:t>caput</w:t>
      </w:r>
      <w:r>
        <w:rPr>
          <w:sz w:val="24"/>
          <w:szCs w:val="24"/>
        </w:rPr>
        <w:t xml:space="preserve"> e I, da CF) e o entendimento exarado pelo Supremo Tribunal Federal no</w:t>
      </w:r>
      <w:r w:rsidRPr="00C91946">
        <w:rPr>
          <w:sz w:val="24"/>
          <w:szCs w:val="24"/>
        </w:rPr>
        <w:t xml:space="preserve"> julgamento </w:t>
      </w:r>
      <w:r>
        <w:rPr>
          <w:sz w:val="24"/>
          <w:szCs w:val="24"/>
        </w:rPr>
        <w:t>da</w:t>
      </w:r>
      <w:r w:rsidRPr="00C91946">
        <w:rPr>
          <w:sz w:val="24"/>
          <w:szCs w:val="24"/>
        </w:rPr>
        <w:t xml:space="preserve"> A</w:t>
      </w:r>
      <w:r>
        <w:rPr>
          <w:sz w:val="24"/>
          <w:szCs w:val="24"/>
        </w:rPr>
        <w:t>DI</w:t>
      </w:r>
      <w:r w:rsidRPr="00C91946">
        <w:rPr>
          <w:sz w:val="24"/>
          <w:szCs w:val="24"/>
        </w:rPr>
        <w:t xml:space="preserve"> 4277</w:t>
      </w:r>
      <w:r>
        <w:rPr>
          <w:sz w:val="24"/>
          <w:szCs w:val="24"/>
        </w:rPr>
        <w:t xml:space="preserve">, que </w:t>
      </w:r>
      <w:r w:rsidRPr="00C91946">
        <w:rPr>
          <w:sz w:val="24"/>
          <w:szCs w:val="24"/>
        </w:rPr>
        <w:t xml:space="preserve">reconheceu às uniões homoafetivas o </w:t>
      </w:r>
      <w:r w:rsidRPr="00164395">
        <w:rPr>
          <w:i/>
          <w:sz w:val="24"/>
          <w:szCs w:val="24"/>
        </w:rPr>
        <w:t>status</w:t>
      </w:r>
      <w:r w:rsidRPr="00C91946">
        <w:rPr>
          <w:sz w:val="24"/>
          <w:szCs w:val="24"/>
        </w:rPr>
        <w:t xml:space="preserve"> de entidade familiar, estendendo a essas relações a mesma proteção jurídica destinada à união estável entre homem e mulher conferida pelos arts. 226, § 3º, da C</w:t>
      </w:r>
      <w:r>
        <w:rPr>
          <w:sz w:val="24"/>
          <w:szCs w:val="24"/>
        </w:rPr>
        <w:t>F</w:t>
      </w:r>
      <w:r w:rsidRPr="00C91946">
        <w:rPr>
          <w:sz w:val="24"/>
          <w:szCs w:val="24"/>
        </w:rPr>
        <w:t xml:space="preserve"> e 1.723 do C</w:t>
      </w:r>
      <w:r>
        <w:rPr>
          <w:sz w:val="24"/>
          <w:szCs w:val="24"/>
        </w:rPr>
        <w:t xml:space="preserve">C, a SDC, à unanimidade, deu provimento ao recurso ordinário do Sindicato dos Aeroviários de Porto Alegre para, no particular, reformar a decisão do TRT, que entendeu ser a matéria própria para acordo entre as partes, e deferir a cláusula postulada com a seguinte redação: </w:t>
      </w:r>
      <w:r w:rsidRPr="00D01AA2">
        <w:rPr>
          <w:i/>
          <w:sz w:val="24"/>
          <w:szCs w:val="24"/>
        </w:rPr>
        <w:t xml:space="preserve">“Cláusula 48 - Parceiro (a) do mesmo sexo: Quando concedido pela empresa benefício ao companheiro(a) do(a) empregado(a),  reconhece-se a paridade de tratamento entre as uniões estáveis homoafetivas e heteroafetivas, desde que observados os requisitos previstos no art. 1.723 do CC”. </w:t>
      </w:r>
      <w:r>
        <w:rPr>
          <w:sz w:val="24"/>
          <w:szCs w:val="24"/>
        </w:rPr>
        <w:t>Ressalvou a fundamentação o Ministro Ives Gandra Martins Filho.</w:t>
      </w:r>
      <w:r w:rsidRPr="00042E87">
        <w:rPr>
          <w:sz w:val="24"/>
          <w:szCs w:val="24"/>
        </w:rPr>
        <w:t xml:space="preserve"> </w:t>
      </w:r>
      <w:hyperlink r:id="rId12" w:history="1">
        <w:r w:rsidRPr="009729B4">
          <w:rPr>
            <w:rStyle w:val="Hyperlink"/>
            <w:sz w:val="24"/>
            <w:szCs w:val="24"/>
          </w:rPr>
          <w:t>TST-RO-20424-81.2010.5.04.0000</w:t>
        </w:r>
      </w:hyperlink>
      <w:r w:rsidRPr="00164395">
        <w:rPr>
          <w:sz w:val="24"/>
          <w:szCs w:val="24"/>
          <w:u w:val="single"/>
        </w:rPr>
        <w:t>, SDC, rel. Min. Walmir Oliveira da Costa, 9.9.2013</w:t>
      </w:r>
    </w:p>
    <w:p w:rsidR="009729B4" w:rsidRDefault="009729B4" w:rsidP="009729B4">
      <w:pPr>
        <w:jc w:val="both"/>
        <w:rPr>
          <w:sz w:val="24"/>
          <w:szCs w:val="24"/>
        </w:rPr>
      </w:pPr>
    </w:p>
    <w:p w:rsidR="00C71A3B" w:rsidRPr="005D1DE4" w:rsidRDefault="00C71A3B" w:rsidP="00F82D8F">
      <w:pPr>
        <w:pStyle w:val="Corpo"/>
        <w:spacing w:line="240" w:lineRule="auto"/>
        <w:ind w:firstLine="0"/>
        <w:rPr>
          <w:rFonts w:ascii="Times New Roman" w:hAnsi="Times New Roman" w:cs="Times New Roman"/>
          <w:b/>
          <w:bCs/>
          <w:shadow/>
          <w:color w:val="auto"/>
          <w:sz w:val="26"/>
          <w:szCs w:val="26"/>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2C2904" w:rsidRPr="009729B4" w:rsidRDefault="002C2904" w:rsidP="002C2904">
      <w:pPr>
        <w:ind w:right="-567"/>
        <w:jc w:val="both"/>
      </w:pPr>
    </w:p>
    <w:p w:rsidR="009729B4" w:rsidRPr="00157233" w:rsidRDefault="009729B4" w:rsidP="009729B4">
      <w:pPr>
        <w:jc w:val="both"/>
        <w:rPr>
          <w:b/>
          <w:i/>
          <w:sz w:val="24"/>
          <w:szCs w:val="24"/>
        </w:rPr>
      </w:pPr>
      <w:r w:rsidRPr="00157233">
        <w:rPr>
          <w:b/>
          <w:i/>
          <w:sz w:val="24"/>
          <w:szCs w:val="24"/>
        </w:rPr>
        <w:t>Prescri</w:t>
      </w:r>
      <w:r>
        <w:rPr>
          <w:b/>
          <w:i/>
          <w:sz w:val="24"/>
          <w:szCs w:val="24"/>
        </w:rPr>
        <w:t>ção. Arguição em contrarrazões a</w:t>
      </w:r>
      <w:r w:rsidRPr="00157233">
        <w:rPr>
          <w:b/>
          <w:i/>
          <w:sz w:val="24"/>
          <w:szCs w:val="24"/>
        </w:rPr>
        <w:t xml:space="preserve">o </w:t>
      </w:r>
      <w:r>
        <w:rPr>
          <w:b/>
          <w:i/>
          <w:sz w:val="24"/>
          <w:szCs w:val="24"/>
        </w:rPr>
        <w:t>r</w:t>
      </w:r>
      <w:r w:rsidRPr="00157233">
        <w:rPr>
          <w:b/>
          <w:i/>
          <w:sz w:val="24"/>
          <w:szCs w:val="24"/>
        </w:rPr>
        <w:t xml:space="preserve">ecurso </w:t>
      </w:r>
      <w:r>
        <w:rPr>
          <w:b/>
          <w:i/>
          <w:sz w:val="24"/>
          <w:szCs w:val="24"/>
        </w:rPr>
        <w:t>o</w:t>
      </w:r>
      <w:r w:rsidRPr="00157233">
        <w:rPr>
          <w:b/>
          <w:i/>
          <w:sz w:val="24"/>
          <w:szCs w:val="24"/>
        </w:rPr>
        <w:t>rdinário. Não apreciação pelo Tribunal Region</w:t>
      </w:r>
      <w:r>
        <w:rPr>
          <w:b/>
          <w:i/>
          <w:sz w:val="24"/>
          <w:szCs w:val="24"/>
        </w:rPr>
        <w:t>al. Renovação em contrarrazões a</w:t>
      </w:r>
      <w:r w:rsidRPr="00157233">
        <w:rPr>
          <w:b/>
          <w:i/>
          <w:sz w:val="24"/>
          <w:szCs w:val="24"/>
        </w:rPr>
        <w:t xml:space="preserve">o </w:t>
      </w:r>
      <w:r>
        <w:rPr>
          <w:b/>
          <w:i/>
          <w:sz w:val="24"/>
          <w:szCs w:val="24"/>
        </w:rPr>
        <w:t>r</w:t>
      </w:r>
      <w:r w:rsidRPr="00157233">
        <w:rPr>
          <w:b/>
          <w:i/>
          <w:sz w:val="24"/>
          <w:szCs w:val="24"/>
        </w:rPr>
        <w:t xml:space="preserve">ecurso de </w:t>
      </w:r>
      <w:r>
        <w:rPr>
          <w:b/>
          <w:i/>
          <w:sz w:val="24"/>
          <w:szCs w:val="24"/>
        </w:rPr>
        <w:t>r</w:t>
      </w:r>
      <w:r w:rsidRPr="00157233">
        <w:rPr>
          <w:b/>
          <w:i/>
          <w:sz w:val="24"/>
          <w:szCs w:val="24"/>
        </w:rPr>
        <w:t>evista. Momento oportuno.</w:t>
      </w:r>
    </w:p>
    <w:p w:rsidR="009729B4" w:rsidRPr="00157233" w:rsidRDefault="009729B4" w:rsidP="009729B4">
      <w:pPr>
        <w:jc w:val="both"/>
        <w:rPr>
          <w:sz w:val="24"/>
          <w:szCs w:val="24"/>
          <w:u w:val="single"/>
        </w:rPr>
      </w:pPr>
      <w:r w:rsidRPr="00157233">
        <w:rPr>
          <w:sz w:val="24"/>
          <w:szCs w:val="24"/>
        </w:rPr>
        <w:t xml:space="preserve">Na hipótese de prescrição quinquenal arguida </w:t>
      </w:r>
      <w:r>
        <w:rPr>
          <w:sz w:val="24"/>
          <w:szCs w:val="24"/>
        </w:rPr>
        <w:t xml:space="preserve">pela reclamada </w:t>
      </w:r>
      <w:r w:rsidRPr="00157233">
        <w:rPr>
          <w:sz w:val="24"/>
          <w:szCs w:val="24"/>
        </w:rPr>
        <w:t>originariamente em contrarrazões ao recurso ordinário,</w:t>
      </w:r>
      <w:r>
        <w:rPr>
          <w:sz w:val="24"/>
          <w:szCs w:val="24"/>
        </w:rPr>
        <w:t xml:space="preserve"> não apreciada pelo Regional, mas</w:t>
      </w:r>
      <w:r w:rsidRPr="00157233">
        <w:rPr>
          <w:sz w:val="24"/>
          <w:szCs w:val="24"/>
        </w:rPr>
        <w:t xml:space="preserve"> renovada </w:t>
      </w:r>
      <w:r>
        <w:rPr>
          <w:sz w:val="24"/>
          <w:szCs w:val="24"/>
        </w:rPr>
        <w:t>em contrarrazões ao</w:t>
      </w:r>
      <w:r w:rsidRPr="00157233">
        <w:rPr>
          <w:sz w:val="24"/>
          <w:szCs w:val="24"/>
        </w:rPr>
        <w:t xml:space="preserve"> recurso de revista, cabia à Turma</w:t>
      </w:r>
      <w:r>
        <w:rPr>
          <w:sz w:val="24"/>
          <w:szCs w:val="24"/>
        </w:rPr>
        <w:t xml:space="preserve">, </w:t>
      </w:r>
      <w:r w:rsidRPr="00157233">
        <w:rPr>
          <w:sz w:val="24"/>
          <w:szCs w:val="24"/>
        </w:rPr>
        <w:t xml:space="preserve">ao </w:t>
      </w:r>
      <w:r>
        <w:rPr>
          <w:sz w:val="24"/>
          <w:szCs w:val="24"/>
        </w:rPr>
        <w:t xml:space="preserve">dar provimento à </w:t>
      </w:r>
      <w:r w:rsidRPr="00157233">
        <w:rPr>
          <w:sz w:val="24"/>
          <w:szCs w:val="24"/>
        </w:rPr>
        <w:t>revista da outra parte</w:t>
      </w:r>
      <w:r>
        <w:rPr>
          <w:sz w:val="24"/>
          <w:szCs w:val="24"/>
        </w:rPr>
        <w:t xml:space="preserve"> para condenar a reclamada pela primeira vez, examinar a prejudicial suscitada. Na espécie, não se poderia exigir que a r</w:t>
      </w:r>
      <w:r w:rsidRPr="00157233">
        <w:rPr>
          <w:sz w:val="24"/>
          <w:szCs w:val="24"/>
        </w:rPr>
        <w:t xml:space="preserve">eclamada trouxesse a matéria por meio de recurso, uma vez que lhe faltava interesse recursal ante a ausência de sucumbência nas instâncias </w:t>
      </w:r>
      <w:r>
        <w:rPr>
          <w:sz w:val="24"/>
          <w:szCs w:val="24"/>
        </w:rPr>
        <w:t>ordinárias</w:t>
      </w:r>
      <w:r w:rsidRPr="00157233">
        <w:rPr>
          <w:sz w:val="24"/>
          <w:szCs w:val="24"/>
        </w:rPr>
        <w:t>.</w:t>
      </w:r>
      <w:r>
        <w:rPr>
          <w:sz w:val="24"/>
          <w:szCs w:val="24"/>
        </w:rPr>
        <w:t xml:space="preserve"> Ademais, não há falar em necessidade interposição de recurso adesivo, pois este, nos termos do art. 500 do CPC, exige sucumbência recíproca. </w:t>
      </w:r>
      <w:r w:rsidRPr="00157233">
        <w:rPr>
          <w:sz w:val="24"/>
          <w:szCs w:val="24"/>
        </w:rPr>
        <w:t>Com esse entendimento, a SBDI-</w:t>
      </w:r>
      <w:r>
        <w:rPr>
          <w:sz w:val="24"/>
          <w:szCs w:val="24"/>
        </w:rPr>
        <w:t>I</w:t>
      </w:r>
      <w:r w:rsidRPr="00157233">
        <w:rPr>
          <w:sz w:val="24"/>
          <w:szCs w:val="24"/>
        </w:rPr>
        <w:t>, por unanimidade, conhece</w:t>
      </w:r>
      <w:r>
        <w:rPr>
          <w:sz w:val="24"/>
          <w:szCs w:val="24"/>
        </w:rPr>
        <w:t xml:space="preserve">u </w:t>
      </w:r>
      <w:r w:rsidRPr="00157233">
        <w:rPr>
          <w:sz w:val="24"/>
          <w:szCs w:val="24"/>
        </w:rPr>
        <w:t>dos embargos</w:t>
      </w:r>
      <w:r>
        <w:rPr>
          <w:sz w:val="24"/>
          <w:szCs w:val="24"/>
        </w:rPr>
        <w:t xml:space="preserve"> da reclamada</w:t>
      </w:r>
      <w:r w:rsidRPr="00157233">
        <w:rPr>
          <w:sz w:val="24"/>
          <w:szCs w:val="24"/>
        </w:rPr>
        <w:t xml:space="preserve">, por divergência jurisprudencial, e, no mérito, por maioria, </w:t>
      </w:r>
      <w:r>
        <w:rPr>
          <w:sz w:val="24"/>
          <w:szCs w:val="24"/>
        </w:rPr>
        <w:t>deu</w:t>
      </w:r>
      <w:r w:rsidRPr="00157233">
        <w:rPr>
          <w:sz w:val="24"/>
          <w:szCs w:val="24"/>
        </w:rPr>
        <w:t>-lhe</w:t>
      </w:r>
      <w:r>
        <w:rPr>
          <w:sz w:val="24"/>
          <w:szCs w:val="24"/>
        </w:rPr>
        <w:t>s</w:t>
      </w:r>
      <w:r w:rsidRPr="00157233">
        <w:rPr>
          <w:sz w:val="24"/>
          <w:szCs w:val="24"/>
        </w:rPr>
        <w:t xml:space="preserve"> provimento para declarar prescrita a pretensão no tocante às parcelas que antecederam ao quinquênio contado do ajuizamento da reclamação trabalhista. Vencidos os Ministros Brito Pereira, Dora Maria da Costa e Renato de Lacerda Paiva.</w:t>
      </w:r>
      <w:r>
        <w:rPr>
          <w:sz w:val="24"/>
          <w:szCs w:val="24"/>
        </w:rPr>
        <w:t xml:space="preserve"> </w:t>
      </w:r>
      <w:hyperlink r:id="rId13" w:history="1">
        <w:r w:rsidRPr="009729B4">
          <w:rPr>
            <w:rStyle w:val="Hyperlink"/>
            <w:sz w:val="24"/>
            <w:szCs w:val="24"/>
          </w:rPr>
          <w:t>TST-E-ED-RR-24400-26.2007.5.01.0343</w:t>
        </w:r>
      </w:hyperlink>
      <w:r w:rsidRPr="00157233">
        <w:rPr>
          <w:sz w:val="24"/>
          <w:szCs w:val="24"/>
          <w:u w:val="single"/>
        </w:rPr>
        <w:t>, SBDI-I, rel. Min. Luiz Philippe Vieira de Mello Filho, 5.9.2013</w:t>
      </w:r>
    </w:p>
    <w:p w:rsidR="009729B4" w:rsidRPr="009729B4" w:rsidRDefault="009729B4" w:rsidP="002C2904">
      <w:pPr>
        <w:ind w:right="-71"/>
        <w:jc w:val="both"/>
        <w:rPr>
          <w:u w:val="single"/>
        </w:rPr>
      </w:pPr>
    </w:p>
    <w:p w:rsidR="009729B4" w:rsidRPr="009729B4" w:rsidRDefault="009729B4" w:rsidP="009729B4">
      <w:pPr>
        <w:jc w:val="both"/>
        <w:outlineLvl w:val="0"/>
        <w:rPr>
          <w:b/>
          <w:i/>
          <w:color w:val="000000"/>
          <w:sz w:val="24"/>
          <w:szCs w:val="24"/>
        </w:rPr>
      </w:pPr>
      <w:r w:rsidRPr="009729B4">
        <w:rPr>
          <w:b/>
          <w:i/>
          <w:color w:val="000000"/>
          <w:sz w:val="24"/>
          <w:szCs w:val="24"/>
        </w:rPr>
        <w:t>Banespa. ACT 2000/2001. Aposentadoria por invalidez. Indenização. Requisitos preenchidos após o fim da vigência do acordo. Orientação Jurisprudencial nº 41 da SBDI-I. Aplicação analógica.</w:t>
      </w:r>
    </w:p>
    <w:p w:rsidR="009729B4" w:rsidRDefault="009729B4" w:rsidP="009729B4">
      <w:pPr>
        <w:jc w:val="both"/>
        <w:outlineLvl w:val="0"/>
        <w:rPr>
          <w:rFonts w:ascii="Verdana" w:hAnsi="Verdana"/>
          <w:color w:val="19478C"/>
          <w:sz w:val="18"/>
          <w:szCs w:val="18"/>
        </w:rPr>
      </w:pPr>
      <w:r w:rsidRPr="005F5154">
        <w:rPr>
          <w:color w:val="000000"/>
          <w:sz w:val="23"/>
          <w:szCs w:val="23"/>
        </w:rPr>
        <w:t>A SBDI-I, por unanimidade, conheceu dos embargos da reclama</w:t>
      </w:r>
      <w:r>
        <w:rPr>
          <w:color w:val="000000"/>
          <w:sz w:val="23"/>
          <w:szCs w:val="23"/>
        </w:rPr>
        <w:t>nte</w:t>
      </w:r>
      <w:r w:rsidRPr="005F5154">
        <w:rPr>
          <w:color w:val="000000"/>
          <w:sz w:val="23"/>
          <w:szCs w:val="23"/>
        </w:rPr>
        <w:t xml:space="preserve">, por divergência </w:t>
      </w:r>
      <w:r w:rsidRPr="002853E1">
        <w:rPr>
          <w:sz w:val="23"/>
          <w:szCs w:val="23"/>
        </w:rPr>
        <w:t>jurisprudencial, e, no mérito, deu-lhes provimento</w:t>
      </w:r>
      <w:r w:rsidRPr="002853E1">
        <w:rPr>
          <w:sz w:val="24"/>
          <w:szCs w:val="24"/>
        </w:rPr>
        <w:t xml:space="preserve"> para restabelecer o acórdão </w:t>
      </w:r>
      <w:r>
        <w:rPr>
          <w:sz w:val="24"/>
          <w:szCs w:val="24"/>
        </w:rPr>
        <w:t>do R</w:t>
      </w:r>
      <w:r w:rsidRPr="002853E1">
        <w:rPr>
          <w:sz w:val="24"/>
          <w:szCs w:val="24"/>
        </w:rPr>
        <w:t>egional, o qual manteve a sentença que condenou os reclamados, solidariamente, a pagar à autora</w:t>
      </w:r>
      <w:r>
        <w:rPr>
          <w:sz w:val="24"/>
          <w:szCs w:val="24"/>
        </w:rPr>
        <w:t xml:space="preserve"> a</w:t>
      </w:r>
      <w:r w:rsidRPr="002853E1">
        <w:rPr>
          <w:sz w:val="24"/>
          <w:szCs w:val="24"/>
        </w:rPr>
        <w:t xml:space="preserve"> indenização prevista no A</w:t>
      </w:r>
      <w:r>
        <w:rPr>
          <w:sz w:val="24"/>
          <w:szCs w:val="24"/>
        </w:rPr>
        <w:t xml:space="preserve">CT </w:t>
      </w:r>
      <w:r w:rsidRPr="002853E1">
        <w:rPr>
          <w:sz w:val="24"/>
          <w:szCs w:val="24"/>
        </w:rPr>
        <w:t xml:space="preserve">2000/2001, celebrado entre o Banespa e o sindicato da categoria profissional, </w:t>
      </w:r>
      <w:r>
        <w:rPr>
          <w:sz w:val="24"/>
          <w:szCs w:val="24"/>
        </w:rPr>
        <w:t xml:space="preserve">mesmo na hipótese em que os requisitos previstos no acordo tenham sido preenchidos somente após o fim da sua vigência. Na espécie, </w:t>
      </w:r>
      <w:r w:rsidRPr="005F6163">
        <w:rPr>
          <w:sz w:val="24"/>
          <w:szCs w:val="24"/>
        </w:rPr>
        <w:t>a empregada fo</w:t>
      </w:r>
      <w:r>
        <w:rPr>
          <w:sz w:val="24"/>
          <w:szCs w:val="24"/>
        </w:rPr>
        <w:t>ra</w:t>
      </w:r>
      <w:r w:rsidRPr="005F6163">
        <w:rPr>
          <w:sz w:val="24"/>
          <w:szCs w:val="24"/>
        </w:rPr>
        <w:t xml:space="preserve"> afastada pelo órgão previdenciário por doença do trabalho </w:t>
      </w:r>
      <w:r>
        <w:rPr>
          <w:sz w:val="24"/>
          <w:szCs w:val="24"/>
        </w:rPr>
        <w:t>quando em vigor o ACT 2000/2001 -</w:t>
      </w:r>
      <w:r w:rsidRPr="005F6163">
        <w:rPr>
          <w:sz w:val="24"/>
          <w:szCs w:val="24"/>
        </w:rPr>
        <w:t xml:space="preserve"> o qual garantia direito à indenização aos empregados que se aposentassem por invalidez decorrente de acidente do trabalho ou doença ocupacional</w:t>
      </w:r>
      <w:r>
        <w:rPr>
          <w:sz w:val="24"/>
          <w:szCs w:val="24"/>
        </w:rPr>
        <w:t xml:space="preserve"> -, mas aposentou-se somente em 24/1</w:t>
      </w:r>
      <w:r w:rsidRPr="005F6163">
        <w:rPr>
          <w:sz w:val="24"/>
          <w:szCs w:val="24"/>
        </w:rPr>
        <w:t>0</w:t>
      </w:r>
      <w:r>
        <w:rPr>
          <w:sz w:val="24"/>
          <w:szCs w:val="24"/>
        </w:rPr>
        <w:t>/</w:t>
      </w:r>
      <w:r w:rsidRPr="005F6163">
        <w:rPr>
          <w:sz w:val="24"/>
          <w:szCs w:val="24"/>
        </w:rPr>
        <w:t>2002,</w:t>
      </w:r>
      <w:r>
        <w:rPr>
          <w:sz w:val="24"/>
          <w:szCs w:val="24"/>
        </w:rPr>
        <w:t xml:space="preserve"> ou seja, quando</w:t>
      </w:r>
      <w:r w:rsidRPr="005F6163">
        <w:rPr>
          <w:sz w:val="24"/>
          <w:szCs w:val="24"/>
        </w:rPr>
        <w:t xml:space="preserve"> não mais </w:t>
      </w:r>
      <w:r>
        <w:rPr>
          <w:sz w:val="24"/>
          <w:szCs w:val="24"/>
        </w:rPr>
        <w:t>vigia</w:t>
      </w:r>
      <w:r w:rsidRPr="005F6163">
        <w:rPr>
          <w:sz w:val="24"/>
          <w:szCs w:val="24"/>
        </w:rPr>
        <w:t xml:space="preserve"> </w:t>
      </w:r>
      <w:r>
        <w:rPr>
          <w:sz w:val="24"/>
          <w:szCs w:val="24"/>
        </w:rPr>
        <w:t xml:space="preserve">o referido acordo. </w:t>
      </w:r>
      <w:r>
        <w:rPr>
          <w:i/>
          <w:sz w:val="24"/>
          <w:szCs w:val="24"/>
        </w:rPr>
        <w:t xml:space="preserve">In </w:t>
      </w:r>
      <w:r w:rsidRPr="00322A2C">
        <w:rPr>
          <w:sz w:val="24"/>
          <w:szCs w:val="24"/>
        </w:rPr>
        <w:t>casu</w:t>
      </w:r>
      <w:r>
        <w:rPr>
          <w:sz w:val="24"/>
          <w:szCs w:val="24"/>
        </w:rPr>
        <w:t>, r</w:t>
      </w:r>
      <w:r w:rsidRPr="00322A2C">
        <w:rPr>
          <w:sz w:val="24"/>
          <w:szCs w:val="24"/>
        </w:rPr>
        <w:t>essaltou</w:t>
      </w:r>
      <w:r w:rsidRPr="00CA0C5F">
        <w:rPr>
          <w:sz w:val="24"/>
          <w:szCs w:val="24"/>
        </w:rPr>
        <w:t>-se que, conforme a jurisprudência do TST, trata-se de hipótese de aplicação analógica da Orientação Jurisprudencial nº 41 da SBDI-I. Ademais, embora a</w:t>
      </w:r>
      <w:r>
        <w:rPr>
          <w:sz w:val="24"/>
          <w:szCs w:val="24"/>
        </w:rPr>
        <w:t xml:space="preserve"> jubilação tenha ocorrido após o término da</w:t>
      </w:r>
      <w:r w:rsidRPr="00CA0C5F">
        <w:rPr>
          <w:sz w:val="24"/>
          <w:szCs w:val="24"/>
        </w:rPr>
        <w:t xml:space="preserve"> vigência do ACT 2000/2001, é certo que o afastamento que acarretou a invalidez se deu ao tempo em que o instrumento coletivo estava em vigor, razão pela qual permanece o direito à indenização postulada.</w:t>
      </w:r>
      <w:r w:rsidRPr="009729B4">
        <w:rPr>
          <w:bCs/>
          <w:sz w:val="24"/>
          <w:szCs w:val="24"/>
        </w:rPr>
        <w:t xml:space="preserve"> </w:t>
      </w:r>
      <w:hyperlink r:id="rId14" w:history="1">
        <w:r w:rsidRPr="009729B4">
          <w:rPr>
            <w:rStyle w:val="Hyperlink"/>
            <w:bCs/>
            <w:sz w:val="24"/>
            <w:szCs w:val="24"/>
          </w:rPr>
          <w:t>TST-E-ED-RR-28700-47.2004.5.02.0201</w:t>
        </w:r>
      </w:hyperlink>
      <w:r w:rsidRPr="009729B4">
        <w:rPr>
          <w:bCs/>
          <w:sz w:val="24"/>
          <w:szCs w:val="24"/>
          <w:u w:val="single"/>
        </w:rPr>
        <w:t>,</w:t>
      </w:r>
      <w:r w:rsidRPr="00111162">
        <w:rPr>
          <w:sz w:val="24"/>
          <w:szCs w:val="24"/>
          <w:u w:val="single"/>
        </w:rPr>
        <w:t xml:space="preserve"> </w:t>
      </w:r>
      <w:r>
        <w:rPr>
          <w:sz w:val="24"/>
          <w:szCs w:val="24"/>
          <w:u w:val="single"/>
        </w:rPr>
        <w:t xml:space="preserve">SBDI-I, </w:t>
      </w:r>
      <w:r w:rsidRPr="00111162">
        <w:rPr>
          <w:sz w:val="24"/>
          <w:szCs w:val="24"/>
          <w:u w:val="single"/>
        </w:rPr>
        <w:t>rel. Min. Augusto César Leite de Carvalho, 5.9.2013</w:t>
      </w:r>
    </w:p>
    <w:p w:rsidR="009729B4" w:rsidRPr="005D1DE4" w:rsidRDefault="009729B4" w:rsidP="002C2904">
      <w:pPr>
        <w:ind w:right="-71"/>
        <w:jc w:val="both"/>
        <w:rPr>
          <w:sz w:val="24"/>
          <w:szCs w:val="24"/>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71" w:rsidRDefault="005A7571">
      <w:r>
        <w:separator/>
      </w:r>
    </w:p>
  </w:endnote>
  <w:endnote w:type="continuationSeparator" w:id="0">
    <w:p w:rsidR="005A7571" w:rsidRDefault="005A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52CD">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4052CD">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71" w:rsidRDefault="005A7571">
      <w:r>
        <w:separator/>
      </w:r>
    </w:p>
  </w:footnote>
  <w:footnote w:type="continuationSeparator" w:id="0">
    <w:p w:rsidR="005A7571" w:rsidRDefault="005A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9729B4">
      <w:rPr>
        <w:shadow/>
        <w:sz w:val="24"/>
        <w:szCs w:val="24"/>
      </w:rPr>
      <w:t>58</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9729B4">
      <w:rPr>
        <w:sz w:val="20"/>
        <w:szCs w:val="20"/>
      </w:rPr>
      <w:t>3</w:t>
    </w:r>
    <w:r w:rsidR="00E16E01" w:rsidRPr="00971E07">
      <w:rPr>
        <w:sz w:val="20"/>
        <w:szCs w:val="20"/>
      </w:rPr>
      <w:t xml:space="preserve"> a</w:t>
    </w:r>
    <w:r w:rsidR="00FE00AD" w:rsidRPr="00971E07">
      <w:rPr>
        <w:sz w:val="20"/>
        <w:szCs w:val="20"/>
      </w:rPr>
      <w:t xml:space="preserve"> </w:t>
    </w:r>
    <w:r w:rsidR="009729B4">
      <w:rPr>
        <w:sz w:val="20"/>
        <w:szCs w:val="20"/>
      </w:rPr>
      <w:t>9</w:t>
    </w:r>
    <w:r w:rsidR="00FE00AD" w:rsidRPr="00971E07">
      <w:rPr>
        <w:sz w:val="20"/>
        <w:szCs w:val="20"/>
      </w:rPr>
      <w:t xml:space="preserve"> de </w:t>
    </w:r>
    <w:r w:rsidR="009729B4">
      <w:rPr>
        <w:sz w:val="20"/>
        <w:szCs w:val="20"/>
      </w:rPr>
      <w:t xml:space="preserve">setembro </w:t>
    </w:r>
    <w:r w:rsidR="00FE00AD" w:rsidRPr="00971E07">
      <w:rPr>
        <w:sz w:val="20"/>
        <w:szCs w:val="20"/>
      </w:rPr>
      <w:t>de 20</w:t>
    </w:r>
    <w:r w:rsidR="00E16E01" w:rsidRPr="00971E07">
      <w:rPr>
        <w:sz w:val="20"/>
        <w:szCs w:val="20"/>
      </w:rPr>
      <w:t>1</w:t>
    </w:r>
    <w:r w:rsidR="009729B4">
      <w:rPr>
        <w:sz w:val="20"/>
        <w:szCs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9729B4">
      <w:rPr>
        <w:b/>
        <w:sz w:val="40"/>
        <w:szCs w:val="40"/>
      </w:rPr>
      <w:t>58</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9729B4">
      <w:rPr>
        <w:i/>
        <w:iCs/>
      </w:rPr>
      <w:t>3</w:t>
    </w:r>
    <w:r w:rsidR="00FE00AD" w:rsidRPr="005D1DE4">
      <w:rPr>
        <w:i/>
        <w:iCs/>
      </w:rPr>
      <w:t xml:space="preserve"> a </w:t>
    </w:r>
    <w:r w:rsidR="009729B4">
      <w:rPr>
        <w:i/>
        <w:iCs/>
      </w:rPr>
      <w:t>9</w:t>
    </w:r>
    <w:r w:rsidR="00FE00AD" w:rsidRPr="005D1DE4">
      <w:rPr>
        <w:i/>
        <w:iCs/>
      </w:rPr>
      <w:t xml:space="preserve"> de </w:t>
    </w:r>
    <w:r w:rsidR="009729B4">
      <w:rPr>
        <w:i/>
        <w:iCs/>
      </w:rPr>
      <w:t xml:space="preserve">setembro </w:t>
    </w:r>
    <w:r w:rsidR="00FE00AD" w:rsidRPr="005D1DE4">
      <w:rPr>
        <w:i/>
        <w:iCs/>
      </w:rPr>
      <w:t>de 201</w:t>
    </w:r>
    <w:r w:rsidR="009729B4">
      <w:rPr>
        <w:i/>
        <w:iCs/>
      </w:rPr>
      <w:t>3</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815ED"/>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052CD"/>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A7571"/>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729B4"/>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AA2"/>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415&amp;digitoTst=74&amp;anoTst=2011&amp;orgaoTst=5&amp;tribunalTst=18&amp;varaTst=0000" TargetMode="External"/><Relationship Id="rId13" Type="http://schemas.openxmlformats.org/officeDocument/2006/relationships/hyperlink" Target="https://aplicacao5.tst.jus.br/consultaProcessual/consultaTstNumUnica.do?consulta=Consultar&amp;conscsjt=&amp;numeroTst=24400&amp;digitoTst=26&amp;anoTst=2007&amp;orgaoTst=5&amp;tribunalTst=01&amp;varaTst=034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20424&amp;digitoTst=81&amp;anoTst=2010&amp;orgaoTst=5&amp;tribunalTst=04&amp;varaTst=0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285&amp;digitoTst=94&amp;anoTst=2012&amp;orgaoTst=5&amp;tribunalTst=02&amp;varaTst=0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licacao5.tst.jus.br/consultaProcessual/consultaTstNumUnica.do?consulta=Consultar&amp;conscsjt=&amp;numeroTst=42600&amp;digitoTst=28&amp;anoTst=2009&amp;orgaoTst=5&amp;tribunalTst=17&amp;varaTst=0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7724&amp;digitoTst=30&amp;anoTst=2010&amp;orgaoTst=5&amp;tribunalTst=02&amp;varaTst=0000" TargetMode="External"/><Relationship Id="rId14" Type="http://schemas.openxmlformats.org/officeDocument/2006/relationships/hyperlink" Target="https://aplicacao5.tst.jus.br/consultaProcessual/consultaTstNumUnica.do?consulta=Consultar&amp;conscsjt=&amp;numeroTst=28700&amp;digitoTst=47&amp;anoTst=2004&amp;orgaoTst=5&amp;tribunalTst=02&amp;varaTst=02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8F99-D3EE-4D86-BC67-81008FA5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1976</Words>
  <Characters>10675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12626</CharactersWithSpaces>
  <SharedDoc>false</SharedDoc>
  <HLinks>
    <vt:vector size="42" baseType="variant">
      <vt:variant>
        <vt:i4>1376269</vt:i4>
      </vt:variant>
      <vt:variant>
        <vt:i4>18</vt:i4>
      </vt:variant>
      <vt:variant>
        <vt:i4>0</vt:i4>
      </vt:variant>
      <vt:variant>
        <vt:i4>5</vt:i4>
      </vt:variant>
      <vt:variant>
        <vt:lpwstr>https://aplicacao5.tst.jus.br/consultaProcessual/consultaTstNumUnica.do?consulta=Consultar&amp;conscsjt=&amp;numeroTst=28700&amp;digitoTst=47&amp;anoTst=2004&amp;orgaoTst=5&amp;tribunalTst=02&amp;varaTst=0201</vt:lpwstr>
      </vt:variant>
      <vt:variant>
        <vt:lpwstr/>
      </vt:variant>
      <vt:variant>
        <vt:i4>1245188</vt:i4>
      </vt:variant>
      <vt:variant>
        <vt:i4>15</vt:i4>
      </vt:variant>
      <vt:variant>
        <vt:i4>0</vt:i4>
      </vt:variant>
      <vt:variant>
        <vt:i4>5</vt:i4>
      </vt:variant>
      <vt:variant>
        <vt:lpwstr>https://aplicacao5.tst.jus.br/consultaProcessual/consultaTstNumUnica.do?consulta=Consultar&amp;conscsjt=&amp;numeroTst=24400&amp;digitoTst=26&amp;anoTst=2007&amp;orgaoTst=5&amp;tribunalTst=01&amp;varaTst=0343</vt:lpwstr>
      </vt:variant>
      <vt:variant>
        <vt:lpwstr/>
      </vt:variant>
      <vt:variant>
        <vt:i4>1835011</vt:i4>
      </vt:variant>
      <vt:variant>
        <vt:i4>12</vt:i4>
      </vt:variant>
      <vt:variant>
        <vt:i4>0</vt:i4>
      </vt:variant>
      <vt:variant>
        <vt:i4>5</vt:i4>
      </vt:variant>
      <vt:variant>
        <vt:lpwstr>https://aplicacao5.tst.jus.br/consultaProcessual/consultaTstNumUnica.do?consulta=Consultar&amp;conscsjt=&amp;numeroTst=20424&amp;digitoTst=81&amp;anoTst=2010&amp;orgaoTst=5&amp;tribunalTst=04&amp;varaTst=0000</vt:lpwstr>
      </vt:variant>
      <vt:variant>
        <vt:lpwstr/>
      </vt:variant>
      <vt:variant>
        <vt:i4>2621496</vt:i4>
      </vt:variant>
      <vt:variant>
        <vt:i4>9</vt:i4>
      </vt:variant>
      <vt:variant>
        <vt:i4>0</vt:i4>
      </vt:variant>
      <vt:variant>
        <vt:i4>5</vt:i4>
      </vt:variant>
      <vt:variant>
        <vt:lpwstr>https://aplicacao5.tst.jus.br/consultaProcessual/consultaTstNumUnica.do?consulta=Consultar&amp;conscsjt=&amp;numeroTst=285&amp;digitoTst=94&amp;anoTst=2012&amp;orgaoTst=5&amp;tribunalTst=02&amp;varaTst=0000</vt:lpwstr>
      </vt:variant>
      <vt:variant>
        <vt:lpwstr/>
      </vt:variant>
      <vt:variant>
        <vt:i4>1441792</vt:i4>
      </vt:variant>
      <vt:variant>
        <vt:i4>6</vt:i4>
      </vt:variant>
      <vt:variant>
        <vt:i4>0</vt:i4>
      </vt:variant>
      <vt:variant>
        <vt:i4>5</vt:i4>
      </vt:variant>
      <vt:variant>
        <vt:lpwstr>https://aplicacao5.tst.jus.br/consultaProcessual/consultaTstNumUnica.do?consulta=Consultar&amp;conscsjt=&amp;numeroTst=42600&amp;digitoTst=28&amp;anoTst=2009&amp;orgaoTst=5&amp;tribunalTst=17&amp;varaTst=0000</vt:lpwstr>
      </vt:variant>
      <vt:variant>
        <vt:lpwstr/>
      </vt:variant>
      <vt:variant>
        <vt:i4>7078009</vt:i4>
      </vt:variant>
      <vt:variant>
        <vt:i4>3</vt:i4>
      </vt:variant>
      <vt:variant>
        <vt:i4>0</vt:i4>
      </vt:variant>
      <vt:variant>
        <vt:i4>5</vt:i4>
      </vt:variant>
      <vt:variant>
        <vt:lpwstr>https://aplicacao5.tst.jus.br/consultaProcessual/consultaTstNumUnica.do?consulta=Consultar&amp;conscsjt=&amp;numeroTst=7724&amp;digitoTst=30&amp;anoTst=2010&amp;orgaoTst=5&amp;tribunalTst=02&amp;varaTst=0000</vt:lpwstr>
      </vt:variant>
      <vt:variant>
        <vt:lpwstr/>
      </vt:variant>
      <vt:variant>
        <vt:i4>2162744</vt:i4>
      </vt:variant>
      <vt:variant>
        <vt:i4>0</vt:i4>
      </vt:variant>
      <vt:variant>
        <vt:i4>0</vt:i4>
      </vt:variant>
      <vt:variant>
        <vt:i4>5</vt:i4>
      </vt:variant>
      <vt:variant>
        <vt:lpwstr>https://aplicacao5.tst.jus.br/consultaProcessual/consultaTstNumUnica.do?consulta=Consultar&amp;conscsjt=&amp;numeroTst=415&amp;digitoTst=74&amp;anoTst=2011&amp;orgaoTst=5&amp;tribunalTst=18&amp;varaTst=0000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2018-06-27T21:44:00Z</dcterms:created>
  <dcterms:modified xsi:type="dcterms:W3CDTF">2018-06-27T21:44:00Z</dcterms:modified>
</cp:coreProperties>
</file>