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Ind w:w="70" w:type="dxa"/>
        <w:tblLayout w:type="fixed"/>
        <w:tblCellMar>
          <w:left w:w="70" w:type="dxa"/>
          <w:right w:w="70" w:type="dxa"/>
        </w:tblCellMar>
        <w:tblLook w:val="0000" w:firstRow="0" w:lastRow="0" w:firstColumn="0" w:lastColumn="0" w:noHBand="0" w:noVBand="0"/>
      </w:tblPr>
      <w:tblGrid>
        <w:gridCol w:w="9709"/>
      </w:tblGrid>
      <w:tr w:rsidR="00C26DFB" w:rsidRPr="00187A37" w:rsidTr="00631F1C">
        <w:tblPrEx>
          <w:tblCellMar>
            <w:top w:w="0" w:type="dxa"/>
            <w:bottom w:w="0" w:type="dxa"/>
          </w:tblCellMar>
        </w:tblPrEx>
        <w:trPr>
          <w:trHeight w:val="792"/>
        </w:trPr>
        <w:tc>
          <w:tcPr>
            <w:tcW w:w="9709" w:type="dxa"/>
          </w:tcPr>
          <w:p w:rsidR="00B56395" w:rsidRPr="00187A37" w:rsidRDefault="00C26DFB" w:rsidP="00B2266D">
            <w:pPr>
              <w:pStyle w:val="Cabealho"/>
              <w:tabs>
                <w:tab w:val="clear" w:pos="4419"/>
                <w:tab w:val="clear" w:pos="8838"/>
              </w:tabs>
              <w:rPr>
                <w:sz w:val="10"/>
                <w:szCs w:val="10"/>
              </w:rPr>
            </w:pPr>
            <w:bookmarkStart w:id="0" w:name="_GoBack"/>
            <w:bookmarkEnd w:id="0"/>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D2220B">
        <w:rPr>
          <w:rFonts w:ascii="Times New Roman" w:hAnsi="Times New Roman" w:cs="Times New Roman"/>
          <w:b/>
          <w:bCs/>
          <w:shadow/>
          <w:color w:val="auto"/>
          <w:sz w:val="26"/>
          <w:szCs w:val="26"/>
          <w:lang w:val="pt-BR"/>
        </w:rPr>
        <w:t>TRIBUNAL PLENO</w:t>
      </w:r>
      <w:r>
        <w:rPr>
          <w:rFonts w:ascii="Times New Roman" w:hAnsi="Times New Roman" w:cs="Times New Roman"/>
          <w:b/>
          <w:bCs/>
          <w:shadow/>
          <w:color w:val="auto"/>
          <w:sz w:val="26"/>
          <w:szCs w:val="26"/>
          <w:lang w:val="pt-BR"/>
        </w:rPr>
        <w:tab/>
      </w:r>
    </w:p>
    <w:p w:rsidR="00800C25" w:rsidRPr="00800C25" w:rsidRDefault="00800C25" w:rsidP="00800C25">
      <w:pPr>
        <w:pStyle w:val="Corpodetexto2"/>
        <w:spacing w:before="0" w:beforeAutospacing="0"/>
        <w:rPr>
          <w:bCs/>
          <w:iCs/>
          <w:color w:val="000000"/>
          <w:sz w:val="10"/>
          <w:szCs w:val="10"/>
        </w:rPr>
      </w:pPr>
    </w:p>
    <w:p w:rsidR="007F027A" w:rsidRDefault="004F17A1" w:rsidP="00AB7D06">
      <w:pPr>
        <w:pStyle w:val="Corpodetexto2"/>
        <w:spacing w:before="0" w:beforeAutospacing="0"/>
        <w:rPr>
          <w:bCs/>
          <w:iCs/>
          <w:color w:val="000000"/>
          <w:sz w:val="24"/>
          <w:szCs w:val="24"/>
        </w:rPr>
      </w:pPr>
      <w:r>
        <w:rPr>
          <w:bCs/>
          <w:iCs/>
          <w:color w:val="000000"/>
          <w:sz w:val="24"/>
          <w:szCs w:val="24"/>
        </w:rPr>
        <w:t>O Tribunal Pleno, na sessão extraordinária do dia 16/4/2012, aprovou as seguintes modificações na jurisprudência da Corte</w:t>
      </w:r>
      <w:r w:rsidR="00263F47">
        <w:rPr>
          <w:bCs/>
          <w:iCs/>
          <w:color w:val="000000"/>
          <w:sz w:val="24"/>
          <w:szCs w:val="24"/>
        </w:rPr>
        <w:t>, ainda pendentes de publicação</w:t>
      </w:r>
      <w:r>
        <w:rPr>
          <w:bCs/>
          <w:iCs/>
          <w:color w:val="000000"/>
          <w:sz w:val="24"/>
          <w:szCs w:val="24"/>
        </w:rPr>
        <w:t>:</w:t>
      </w:r>
    </w:p>
    <w:p w:rsidR="00800C25" w:rsidRPr="00AB7D06" w:rsidRDefault="00800C25" w:rsidP="00AB7D06">
      <w:pPr>
        <w:pStyle w:val="Corpodetexto2"/>
        <w:spacing w:before="0" w:beforeAutospacing="0"/>
        <w:rPr>
          <w:bCs/>
          <w:iCs/>
          <w:color w:val="000000"/>
          <w:sz w:val="10"/>
          <w:szCs w:val="10"/>
        </w:rPr>
      </w:pPr>
    </w:p>
    <w:p w:rsidR="00800C25" w:rsidRPr="004F17A1" w:rsidRDefault="00800C25" w:rsidP="00AB7D06">
      <w:pPr>
        <w:autoSpaceDE/>
        <w:autoSpaceDN/>
        <w:spacing w:before="0" w:beforeAutospacing="0"/>
        <w:rPr>
          <w:sz w:val="24"/>
          <w:szCs w:val="24"/>
        </w:rPr>
      </w:pPr>
      <w:r w:rsidRPr="004F17A1">
        <w:rPr>
          <w:b/>
          <w:bCs/>
          <w:sz w:val="24"/>
          <w:szCs w:val="24"/>
        </w:rPr>
        <w:t xml:space="preserve">SÚMULA Nº 207 </w:t>
      </w:r>
    </w:p>
    <w:p w:rsidR="00800C25" w:rsidRPr="004F17A1" w:rsidRDefault="00800C25" w:rsidP="00AB7D06">
      <w:pPr>
        <w:autoSpaceDE/>
        <w:autoSpaceDN/>
        <w:spacing w:before="0" w:beforeAutospacing="0"/>
        <w:rPr>
          <w:sz w:val="24"/>
          <w:szCs w:val="24"/>
        </w:rPr>
      </w:pPr>
      <w:r w:rsidRPr="004F17A1">
        <w:rPr>
          <w:sz w:val="24"/>
          <w:szCs w:val="24"/>
        </w:rPr>
        <w:t xml:space="preserve">CONFLITOS DE LEIS TRABALHISTAS NO ESPAÇO. PRINCÍPIO DA "LEX LOCI EXECUTIONIS" </w:t>
      </w:r>
      <w:r w:rsidRPr="00263F47">
        <w:rPr>
          <w:b/>
          <w:sz w:val="24"/>
          <w:szCs w:val="24"/>
        </w:rPr>
        <w:t>(cancelada)</w:t>
      </w:r>
    </w:p>
    <w:p w:rsidR="00800C25" w:rsidRDefault="00800C25" w:rsidP="00AB7D06">
      <w:pPr>
        <w:autoSpaceDE/>
        <w:autoSpaceDN/>
        <w:spacing w:before="0" w:beforeAutospacing="0"/>
        <w:rPr>
          <w:sz w:val="24"/>
          <w:szCs w:val="24"/>
        </w:rPr>
      </w:pPr>
      <w:r w:rsidRPr="004F17A1">
        <w:rPr>
          <w:sz w:val="24"/>
          <w:szCs w:val="24"/>
        </w:rPr>
        <w:t>A relação jurídica trabalhista é regida pelas leis vigentes no país da prestação de serviço e não por aquelas do local da contratação.</w:t>
      </w:r>
    </w:p>
    <w:p w:rsidR="00800C25" w:rsidRPr="005F7EB7" w:rsidRDefault="00800C25" w:rsidP="00AB7D06">
      <w:pPr>
        <w:autoSpaceDE/>
        <w:autoSpaceDN/>
        <w:spacing w:before="0" w:beforeAutospacing="0"/>
        <w:rPr>
          <w:b/>
          <w:bCs/>
          <w:sz w:val="10"/>
          <w:szCs w:val="10"/>
        </w:rPr>
      </w:pPr>
    </w:p>
    <w:p w:rsidR="004F17A1" w:rsidRPr="004F17A1" w:rsidRDefault="004F17A1" w:rsidP="00AB7D06">
      <w:pPr>
        <w:autoSpaceDE/>
        <w:autoSpaceDN/>
        <w:spacing w:before="0" w:beforeAutospacing="0"/>
        <w:rPr>
          <w:sz w:val="24"/>
          <w:szCs w:val="24"/>
        </w:rPr>
      </w:pPr>
      <w:r w:rsidRPr="004F17A1">
        <w:rPr>
          <w:b/>
          <w:bCs/>
          <w:sz w:val="24"/>
          <w:szCs w:val="24"/>
        </w:rPr>
        <w:t>SÚMULA Nº 221</w:t>
      </w:r>
    </w:p>
    <w:p w:rsidR="004F17A1" w:rsidRPr="004F17A1" w:rsidRDefault="004F17A1" w:rsidP="00AB7D06">
      <w:pPr>
        <w:autoSpaceDE/>
        <w:autoSpaceDN/>
        <w:spacing w:before="0" w:beforeAutospacing="0"/>
        <w:rPr>
          <w:sz w:val="24"/>
          <w:szCs w:val="24"/>
        </w:rPr>
      </w:pPr>
      <w:r w:rsidRPr="004F17A1">
        <w:rPr>
          <w:sz w:val="24"/>
          <w:szCs w:val="24"/>
        </w:rPr>
        <w:t xml:space="preserve">RECURSO DE REVISTA. VIOLAÇÃO DE LEI. INDICAÇÃO DE PRECEITO. INTERPRETAÇÃO RAZOÁVEL </w:t>
      </w:r>
      <w:r w:rsidRPr="00263F47">
        <w:rPr>
          <w:b/>
          <w:sz w:val="24"/>
          <w:szCs w:val="24"/>
        </w:rPr>
        <w:t>(alterada em decorrência d</w:t>
      </w:r>
      <w:r w:rsidR="00263F47">
        <w:rPr>
          <w:b/>
          <w:sz w:val="24"/>
          <w:szCs w:val="24"/>
        </w:rPr>
        <w:t>a redação do</w:t>
      </w:r>
      <w:r w:rsidRPr="00263F47">
        <w:rPr>
          <w:b/>
          <w:sz w:val="24"/>
          <w:szCs w:val="24"/>
        </w:rPr>
        <w:t xml:space="preserve"> inciso II do art. 894 da CLT, incluído pela Lei nº 11.496/2007).</w:t>
      </w:r>
    </w:p>
    <w:p w:rsidR="004F17A1" w:rsidRPr="004F17A1" w:rsidRDefault="004F17A1" w:rsidP="00AB7D06">
      <w:pPr>
        <w:autoSpaceDE/>
        <w:autoSpaceDN/>
        <w:spacing w:before="0" w:beforeAutospacing="0"/>
        <w:rPr>
          <w:sz w:val="24"/>
          <w:szCs w:val="24"/>
        </w:rPr>
      </w:pPr>
      <w:r w:rsidRPr="004F17A1">
        <w:rPr>
          <w:sz w:val="24"/>
          <w:szCs w:val="24"/>
        </w:rPr>
        <w:t>I - A admissibilidade do recurso de revista por violação tem como pressuposto a indicação expressa do dispositivo de lei ou da Constituição tido como violado (ex-OJ nº 94 da SBDI-1 - inserida em 30.05.1997)</w:t>
      </w:r>
      <w:r>
        <w:rPr>
          <w:sz w:val="24"/>
          <w:szCs w:val="24"/>
        </w:rPr>
        <w:t>.</w:t>
      </w:r>
    </w:p>
    <w:p w:rsidR="004F17A1" w:rsidRDefault="004F17A1" w:rsidP="00AB7D06">
      <w:pPr>
        <w:autoSpaceDE/>
        <w:autoSpaceDN/>
        <w:spacing w:before="0" w:beforeAutospacing="0"/>
        <w:rPr>
          <w:sz w:val="24"/>
          <w:szCs w:val="24"/>
        </w:rPr>
      </w:pPr>
      <w:r w:rsidRPr="004F17A1">
        <w:rPr>
          <w:sz w:val="24"/>
          <w:szCs w:val="24"/>
        </w:rPr>
        <w:t>II - Interpretação razoável de preceito de lei, ainda que não seja a melhor, não dá ensejo à admissibilidade ou ao conhecimento de recurso de revista com base na alínea "c" do art. 896, da CLT. A violação há de estar ligada à literalidade do preceito (ex-Súmula nº 221 – alterada pela Res. 121/2003, DJ 21.11.2003)</w:t>
      </w:r>
      <w:r>
        <w:rPr>
          <w:sz w:val="24"/>
          <w:szCs w:val="24"/>
        </w:rPr>
        <w:t>.</w:t>
      </w:r>
    </w:p>
    <w:p w:rsidR="00800C25" w:rsidRPr="005F7EB7" w:rsidRDefault="00800C25" w:rsidP="00AB7D06">
      <w:pPr>
        <w:autoSpaceDE/>
        <w:autoSpaceDN/>
        <w:spacing w:before="0" w:beforeAutospacing="0"/>
        <w:rPr>
          <w:sz w:val="10"/>
          <w:szCs w:val="10"/>
        </w:rPr>
      </w:pPr>
    </w:p>
    <w:p w:rsidR="004F17A1" w:rsidRPr="004F17A1" w:rsidRDefault="004F17A1" w:rsidP="00AB7D06">
      <w:pPr>
        <w:autoSpaceDE/>
        <w:autoSpaceDN/>
        <w:spacing w:before="0" w:beforeAutospacing="0"/>
        <w:rPr>
          <w:sz w:val="24"/>
          <w:szCs w:val="24"/>
        </w:rPr>
      </w:pPr>
      <w:r w:rsidRPr="004F17A1">
        <w:rPr>
          <w:b/>
          <w:bCs/>
          <w:sz w:val="24"/>
          <w:szCs w:val="24"/>
        </w:rPr>
        <w:t>SÚMULA Nº 368</w:t>
      </w:r>
    </w:p>
    <w:p w:rsidR="004F17A1" w:rsidRPr="004F17A1" w:rsidRDefault="004F17A1" w:rsidP="00AB7D06">
      <w:pPr>
        <w:autoSpaceDE/>
        <w:autoSpaceDN/>
        <w:spacing w:before="0" w:beforeAutospacing="0"/>
        <w:rPr>
          <w:sz w:val="24"/>
          <w:szCs w:val="24"/>
        </w:rPr>
      </w:pPr>
      <w:r w:rsidRPr="004F17A1">
        <w:rPr>
          <w:sz w:val="24"/>
          <w:szCs w:val="24"/>
        </w:rPr>
        <w:t xml:space="preserve">DESCONTOS PREVIDENCIÁRIOS E FISCAIS. COMPETÊNCIA. RESPONSABILIDADE PELO PAGAMENTO. FORMA DE CÁLCULO </w:t>
      </w:r>
      <w:r w:rsidRPr="00263F47">
        <w:rPr>
          <w:b/>
          <w:sz w:val="24"/>
          <w:szCs w:val="24"/>
        </w:rPr>
        <w:t>(redação do item II alterada</w:t>
      </w:r>
      <w:r w:rsidR="00263F47">
        <w:rPr>
          <w:b/>
          <w:sz w:val="24"/>
          <w:szCs w:val="24"/>
        </w:rPr>
        <w:t>).</w:t>
      </w:r>
    </w:p>
    <w:p w:rsidR="004F17A1" w:rsidRPr="004F17A1" w:rsidRDefault="004F17A1" w:rsidP="00AB7D06">
      <w:pPr>
        <w:autoSpaceDE/>
        <w:autoSpaceDN/>
        <w:spacing w:before="0" w:beforeAutospacing="0"/>
        <w:rPr>
          <w:sz w:val="24"/>
          <w:szCs w:val="24"/>
        </w:rPr>
      </w:pPr>
      <w:r w:rsidRPr="004F17A1">
        <w:rPr>
          <w:sz w:val="24"/>
          <w:szCs w:val="24"/>
        </w:rPr>
        <w:t>I - A Justiça do Trabalho é competente para determinar o recolhimento das contribuições fiscais. A competência da Justiça do Trabalho, quanto à execução das contribuições previdenciárias, limita-se às sentenças condenatórias em pecúnia que proferir e aos valores, objeto de acordo homologado, que integrem o salário-de-contribuição (ex-OJ nº 141 da SBDI-1 - inserida em 27.11.1998)</w:t>
      </w:r>
      <w:r>
        <w:rPr>
          <w:sz w:val="24"/>
          <w:szCs w:val="24"/>
        </w:rPr>
        <w:t>.</w:t>
      </w:r>
    </w:p>
    <w:p w:rsidR="004F17A1" w:rsidRPr="004F17A1" w:rsidRDefault="004F17A1" w:rsidP="00AB7D06">
      <w:pPr>
        <w:autoSpaceDE/>
        <w:autoSpaceDN/>
        <w:spacing w:before="0" w:beforeAutospacing="0"/>
        <w:rPr>
          <w:sz w:val="24"/>
          <w:szCs w:val="24"/>
        </w:rPr>
      </w:pPr>
      <w:r w:rsidRPr="004F17A1">
        <w:rPr>
          <w:sz w:val="24"/>
          <w:szCs w:val="24"/>
        </w:rPr>
        <w:t>II. É do empregador a responsabilidade pelo recolhimento das contribuições previdenciárias e fiscais, resultante de crédito do empregado oriundo de condenação judicial, devendo ser calculadas, em relação à incidência dos descontos fiscais, mês a mês, nos termos do art. 12-A da Lei n.º 7.713, de 22/12/1988, com a redação dada pela Lei nº 12.350/2010.</w:t>
      </w:r>
    </w:p>
    <w:p w:rsidR="004F17A1" w:rsidRDefault="004F17A1" w:rsidP="00AB7D06">
      <w:pPr>
        <w:autoSpaceDE/>
        <w:autoSpaceDN/>
        <w:spacing w:before="0" w:beforeAutospacing="0"/>
        <w:rPr>
          <w:sz w:val="24"/>
          <w:szCs w:val="24"/>
        </w:rPr>
      </w:pPr>
      <w:r w:rsidRPr="004F17A1">
        <w:rPr>
          <w:sz w:val="24"/>
          <w:szCs w:val="24"/>
        </w:rPr>
        <w:t>III. Em se tratando de descontos previdenciários, o critério de apuração encontra-se disciplinado no art. 276, §4º, do Decreto n º 3.048/1999 que regulamentou a Lei nº 8.212/1991 e determina que a contribuição do empregado, no caso de ações trabalhistas, seja calculada mês a mês, aplicando-se as alíquotas previstas no art. 198, observado o limite máximo do salário de contribuição (ex-OJs nºs 32 e 228 da SBDI-1 – inseridas, respectivamente, em 14.03.1994 e 20.06.2001)</w:t>
      </w:r>
      <w:r>
        <w:rPr>
          <w:sz w:val="24"/>
          <w:szCs w:val="24"/>
        </w:rPr>
        <w:t>.</w:t>
      </w:r>
    </w:p>
    <w:p w:rsidR="005F7EB7" w:rsidRPr="005F7EB7" w:rsidRDefault="005F7EB7" w:rsidP="00AB7D06">
      <w:pPr>
        <w:autoSpaceDE/>
        <w:autoSpaceDN/>
        <w:spacing w:before="0" w:beforeAutospacing="0"/>
        <w:rPr>
          <w:sz w:val="10"/>
          <w:szCs w:val="10"/>
        </w:rPr>
      </w:pPr>
    </w:p>
    <w:p w:rsidR="004F17A1" w:rsidRPr="004F17A1" w:rsidRDefault="004F17A1" w:rsidP="00AB7D06">
      <w:pPr>
        <w:autoSpaceDE/>
        <w:autoSpaceDN/>
        <w:spacing w:before="0" w:beforeAutospacing="0"/>
        <w:rPr>
          <w:sz w:val="24"/>
          <w:szCs w:val="24"/>
        </w:rPr>
      </w:pPr>
      <w:r w:rsidRPr="004F17A1">
        <w:rPr>
          <w:b/>
          <w:bCs/>
          <w:sz w:val="24"/>
          <w:szCs w:val="24"/>
        </w:rPr>
        <w:t>OJ Nº 115 DA SBDI-I</w:t>
      </w:r>
    </w:p>
    <w:p w:rsidR="004F17A1" w:rsidRPr="004F17A1" w:rsidRDefault="004F17A1" w:rsidP="00AB7D06">
      <w:pPr>
        <w:autoSpaceDE/>
        <w:autoSpaceDN/>
        <w:spacing w:before="0" w:beforeAutospacing="0"/>
        <w:rPr>
          <w:sz w:val="24"/>
          <w:szCs w:val="24"/>
        </w:rPr>
      </w:pPr>
      <w:r w:rsidRPr="004F17A1">
        <w:rPr>
          <w:sz w:val="24"/>
          <w:szCs w:val="24"/>
        </w:rPr>
        <w:t>RECURSO DE REVISTA. NULIDADE POR NEGATIVA DE PRESTAÇÃO JURISDICI</w:t>
      </w:r>
      <w:r w:rsidR="00263F47">
        <w:rPr>
          <w:sz w:val="24"/>
          <w:szCs w:val="24"/>
        </w:rPr>
        <w:t xml:space="preserve">ONAL </w:t>
      </w:r>
      <w:r w:rsidR="00263F47" w:rsidRPr="00263F47">
        <w:rPr>
          <w:b/>
          <w:sz w:val="24"/>
          <w:szCs w:val="24"/>
        </w:rPr>
        <w:t>(alterada em decorrência da redação do</w:t>
      </w:r>
      <w:r w:rsidRPr="00263F47">
        <w:rPr>
          <w:b/>
          <w:sz w:val="24"/>
          <w:szCs w:val="24"/>
        </w:rPr>
        <w:t xml:space="preserve"> inciso II do art. 894 da CLT, incluído pela Lei nº 11.496/2007).</w:t>
      </w:r>
    </w:p>
    <w:p w:rsidR="004F17A1" w:rsidRDefault="004F17A1" w:rsidP="00AB7D06">
      <w:pPr>
        <w:autoSpaceDE/>
        <w:autoSpaceDN/>
        <w:spacing w:before="0" w:beforeAutospacing="0"/>
        <w:rPr>
          <w:sz w:val="24"/>
          <w:szCs w:val="24"/>
        </w:rPr>
      </w:pPr>
      <w:r w:rsidRPr="004F17A1">
        <w:rPr>
          <w:sz w:val="24"/>
          <w:szCs w:val="24"/>
        </w:rPr>
        <w:lastRenderedPageBreak/>
        <w:t>O conhecimento do recurso de revista, quanto à preliminar de nulidade por negativa de prestação jurisdicional, supõe indicação de violação do art. 832 da CLT, do art. 458 do CPC ou do art. 93, IX, da CF/1988.</w:t>
      </w:r>
    </w:p>
    <w:p w:rsidR="00311B9B" w:rsidRPr="005F7EB7" w:rsidRDefault="00311B9B" w:rsidP="00AB7D06">
      <w:pPr>
        <w:autoSpaceDE/>
        <w:autoSpaceDN/>
        <w:spacing w:before="0" w:beforeAutospacing="0"/>
        <w:rPr>
          <w:sz w:val="10"/>
          <w:szCs w:val="10"/>
        </w:rPr>
      </w:pPr>
    </w:p>
    <w:p w:rsidR="00311B9B" w:rsidRPr="004F17A1" w:rsidRDefault="00311B9B" w:rsidP="00AB7D06">
      <w:pPr>
        <w:autoSpaceDE/>
        <w:autoSpaceDN/>
        <w:spacing w:before="0" w:beforeAutospacing="0"/>
        <w:rPr>
          <w:sz w:val="24"/>
          <w:szCs w:val="24"/>
        </w:rPr>
      </w:pPr>
      <w:r w:rsidRPr="004F17A1">
        <w:rPr>
          <w:b/>
          <w:bCs/>
          <w:sz w:val="24"/>
          <w:szCs w:val="24"/>
        </w:rPr>
        <w:t>OJ Nº 235 DA SBDI-I</w:t>
      </w:r>
    </w:p>
    <w:p w:rsidR="00311B9B" w:rsidRDefault="00311B9B" w:rsidP="00AB7D06">
      <w:pPr>
        <w:autoSpaceDE/>
        <w:autoSpaceDN/>
        <w:spacing w:before="0" w:beforeAutospacing="0"/>
        <w:rPr>
          <w:sz w:val="24"/>
          <w:szCs w:val="24"/>
        </w:rPr>
      </w:pPr>
      <w:r w:rsidRPr="004F17A1">
        <w:rPr>
          <w:sz w:val="24"/>
          <w:szCs w:val="24"/>
        </w:rPr>
        <w:t xml:space="preserve">HORAS EXTRAS. SALÁRIO POR PRODUÇÃO </w:t>
      </w:r>
      <w:r w:rsidRPr="00263F47">
        <w:rPr>
          <w:b/>
          <w:sz w:val="24"/>
          <w:szCs w:val="24"/>
        </w:rPr>
        <w:t>(redação alterada)</w:t>
      </w:r>
      <w:r w:rsidRPr="004F17A1">
        <w:rPr>
          <w:sz w:val="24"/>
          <w:szCs w:val="24"/>
        </w:rPr>
        <w:t xml:space="preserve"> </w:t>
      </w:r>
    </w:p>
    <w:p w:rsidR="00311B9B" w:rsidRPr="004F17A1" w:rsidRDefault="00311B9B" w:rsidP="00AB7D06">
      <w:pPr>
        <w:autoSpaceDE/>
        <w:autoSpaceDN/>
        <w:spacing w:before="0" w:beforeAutospacing="0"/>
        <w:rPr>
          <w:sz w:val="24"/>
          <w:szCs w:val="24"/>
        </w:rPr>
      </w:pPr>
      <w:r w:rsidRPr="004F17A1">
        <w:rPr>
          <w:sz w:val="24"/>
          <w:szCs w:val="24"/>
        </w:rPr>
        <w:t>O empregado que recebe salário por produção e trabalha em sobrejornada tem direito à percepção apenas do adicional de horas extras, exceto no caso do empregado cortador de cana, a quem é devido o pagamento das horas extras e do adicional respectivo.</w:t>
      </w:r>
    </w:p>
    <w:p w:rsidR="00800C25" w:rsidRPr="005F7EB7" w:rsidRDefault="00800C25" w:rsidP="00AB7D06">
      <w:pPr>
        <w:autoSpaceDE/>
        <w:autoSpaceDN/>
        <w:spacing w:before="0" w:beforeAutospacing="0"/>
        <w:rPr>
          <w:sz w:val="10"/>
          <w:szCs w:val="10"/>
        </w:rPr>
      </w:pPr>
    </w:p>
    <w:p w:rsidR="004F17A1" w:rsidRPr="004F17A1" w:rsidRDefault="004F17A1" w:rsidP="00AB7D06">
      <w:pPr>
        <w:autoSpaceDE/>
        <w:autoSpaceDN/>
        <w:spacing w:before="0" w:beforeAutospacing="0"/>
        <w:rPr>
          <w:sz w:val="24"/>
          <w:szCs w:val="24"/>
        </w:rPr>
      </w:pPr>
      <w:r w:rsidRPr="004F17A1">
        <w:rPr>
          <w:b/>
          <w:bCs/>
          <w:sz w:val="24"/>
          <w:szCs w:val="24"/>
        </w:rPr>
        <w:t>OJ Nº 257 DA SBDI-I</w:t>
      </w:r>
    </w:p>
    <w:p w:rsidR="004F17A1" w:rsidRPr="004F17A1" w:rsidRDefault="004F17A1" w:rsidP="00AB7D06">
      <w:pPr>
        <w:autoSpaceDE/>
        <w:autoSpaceDN/>
        <w:spacing w:before="0" w:beforeAutospacing="0"/>
        <w:rPr>
          <w:sz w:val="24"/>
          <w:szCs w:val="24"/>
        </w:rPr>
      </w:pPr>
      <w:r w:rsidRPr="004F17A1">
        <w:rPr>
          <w:sz w:val="24"/>
          <w:szCs w:val="24"/>
        </w:rPr>
        <w:t xml:space="preserve">RECURSO DE REVISTA. FUNDAMENTAÇÃO. VIOLAÇÃO DE LEI. VOCÁBULO VIOLAÇÃO. DESNECESSIDADE </w:t>
      </w:r>
      <w:r w:rsidRPr="00263F47">
        <w:rPr>
          <w:b/>
          <w:sz w:val="24"/>
          <w:szCs w:val="24"/>
        </w:rPr>
        <w:t xml:space="preserve">(alterada em decorrência </w:t>
      </w:r>
      <w:r w:rsidR="00263F47">
        <w:rPr>
          <w:b/>
          <w:sz w:val="24"/>
          <w:szCs w:val="24"/>
        </w:rPr>
        <w:t xml:space="preserve">da redação </w:t>
      </w:r>
      <w:r w:rsidRPr="00263F47">
        <w:rPr>
          <w:b/>
          <w:sz w:val="24"/>
          <w:szCs w:val="24"/>
        </w:rPr>
        <w:t>do inciso II do art. 894 da CLT, incluído pela Lei nº 11.496/2007).</w:t>
      </w:r>
    </w:p>
    <w:p w:rsidR="004F17A1" w:rsidRPr="004F17A1" w:rsidRDefault="004F17A1" w:rsidP="00AB7D06">
      <w:pPr>
        <w:autoSpaceDE/>
        <w:autoSpaceDN/>
        <w:spacing w:before="0" w:beforeAutospacing="0"/>
        <w:rPr>
          <w:sz w:val="24"/>
          <w:szCs w:val="24"/>
        </w:rPr>
      </w:pPr>
      <w:r w:rsidRPr="004F17A1">
        <w:rPr>
          <w:sz w:val="24"/>
          <w:szCs w:val="24"/>
        </w:rPr>
        <w:t>A invocação expressa no recurso de revista dos preceitos legais ou constitucionais tidos como violados não significa exigir da parte a utilização das expressões "contrariar", "ferir", "violar", etc.</w:t>
      </w:r>
    </w:p>
    <w:p w:rsidR="00800C25" w:rsidRPr="005F7EB7" w:rsidRDefault="00800C25" w:rsidP="00AB7D06">
      <w:pPr>
        <w:autoSpaceDE/>
        <w:autoSpaceDN/>
        <w:spacing w:before="0" w:beforeAutospacing="0"/>
        <w:rPr>
          <w:b/>
          <w:bCs/>
          <w:sz w:val="10"/>
          <w:szCs w:val="10"/>
        </w:rPr>
      </w:pPr>
    </w:p>
    <w:p w:rsidR="004F17A1" w:rsidRPr="004F17A1" w:rsidRDefault="004F17A1" w:rsidP="00AB7D06">
      <w:pPr>
        <w:autoSpaceDE/>
        <w:autoSpaceDN/>
        <w:spacing w:before="0" w:beforeAutospacing="0"/>
        <w:rPr>
          <w:sz w:val="24"/>
          <w:szCs w:val="24"/>
        </w:rPr>
      </w:pPr>
      <w:r w:rsidRPr="004F17A1">
        <w:rPr>
          <w:b/>
          <w:bCs/>
          <w:sz w:val="24"/>
          <w:szCs w:val="24"/>
        </w:rPr>
        <w:t>OJ TRANSITÓRIA Nº 42 DA SBDI-I</w:t>
      </w:r>
    </w:p>
    <w:p w:rsidR="004F17A1" w:rsidRPr="00263F47" w:rsidRDefault="004F17A1" w:rsidP="00AB7D06">
      <w:pPr>
        <w:autoSpaceDE/>
        <w:autoSpaceDN/>
        <w:spacing w:before="0" w:beforeAutospacing="0"/>
        <w:rPr>
          <w:b/>
          <w:sz w:val="24"/>
          <w:szCs w:val="24"/>
        </w:rPr>
      </w:pPr>
      <w:r w:rsidRPr="004F17A1">
        <w:rPr>
          <w:sz w:val="24"/>
          <w:szCs w:val="24"/>
        </w:rPr>
        <w:t xml:space="preserve">PETROBRAS. PENSÃO POR MORTE DO EMPREGADO ASSEGURADA NO MANUAL DE PESSOAL. ESTABILIDADE DECENAL. OPÇÃO PELO REGIME DO FGTS </w:t>
      </w:r>
      <w:r w:rsidRPr="00263F47">
        <w:rPr>
          <w:b/>
          <w:sz w:val="24"/>
          <w:szCs w:val="24"/>
        </w:rPr>
        <w:t>(inserido item II à redação).</w:t>
      </w:r>
    </w:p>
    <w:p w:rsidR="004F17A1" w:rsidRPr="004F17A1" w:rsidRDefault="004F17A1" w:rsidP="00AB7D06">
      <w:pPr>
        <w:autoSpaceDE/>
        <w:autoSpaceDN/>
        <w:spacing w:before="0" w:beforeAutospacing="0"/>
        <w:rPr>
          <w:sz w:val="24"/>
          <w:szCs w:val="24"/>
        </w:rPr>
      </w:pPr>
      <w:r w:rsidRPr="004F17A1">
        <w:rPr>
          <w:sz w:val="24"/>
          <w:szCs w:val="24"/>
        </w:rPr>
        <w:t>I - Tendo o empregado adquirido a estabilidade decenal, antes de optar pelo regime do FGTS, não há como negar-se o direito à pensão, eis que preenchido o requisito exigido pelo Manual de Pessoal. (ex-OJ nº 166 da SDI-1 - inserida em 26.03.1999)</w:t>
      </w:r>
    </w:p>
    <w:p w:rsidR="004F17A1" w:rsidRPr="004F17A1" w:rsidRDefault="004F17A1" w:rsidP="00AB7D06">
      <w:pPr>
        <w:autoSpaceDE/>
        <w:autoSpaceDN/>
        <w:spacing w:before="0" w:beforeAutospacing="0"/>
        <w:rPr>
          <w:sz w:val="24"/>
          <w:szCs w:val="24"/>
        </w:rPr>
      </w:pPr>
      <w:r w:rsidRPr="004F17A1">
        <w:rPr>
          <w:sz w:val="24"/>
          <w:szCs w:val="24"/>
        </w:rPr>
        <w:t xml:space="preserve">II - O benefício previsto no manual de pessoal da Petrobras, referente ao pagamento de pensão e auxílio-funeral aos dependentes do empregado que vier a falecer no curso do contrato de trabalho, não se estende à hipótese em que sobrevém o óbito do trabalhador quando já extinto o contrato de </w:t>
      </w:r>
      <w:r w:rsidR="005F7EB7">
        <w:rPr>
          <w:sz w:val="24"/>
          <w:szCs w:val="24"/>
        </w:rPr>
        <w:t>t</w:t>
      </w:r>
      <w:r w:rsidRPr="004F17A1">
        <w:rPr>
          <w:sz w:val="24"/>
          <w:szCs w:val="24"/>
        </w:rPr>
        <w:t>rabalho.</w:t>
      </w:r>
    </w:p>
    <w:p w:rsidR="00D2220B" w:rsidRPr="00971E07" w:rsidRDefault="00D2220B" w:rsidP="00D2220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t xml:space="preserve">COMISSÃO DE JURISPRUDÊNCIA E </w:t>
      </w:r>
      <w:r w:rsidR="004210EB">
        <w:rPr>
          <w:rFonts w:ascii="Times New Roman" w:hAnsi="Times New Roman" w:cs="Times New Roman"/>
          <w:b/>
          <w:bCs/>
          <w:shadow/>
          <w:color w:val="auto"/>
          <w:sz w:val="26"/>
          <w:szCs w:val="26"/>
          <w:lang w:val="pt-BR"/>
        </w:rPr>
        <w:t xml:space="preserve">DE </w:t>
      </w:r>
      <w:r>
        <w:rPr>
          <w:rFonts w:ascii="Times New Roman" w:hAnsi="Times New Roman" w:cs="Times New Roman"/>
          <w:b/>
          <w:bCs/>
          <w:shadow/>
          <w:color w:val="auto"/>
          <w:sz w:val="26"/>
          <w:szCs w:val="26"/>
          <w:lang w:val="pt-BR"/>
        </w:rPr>
        <w:t>PRECEDENTES NORMATIVOS</w:t>
      </w:r>
      <w:r>
        <w:rPr>
          <w:rFonts w:ascii="Times New Roman" w:hAnsi="Times New Roman" w:cs="Times New Roman"/>
          <w:b/>
          <w:bCs/>
          <w:shadow/>
          <w:color w:val="auto"/>
          <w:sz w:val="26"/>
          <w:szCs w:val="26"/>
          <w:lang w:val="pt-BR"/>
        </w:rPr>
        <w:tab/>
      </w:r>
    </w:p>
    <w:p w:rsidR="00311B9B" w:rsidRPr="00311B9B" w:rsidRDefault="00311B9B" w:rsidP="00800C25">
      <w:pPr>
        <w:pStyle w:val="Corpodetexto2"/>
        <w:spacing w:before="0" w:beforeAutospacing="0"/>
        <w:rPr>
          <w:bCs/>
          <w:iCs/>
          <w:color w:val="000000"/>
          <w:sz w:val="10"/>
          <w:szCs w:val="10"/>
        </w:rPr>
      </w:pPr>
    </w:p>
    <w:p w:rsidR="00242014" w:rsidRDefault="00242014" w:rsidP="00AB7D06">
      <w:pPr>
        <w:pStyle w:val="Corpodetexto2"/>
        <w:spacing w:before="0" w:beforeAutospacing="0"/>
        <w:rPr>
          <w:bCs/>
          <w:iCs/>
          <w:color w:val="000000"/>
          <w:sz w:val="24"/>
          <w:szCs w:val="24"/>
        </w:rPr>
      </w:pPr>
      <w:r w:rsidRPr="00242014">
        <w:rPr>
          <w:bCs/>
          <w:iCs/>
          <w:color w:val="000000"/>
          <w:sz w:val="24"/>
          <w:szCs w:val="24"/>
        </w:rPr>
        <w:t xml:space="preserve">A </w:t>
      </w:r>
      <w:r>
        <w:rPr>
          <w:bCs/>
          <w:iCs/>
          <w:color w:val="000000"/>
          <w:sz w:val="24"/>
          <w:szCs w:val="24"/>
        </w:rPr>
        <w:t>Comissão de Jurisprudência e de Preceden</w:t>
      </w:r>
      <w:r w:rsidR="00263F47">
        <w:rPr>
          <w:bCs/>
          <w:iCs/>
          <w:color w:val="000000"/>
          <w:sz w:val="24"/>
          <w:szCs w:val="24"/>
        </w:rPr>
        <w:t>tes Normativos</w:t>
      </w:r>
      <w:r>
        <w:rPr>
          <w:bCs/>
          <w:iCs/>
          <w:color w:val="000000"/>
          <w:sz w:val="24"/>
          <w:szCs w:val="24"/>
        </w:rPr>
        <w:t>, em cumprimento ao disposto no art.175 do R</w:t>
      </w:r>
      <w:r w:rsidR="00263F47">
        <w:rPr>
          <w:bCs/>
          <w:iCs/>
          <w:color w:val="000000"/>
          <w:sz w:val="24"/>
          <w:szCs w:val="24"/>
        </w:rPr>
        <w:t>ITST</w:t>
      </w:r>
      <w:r w:rsidR="00BB61EE">
        <w:rPr>
          <w:bCs/>
          <w:iCs/>
          <w:color w:val="000000"/>
          <w:sz w:val="24"/>
          <w:szCs w:val="24"/>
        </w:rPr>
        <w:t xml:space="preserve">, publicou no DEJT de 12, 13 e 16/4/2012 </w:t>
      </w:r>
      <w:r>
        <w:rPr>
          <w:bCs/>
          <w:iCs/>
          <w:color w:val="000000"/>
          <w:sz w:val="24"/>
          <w:szCs w:val="24"/>
        </w:rPr>
        <w:t>a edição da Orientação Jurisprudencial de n.º 418 da S</w:t>
      </w:r>
      <w:r w:rsidR="00263F47">
        <w:rPr>
          <w:bCs/>
          <w:iCs/>
          <w:color w:val="000000"/>
          <w:sz w:val="24"/>
          <w:szCs w:val="24"/>
        </w:rPr>
        <w:t>BDI-I</w:t>
      </w:r>
      <w:r>
        <w:rPr>
          <w:bCs/>
          <w:iCs/>
          <w:color w:val="000000"/>
          <w:sz w:val="24"/>
          <w:szCs w:val="24"/>
        </w:rPr>
        <w:t xml:space="preserve"> e das Orientações Jurisprudenciais n.</w:t>
      </w:r>
      <w:r w:rsidRPr="00242014">
        <w:rPr>
          <w:bCs/>
          <w:iCs/>
          <w:color w:val="000000"/>
          <w:sz w:val="24"/>
          <w:szCs w:val="24"/>
          <w:vertAlign w:val="superscript"/>
        </w:rPr>
        <w:t>os</w:t>
      </w:r>
      <w:r>
        <w:rPr>
          <w:bCs/>
          <w:iCs/>
          <w:color w:val="000000"/>
          <w:sz w:val="24"/>
          <w:szCs w:val="24"/>
          <w:vertAlign w:val="superscript"/>
        </w:rPr>
        <w:t xml:space="preserve"> </w:t>
      </w:r>
      <w:r>
        <w:rPr>
          <w:bCs/>
          <w:iCs/>
          <w:color w:val="000000"/>
          <w:sz w:val="24"/>
          <w:szCs w:val="24"/>
        </w:rPr>
        <w:t xml:space="preserve">157 e 158 </w:t>
      </w:r>
      <w:r w:rsidR="00CD47B1">
        <w:rPr>
          <w:bCs/>
          <w:iCs/>
          <w:color w:val="000000"/>
          <w:sz w:val="24"/>
          <w:szCs w:val="24"/>
        </w:rPr>
        <w:t>da S</w:t>
      </w:r>
      <w:r w:rsidR="00263F47">
        <w:rPr>
          <w:bCs/>
          <w:iCs/>
          <w:color w:val="000000"/>
          <w:sz w:val="24"/>
          <w:szCs w:val="24"/>
        </w:rPr>
        <w:t>BDI-II</w:t>
      </w:r>
      <w:r w:rsidR="00CD47B1">
        <w:rPr>
          <w:bCs/>
          <w:iCs/>
          <w:color w:val="000000"/>
          <w:sz w:val="24"/>
          <w:szCs w:val="24"/>
        </w:rPr>
        <w:t>:</w:t>
      </w:r>
    </w:p>
    <w:p w:rsidR="00311B9B" w:rsidRPr="00AB7D06" w:rsidRDefault="00311B9B" w:rsidP="00AB7D06">
      <w:pPr>
        <w:pStyle w:val="Corpodetexto2"/>
        <w:spacing w:before="0" w:beforeAutospacing="0"/>
        <w:rPr>
          <w:bCs/>
          <w:iCs/>
          <w:color w:val="000000"/>
          <w:sz w:val="10"/>
          <w:szCs w:val="10"/>
        </w:rPr>
      </w:pPr>
    </w:p>
    <w:p w:rsidR="00263F47" w:rsidRDefault="00263F47" w:rsidP="00AB7D06">
      <w:pPr>
        <w:pStyle w:val="Corpodetexto2"/>
        <w:spacing w:before="0" w:beforeAutospacing="0"/>
        <w:rPr>
          <w:b/>
          <w:bCs/>
          <w:iCs/>
          <w:color w:val="000000"/>
          <w:sz w:val="24"/>
          <w:szCs w:val="24"/>
        </w:rPr>
      </w:pPr>
      <w:r w:rsidRPr="004F17A1">
        <w:rPr>
          <w:b/>
          <w:bCs/>
          <w:sz w:val="24"/>
          <w:szCs w:val="24"/>
        </w:rPr>
        <w:t xml:space="preserve">OJ Nº </w:t>
      </w:r>
      <w:r w:rsidR="00B621D7">
        <w:rPr>
          <w:b/>
          <w:bCs/>
          <w:iCs/>
          <w:color w:val="000000"/>
          <w:sz w:val="24"/>
          <w:szCs w:val="24"/>
        </w:rPr>
        <w:t>4</w:t>
      </w:r>
      <w:r w:rsidR="00CD47B1" w:rsidRPr="00B56395">
        <w:rPr>
          <w:b/>
          <w:bCs/>
          <w:iCs/>
          <w:color w:val="000000"/>
          <w:sz w:val="24"/>
          <w:szCs w:val="24"/>
        </w:rPr>
        <w:t>18</w:t>
      </w:r>
      <w:r>
        <w:rPr>
          <w:b/>
          <w:bCs/>
          <w:iCs/>
          <w:color w:val="000000"/>
          <w:sz w:val="24"/>
          <w:szCs w:val="24"/>
        </w:rPr>
        <w:t xml:space="preserve"> DA SBDI-I</w:t>
      </w:r>
    </w:p>
    <w:p w:rsidR="00CD47B1" w:rsidRPr="00263F47" w:rsidRDefault="00CD47B1" w:rsidP="00AB7D06">
      <w:pPr>
        <w:pStyle w:val="Corpodetexto2"/>
        <w:spacing w:before="0" w:beforeAutospacing="0"/>
        <w:rPr>
          <w:bCs/>
          <w:iCs/>
          <w:color w:val="000000"/>
          <w:sz w:val="24"/>
          <w:szCs w:val="24"/>
        </w:rPr>
      </w:pPr>
      <w:r w:rsidRPr="00263F47">
        <w:rPr>
          <w:bCs/>
          <w:iCs/>
          <w:color w:val="000000"/>
          <w:sz w:val="24"/>
          <w:szCs w:val="24"/>
        </w:rPr>
        <w:t xml:space="preserve">EQUIPARAÇÃO SALARIAL. PLANO DE CARGOS E SALÁRIOS. APROVAÇÃO POR INSTRUMENTO COLETIVO. AUSÊNCIA DE ALTERNÂNCIA DE CRITÉRIOS DE PROMOÇÃO POR ANTIGUIDADE E MERECIMENTO. </w:t>
      </w:r>
    </w:p>
    <w:p w:rsidR="00CD47B1" w:rsidRDefault="00CD47B1" w:rsidP="00AB7D06">
      <w:pPr>
        <w:pStyle w:val="Corpodetexto2"/>
        <w:spacing w:before="0" w:beforeAutospacing="0"/>
        <w:rPr>
          <w:bCs/>
          <w:iCs/>
          <w:color w:val="000000"/>
          <w:sz w:val="24"/>
          <w:szCs w:val="24"/>
        </w:rPr>
      </w:pPr>
      <w:r w:rsidRPr="00CD47B1">
        <w:rPr>
          <w:bCs/>
          <w:iCs/>
          <w:color w:val="000000"/>
          <w:sz w:val="24"/>
          <w:szCs w:val="24"/>
        </w:rPr>
        <w:t>Não constitui óbice à equiparação salarial a existência de plano de</w:t>
      </w:r>
      <w:r>
        <w:rPr>
          <w:bCs/>
          <w:iCs/>
          <w:color w:val="000000"/>
          <w:sz w:val="24"/>
          <w:szCs w:val="24"/>
        </w:rPr>
        <w:t xml:space="preserve"> </w:t>
      </w:r>
      <w:r w:rsidRPr="00CD47B1">
        <w:rPr>
          <w:bCs/>
          <w:iCs/>
          <w:color w:val="000000"/>
          <w:sz w:val="24"/>
          <w:szCs w:val="24"/>
        </w:rPr>
        <w:t>cargos e salários que, referendado por norma coletiva, prevê critério</w:t>
      </w:r>
      <w:r>
        <w:rPr>
          <w:bCs/>
          <w:iCs/>
          <w:color w:val="000000"/>
          <w:sz w:val="24"/>
          <w:szCs w:val="24"/>
        </w:rPr>
        <w:t xml:space="preserve"> </w:t>
      </w:r>
      <w:r w:rsidRPr="00CD47B1">
        <w:rPr>
          <w:bCs/>
          <w:iCs/>
          <w:color w:val="000000"/>
          <w:sz w:val="24"/>
          <w:szCs w:val="24"/>
        </w:rPr>
        <w:t>de promoção apenas por merecimento ou antiguidade, não</w:t>
      </w:r>
      <w:r>
        <w:rPr>
          <w:bCs/>
          <w:iCs/>
          <w:color w:val="000000"/>
          <w:sz w:val="24"/>
          <w:szCs w:val="24"/>
        </w:rPr>
        <w:t xml:space="preserve"> </w:t>
      </w:r>
      <w:r w:rsidRPr="00CD47B1">
        <w:rPr>
          <w:bCs/>
          <w:iCs/>
          <w:color w:val="000000"/>
          <w:sz w:val="24"/>
          <w:szCs w:val="24"/>
        </w:rPr>
        <w:t>atendendo, portanto, o requisito de alternância dos critérios, previsto</w:t>
      </w:r>
      <w:r>
        <w:rPr>
          <w:bCs/>
          <w:iCs/>
          <w:color w:val="000000"/>
          <w:sz w:val="24"/>
          <w:szCs w:val="24"/>
        </w:rPr>
        <w:t xml:space="preserve"> </w:t>
      </w:r>
      <w:r w:rsidRPr="00CD47B1">
        <w:rPr>
          <w:bCs/>
          <w:iCs/>
          <w:color w:val="000000"/>
          <w:sz w:val="24"/>
          <w:szCs w:val="24"/>
        </w:rPr>
        <w:t>no art. 461, § 2º, da CLT.</w:t>
      </w:r>
    </w:p>
    <w:p w:rsidR="00311B9B" w:rsidRPr="00311B9B" w:rsidRDefault="00311B9B" w:rsidP="00AB7D06">
      <w:pPr>
        <w:pStyle w:val="Corpodetexto2"/>
        <w:spacing w:before="0" w:beforeAutospacing="0"/>
        <w:rPr>
          <w:bCs/>
          <w:iCs/>
          <w:color w:val="000000"/>
          <w:sz w:val="10"/>
          <w:szCs w:val="10"/>
        </w:rPr>
      </w:pPr>
    </w:p>
    <w:p w:rsidR="00B2266D" w:rsidRDefault="00B2266D" w:rsidP="00AB7D06">
      <w:pPr>
        <w:pStyle w:val="Corpodetexto2"/>
        <w:spacing w:before="0" w:beforeAutospacing="0"/>
        <w:rPr>
          <w:b/>
          <w:bCs/>
          <w:iCs/>
          <w:color w:val="000000"/>
          <w:sz w:val="24"/>
          <w:szCs w:val="24"/>
        </w:rPr>
      </w:pPr>
      <w:r w:rsidRPr="004F17A1">
        <w:rPr>
          <w:b/>
          <w:bCs/>
          <w:sz w:val="24"/>
          <w:szCs w:val="24"/>
        </w:rPr>
        <w:t xml:space="preserve">OJ Nº </w:t>
      </w:r>
      <w:r>
        <w:rPr>
          <w:b/>
          <w:bCs/>
          <w:sz w:val="24"/>
          <w:szCs w:val="24"/>
        </w:rPr>
        <w:t>157</w:t>
      </w:r>
      <w:r>
        <w:rPr>
          <w:b/>
          <w:bCs/>
          <w:iCs/>
          <w:color w:val="000000"/>
          <w:sz w:val="24"/>
          <w:szCs w:val="24"/>
        </w:rPr>
        <w:t xml:space="preserve"> DA SBDI-II</w:t>
      </w:r>
    </w:p>
    <w:p w:rsidR="00CD47B1" w:rsidRPr="00B56395" w:rsidRDefault="00CD47B1" w:rsidP="00AB7D06">
      <w:pPr>
        <w:pStyle w:val="Corpodetexto2"/>
        <w:spacing w:before="0" w:beforeAutospacing="0"/>
        <w:rPr>
          <w:b/>
          <w:bCs/>
          <w:iCs/>
          <w:color w:val="000000"/>
          <w:sz w:val="24"/>
          <w:szCs w:val="24"/>
        </w:rPr>
      </w:pPr>
      <w:r w:rsidRPr="00263F47">
        <w:rPr>
          <w:bCs/>
          <w:iCs/>
          <w:color w:val="000000"/>
          <w:sz w:val="24"/>
          <w:szCs w:val="24"/>
        </w:rPr>
        <w:t>AÇÃO RESCISÓRIA. DECISÕES PROFERIDAS EM FASES DISTINTAS DE UMA MESMA AÇÃO. COISA JULGADA. NÃO CONFIGURAÇÃO.</w:t>
      </w:r>
    </w:p>
    <w:p w:rsidR="00CD47B1" w:rsidRDefault="00CD47B1" w:rsidP="00AB7D06">
      <w:pPr>
        <w:pStyle w:val="Corpodetexto2"/>
        <w:spacing w:before="0" w:beforeAutospacing="0"/>
        <w:rPr>
          <w:bCs/>
          <w:iCs/>
          <w:color w:val="000000"/>
          <w:sz w:val="24"/>
          <w:szCs w:val="24"/>
        </w:rPr>
      </w:pPr>
      <w:r w:rsidRPr="00CD47B1">
        <w:rPr>
          <w:bCs/>
          <w:iCs/>
          <w:color w:val="000000"/>
          <w:sz w:val="24"/>
          <w:szCs w:val="24"/>
        </w:rPr>
        <w:t>A ofensa à coisa julgada de que trata o art. 485, IV, do CPC refere</w:t>
      </w:r>
      <w:r w:rsidR="007F027A">
        <w:rPr>
          <w:bCs/>
          <w:iCs/>
          <w:color w:val="000000"/>
          <w:sz w:val="24"/>
          <w:szCs w:val="24"/>
        </w:rPr>
        <w:t>-</w:t>
      </w:r>
      <w:r w:rsidRPr="00CD47B1">
        <w:rPr>
          <w:bCs/>
          <w:iCs/>
          <w:color w:val="000000"/>
          <w:sz w:val="24"/>
          <w:szCs w:val="24"/>
        </w:rPr>
        <w:t>se</w:t>
      </w:r>
      <w:r>
        <w:rPr>
          <w:bCs/>
          <w:iCs/>
          <w:color w:val="000000"/>
          <w:sz w:val="24"/>
          <w:szCs w:val="24"/>
        </w:rPr>
        <w:t xml:space="preserve"> </w:t>
      </w:r>
      <w:r w:rsidRPr="00CD47B1">
        <w:rPr>
          <w:bCs/>
          <w:iCs/>
          <w:color w:val="000000"/>
          <w:sz w:val="24"/>
          <w:szCs w:val="24"/>
        </w:rPr>
        <w:t>apenas a relações processuais distintas. A invocação de</w:t>
      </w:r>
      <w:r w:rsidR="007F027A">
        <w:rPr>
          <w:bCs/>
          <w:iCs/>
          <w:color w:val="000000"/>
          <w:sz w:val="24"/>
          <w:szCs w:val="24"/>
        </w:rPr>
        <w:t xml:space="preserve"> </w:t>
      </w:r>
      <w:r w:rsidRPr="00CD47B1">
        <w:rPr>
          <w:bCs/>
          <w:iCs/>
          <w:color w:val="000000"/>
          <w:sz w:val="24"/>
          <w:szCs w:val="24"/>
        </w:rPr>
        <w:t>desrespeito à coisa julgada formada no processo de conhecimento,</w:t>
      </w:r>
      <w:r w:rsidR="007F027A">
        <w:rPr>
          <w:bCs/>
          <w:iCs/>
          <w:color w:val="000000"/>
          <w:sz w:val="24"/>
          <w:szCs w:val="24"/>
        </w:rPr>
        <w:t xml:space="preserve"> </w:t>
      </w:r>
      <w:r w:rsidRPr="00CD47B1">
        <w:rPr>
          <w:bCs/>
          <w:iCs/>
          <w:color w:val="000000"/>
          <w:sz w:val="24"/>
          <w:szCs w:val="24"/>
        </w:rPr>
        <w:t>na correspondente fase de execução, somente é possível com base</w:t>
      </w:r>
      <w:r w:rsidR="007F027A">
        <w:rPr>
          <w:bCs/>
          <w:iCs/>
          <w:color w:val="000000"/>
          <w:sz w:val="24"/>
          <w:szCs w:val="24"/>
        </w:rPr>
        <w:t xml:space="preserve"> </w:t>
      </w:r>
      <w:r w:rsidRPr="00CD47B1">
        <w:rPr>
          <w:bCs/>
          <w:iCs/>
          <w:color w:val="000000"/>
          <w:sz w:val="24"/>
          <w:szCs w:val="24"/>
        </w:rPr>
        <w:t>na violação do art. 5º, XXXVI, da Constituição da República.</w:t>
      </w:r>
    </w:p>
    <w:p w:rsidR="00311B9B" w:rsidRPr="00311B9B" w:rsidRDefault="00311B9B" w:rsidP="00AB7D06">
      <w:pPr>
        <w:pStyle w:val="Corpodetexto2"/>
        <w:spacing w:before="0" w:beforeAutospacing="0"/>
        <w:rPr>
          <w:bCs/>
          <w:iCs/>
          <w:color w:val="000000"/>
          <w:sz w:val="10"/>
          <w:szCs w:val="10"/>
        </w:rPr>
      </w:pPr>
    </w:p>
    <w:p w:rsidR="00B2266D" w:rsidRDefault="00B2266D" w:rsidP="00AB7D06">
      <w:pPr>
        <w:pStyle w:val="Corpodetexto2"/>
        <w:spacing w:before="0" w:beforeAutospacing="0"/>
        <w:rPr>
          <w:b/>
          <w:bCs/>
          <w:iCs/>
          <w:color w:val="000000"/>
          <w:sz w:val="24"/>
          <w:szCs w:val="24"/>
        </w:rPr>
      </w:pPr>
      <w:r w:rsidRPr="004F17A1">
        <w:rPr>
          <w:b/>
          <w:bCs/>
          <w:sz w:val="24"/>
          <w:szCs w:val="24"/>
        </w:rPr>
        <w:t xml:space="preserve">OJ Nº </w:t>
      </w:r>
      <w:r>
        <w:rPr>
          <w:b/>
          <w:bCs/>
          <w:sz w:val="24"/>
          <w:szCs w:val="24"/>
        </w:rPr>
        <w:t>158</w:t>
      </w:r>
      <w:r>
        <w:rPr>
          <w:b/>
          <w:bCs/>
          <w:iCs/>
          <w:color w:val="000000"/>
          <w:sz w:val="24"/>
          <w:szCs w:val="24"/>
        </w:rPr>
        <w:t xml:space="preserve"> DA SBDI-II</w:t>
      </w:r>
    </w:p>
    <w:p w:rsidR="007F027A" w:rsidRPr="00B56395" w:rsidRDefault="007F027A" w:rsidP="00AB7D06">
      <w:pPr>
        <w:pStyle w:val="Corpodetexto2"/>
        <w:spacing w:before="0" w:beforeAutospacing="0"/>
        <w:rPr>
          <w:b/>
          <w:bCs/>
          <w:iCs/>
          <w:color w:val="000000"/>
          <w:sz w:val="24"/>
          <w:szCs w:val="24"/>
        </w:rPr>
      </w:pPr>
      <w:r w:rsidRPr="00263F47">
        <w:rPr>
          <w:bCs/>
          <w:iCs/>
          <w:color w:val="000000"/>
          <w:sz w:val="24"/>
          <w:szCs w:val="24"/>
        </w:rPr>
        <w:t>AÇÃO RESCISÓRIA. DECLARAÇÃO DE NULIDADE DE DECISÃO HOMOLOGATÓRIA DE ACORDO EM RAZÃO DE COLUSÃO (ART. 485, III, DO CPC). MULTA POR LITIGÂNCIA DE MÁ-FÉ. IMPOSSIBILIDADE.</w:t>
      </w:r>
    </w:p>
    <w:p w:rsidR="007F027A" w:rsidRPr="007F027A" w:rsidRDefault="007F027A" w:rsidP="00AB7D06">
      <w:pPr>
        <w:pStyle w:val="Corpodetexto2"/>
        <w:spacing w:before="0" w:beforeAutospacing="0"/>
        <w:rPr>
          <w:bCs/>
          <w:iCs/>
          <w:color w:val="000000"/>
          <w:sz w:val="24"/>
          <w:szCs w:val="24"/>
        </w:rPr>
      </w:pPr>
      <w:r w:rsidRPr="007F027A">
        <w:rPr>
          <w:bCs/>
          <w:iCs/>
          <w:color w:val="000000"/>
          <w:sz w:val="24"/>
          <w:szCs w:val="24"/>
        </w:rPr>
        <w:t>A declaração de nulidade de decisão homologatória de acordo, em</w:t>
      </w:r>
      <w:r>
        <w:rPr>
          <w:bCs/>
          <w:iCs/>
          <w:color w:val="000000"/>
          <w:sz w:val="24"/>
          <w:szCs w:val="24"/>
        </w:rPr>
        <w:t xml:space="preserve"> </w:t>
      </w:r>
      <w:r w:rsidRPr="007F027A">
        <w:rPr>
          <w:bCs/>
          <w:iCs/>
          <w:color w:val="000000"/>
          <w:sz w:val="24"/>
          <w:szCs w:val="24"/>
        </w:rPr>
        <w:t>razão da colusão entre as partes (art. 485, III, do CPC), é sanção</w:t>
      </w:r>
      <w:r>
        <w:rPr>
          <w:bCs/>
          <w:iCs/>
          <w:color w:val="000000"/>
          <w:sz w:val="24"/>
          <w:szCs w:val="24"/>
        </w:rPr>
        <w:t xml:space="preserve"> </w:t>
      </w:r>
      <w:r w:rsidRPr="007F027A">
        <w:rPr>
          <w:bCs/>
          <w:iCs/>
          <w:color w:val="000000"/>
          <w:sz w:val="24"/>
          <w:szCs w:val="24"/>
        </w:rPr>
        <w:t>suficiente em relação ao procedimento adotado, não havendo que</w:t>
      </w:r>
    </w:p>
    <w:p w:rsidR="00242014" w:rsidRDefault="007F027A" w:rsidP="00AB7D06">
      <w:pPr>
        <w:pStyle w:val="Corpodetexto2"/>
        <w:spacing w:before="0" w:beforeAutospacing="0"/>
        <w:rPr>
          <w:bCs/>
          <w:iCs/>
          <w:color w:val="000000"/>
          <w:sz w:val="24"/>
          <w:szCs w:val="24"/>
        </w:rPr>
      </w:pPr>
      <w:r w:rsidRPr="007F027A">
        <w:rPr>
          <w:bCs/>
          <w:iCs/>
          <w:color w:val="000000"/>
          <w:sz w:val="24"/>
          <w:szCs w:val="24"/>
        </w:rPr>
        <w:t>ser aplicada a multa por litigância de má-fé.</w:t>
      </w:r>
    </w:p>
    <w:p w:rsidR="00C71A3B" w:rsidRPr="00311B9B" w:rsidRDefault="00B56395" w:rsidP="00AB7D06">
      <w:pPr>
        <w:pStyle w:val="Corpodetexto2"/>
        <w:spacing w:before="0" w:beforeAutospacing="0"/>
        <w:rPr>
          <w:b/>
          <w:bCs/>
          <w:shadow/>
          <w:sz w:val="10"/>
          <w:szCs w:val="10"/>
        </w:rPr>
      </w:pPr>
      <w:r>
        <w:rPr>
          <w:bCs/>
          <w:iCs/>
          <w:color w:val="000000"/>
          <w:sz w:val="24"/>
          <w:szCs w:val="24"/>
        </w:rPr>
        <w:t xml:space="preserve"> </w:t>
      </w:r>
    </w:p>
    <w:p w:rsidR="00FE00AD" w:rsidRPr="006C2B66" w:rsidRDefault="00631F1C" w:rsidP="006C2B66">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AB7D06" w:rsidRPr="00AB7D06" w:rsidRDefault="00AB7D06" w:rsidP="00AB7D06">
      <w:pPr>
        <w:pStyle w:val="Corpo"/>
        <w:spacing w:before="0" w:beforeAutospacing="0" w:line="240" w:lineRule="auto"/>
        <w:ind w:firstLine="0"/>
        <w:rPr>
          <w:rFonts w:ascii="Times New Roman" w:hAnsi="Times New Roman"/>
          <w:b/>
          <w:bCs/>
          <w:i/>
          <w:iCs/>
          <w:sz w:val="10"/>
          <w:szCs w:val="10"/>
          <w:lang w:val="pt-BR"/>
        </w:rPr>
      </w:pPr>
    </w:p>
    <w:p w:rsidR="006C2B66" w:rsidRPr="00051E96" w:rsidRDefault="006C2B66" w:rsidP="00AB7D06">
      <w:pPr>
        <w:pStyle w:val="Corpo"/>
        <w:spacing w:before="0" w:beforeAutospacing="0" w:line="240" w:lineRule="auto"/>
        <w:ind w:firstLine="0"/>
        <w:rPr>
          <w:rFonts w:ascii="Times New Roman" w:hAnsi="Times New Roman"/>
          <w:b/>
          <w:bCs/>
          <w:i/>
          <w:iCs/>
          <w:lang w:val="pt-BR"/>
        </w:rPr>
      </w:pPr>
      <w:r>
        <w:rPr>
          <w:rFonts w:ascii="Times New Roman" w:hAnsi="Times New Roman"/>
          <w:b/>
          <w:bCs/>
          <w:i/>
          <w:iCs/>
          <w:lang w:val="pt-BR"/>
        </w:rPr>
        <w:t>Embargos. Interposição por meio do sistema E-DOC. Assinatura digital firmada por advogado diverso do subscritor do recurso. Existência de instrumento de mandato outorgado para ambos os causídicos. Irregularidade de representação. Não configuração.</w:t>
      </w:r>
    </w:p>
    <w:p w:rsidR="006C2B66" w:rsidRDefault="006C2B66" w:rsidP="00AB7D06">
      <w:pPr>
        <w:pStyle w:val="Ementa"/>
        <w:spacing w:before="0" w:beforeAutospacing="0"/>
        <w:ind w:left="0"/>
        <w:rPr>
          <w:rFonts w:ascii="Times New Roman" w:hAnsi="Times New Roman"/>
          <w:bCs/>
          <w:iCs/>
          <w:color w:val="000000"/>
          <w:lang w:val="pt-BR"/>
        </w:rPr>
      </w:pPr>
      <w:r>
        <w:rPr>
          <w:rFonts w:ascii="Times New Roman" w:hAnsi="Times New Roman"/>
          <w:bCs/>
          <w:iCs/>
          <w:color w:val="000000"/>
          <w:lang w:val="pt-BR"/>
        </w:rPr>
        <w:t>É regular a representação na hipótese em que o recurso interposto por meio do sistema E-DOC vem subscrito por advogado diverso daquele que procedeu à assinatura digital, desde que haja nos autos instrumento de mandato habilitando ambos os causídicos</w:t>
      </w:r>
      <w:r w:rsidRPr="00746A6B">
        <w:rPr>
          <w:rFonts w:ascii="Times New Roman" w:hAnsi="Times New Roman"/>
          <w:bCs/>
          <w:iCs/>
          <w:color w:val="000000"/>
          <w:lang w:val="pt-BR"/>
        </w:rPr>
        <w:t xml:space="preserve">. </w:t>
      </w:r>
      <w:r>
        <w:rPr>
          <w:rFonts w:ascii="Times New Roman" w:hAnsi="Times New Roman"/>
          <w:bCs/>
          <w:iCs/>
          <w:color w:val="000000"/>
          <w:lang w:val="pt-BR"/>
        </w:rPr>
        <w:t xml:space="preserve">Ademais, em atenção ao princípio da existência concreta, segundo o qual nas relações virtuais predomina aquilo que verdadeiramente ocorre e não aquilo que é estipulado, tem-se que, se aposto nome de advogado diverso daquele que assinou digitalmente o recurso, o efetivo subscritor do apelo é aquele cuja chave de assinatura foi registrada, responsabilizando-se pela petição entregue, desde que devidamente constituído nos autos. </w:t>
      </w:r>
      <w:r w:rsidRPr="00746A6B">
        <w:rPr>
          <w:rFonts w:ascii="Times New Roman" w:hAnsi="Times New Roman"/>
          <w:bCs/>
          <w:iCs/>
          <w:color w:val="000000"/>
          <w:lang w:val="pt-BR"/>
        </w:rPr>
        <w:t>Com base nessa premissa, a SBDI-</w:t>
      </w:r>
      <w:r>
        <w:rPr>
          <w:rFonts w:ascii="Times New Roman" w:hAnsi="Times New Roman"/>
          <w:bCs/>
          <w:iCs/>
          <w:color w:val="000000"/>
          <w:lang w:val="pt-BR"/>
        </w:rPr>
        <w:t>I</w:t>
      </w:r>
      <w:r w:rsidRPr="00746A6B">
        <w:rPr>
          <w:rFonts w:ascii="Times New Roman" w:hAnsi="Times New Roman"/>
          <w:bCs/>
          <w:iCs/>
          <w:color w:val="000000"/>
          <w:lang w:val="pt-BR"/>
        </w:rPr>
        <w:t>, por unanimidade, examinando questão de ordem em relação à representação processual, conheceu dos embargos porque cumpridos os requisitos extrínsecos de admissibilidade</w:t>
      </w:r>
      <w:r>
        <w:rPr>
          <w:rFonts w:ascii="Times New Roman" w:hAnsi="Times New Roman"/>
          <w:bCs/>
          <w:iCs/>
          <w:color w:val="000000"/>
          <w:lang w:val="pt-BR"/>
        </w:rPr>
        <w:t xml:space="preserve">. Na espécie, ressaltou-se que o STJ adota entendimento em outro sentido, em razão da existência de norma expressa a exigir identidade entre o titular do certificado digital usado para assinar o documento e o nome do advogado indicado como autor da petição (arts. 1º, § 2º, III, e 18 da Lei n.º 11.419/06 c/c arts. 18, § 1º e 21, I, da Resolução n.º 1, de 10/2/10, do STJ). </w:t>
      </w:r>
      <w:hyperlink r:id="rId8" w:history="1">
        <w:r w:rsidRPr="007D52F7">
          <w:rPr>
            <w:rStyle w:val="Hyperlink"/>
            <w:rFonts w:ascii="Times New Roman" w:hAnsi="Times New Roman" w:cs="Courier New"/>
            <w:bCs/>
            <w:iCs/>
            <w:lang w:val="pt-BR"/>
          </w:rPr>
          <w:t>TST-E-RR-236600-63.2009.5.15.0071</w:t>
        </w:r>
      </w:hyperlink>
      <w:r w:rsidRPr="007D52F7">
        <w:rPr>
          <w:rFonts w:ascii="Times New Roman" w:hAnsi="Times New Roman"/>
          <w:bCs/>
          <w:iCs/>
          <w:color w:val="000000"/>
          <w:u w:val="single"/>
          <w:lang w:val="pt-BR"/>
        </w:rPr>
        <w:t>, SBDI-I, rel. Min. Aloysio Corrêa da Veiga. 12.4.2012.</w:t>
      </w:r>
      <w:r w:rsidRPr="007D52F7">
        <w:rPr>
          <w:rFonts w:ascii="Times New Roman" w:hAnsi="Times New Roman"/>
          <w:bCs/>
          <w:iCs/>
          <w:color w:val="000000"/>
          <w:lang w:val="pt-BR"/>
        </w:rPr>
        <w:t xml:space="preserve"> </w:t>
      </w:r>
    </w:p>
    <w:p w:rsidR="00AB7D06" w:rsidRPr="00AB7D06" w:rsidRDefault="00AB7D06" w:rsidP="00AB7D06">
      <w:pPr>
        <w:pStyle w:val="Ementa"/>
        <w:spacing w:before="0" w:beforeAutospacing="0"/>
        <w:ind w:left="0"/>
        <w:rPr>
          <w:rFonts w:ascii="Times New Roman" w:hAnsi="Times New Roman"/>
          <w:bCs/>
          <w:iCs/>
          <w:color w:val="000000"/>
          <w:sz w:val="10"/>
          <w:szCs w:val="10"/>
          <w:lang w:val="pt-BR"/>
        </w:rPr>
      </w:pPr>
    </w:p>
    <w:p w:rsidR="00B61A11" w:rsidRDefault="00B61A11" w:rsidP="00AB7D06">
      <w:pPr>
        <w:spacing w:before="0" w:beforeAutospacing="0"/>
        <w:rPr>
          <w:b/>
          <w:i/>
          <w:sz w:val="24"/>
          <w:szCs w:val="24"/>
        </w:rPr>
      </w:pPr>
      <w:r>
        <w:rPr>
          <w:b/>
          <w:i/>
          <w:sz w:val="24"/>
          <w:szCs w:val="24"/>
        </w:rPr>
        <w:t>Adicional de transferência. Devido. Transferências sucessivas e de curta duração.</w:t>
      </w:r>
    </w:p>
    <w:p w:rsidR="00B61A11" w:rsidRDefault="00B61A11" w:rsidP="00AB7D06">
      <w:pPr>
        <w:spacing w:before="0" w:beforeAutospacing="0"/>
        <w:rPr>
          <w:sz w:val="24"/>
          <w:szCs w:val="24"/>
          <w:u w:val="single"/>
        </w:rPr>
      </w:pPr>
      <w:r>
        <w:rPr>
          <w:sz w:val="24"/>
          <w:szCs w:val="24"/>
        </w:rPr>
        <w:t>Alterações sucessivas e de curta duração do local de prestação laboral configuram transferência provisória, ensejando o pagamento do adicional respectivo.</w:t>
      </w:r>
      <w:r w:rsidRPr="003D032E">
        <w:rPr>
          <w:sz w:val="24"/>
          <w:szCs w:val="24"/>
        </w:rPr>
        <w:t xml:space="preserve"> Com esse entendimento, a </w:t>
      </w:r>
      <w:r>
        <w:rPr>
          <w:sz w:val="24"/>
          <w:szCs w:val="24"/>
        </w:rPr>
        <w:t>SBDI-I</w:t>
      </w:r>
      <w:r w:rsidRPr="003D032E">
        <w:rPr>
          <w:sz w:val="24"/>
          <w:szCs w:val="24"/>
        </w:rPr>
        <w:t xml:space="preserve">, por </w:t>
      </w:r>
      <w:r>
        <w:rPr>
          <w:sz w:val="24"/>
          <w:szCs w:val="24"/>
        </w:rPr>
        <w:t>maioria</w:t>
      </w:r>
      <w:r w:rsidRPr="003D032E">
        <w:rPr>
          <w:sz w:val="24"/>
          <w:szCs w:val="24"/>
        </w:rPr>
        <w:t xml:space="preserve">, </w:t>
      </w:r>
      <w:r>
        <w:rPr>
          <w:sz w:val="24"/>
          <w:szCs w:val="24"/>
        </w:rPr>
        <w:t xml:space="preserve">não </w:t>
      </w:r>
      <w:r w:rsidRPr="003D032E">
        <w:rPr>
          <w:sz w:val="24"/>
          <w:szCs w:val="24"/>
        </w:rPr>
        <w:t xml:space="preserve">conheceu </w:t>
      </w:r>
      <w:r>
        <w:rPr>
          <w:sz w:val="24"/>
          <w:szCs w:val="24"/>
        </w:rPr>
        <w:t>do recurso de embargos, na hipótese em que restou consignada a ocorrência de três transferências no período de sete anos, cada uma delas de pouco mais de dois anos. Vencidos os Ministros Ives Gandra da Silva Martins Filho e Maria Cristina Irigoyen Peduzzi</w:t>
      </w:r>
      <w:r w:rsidRPr="003D032E">
        <w:rPr>
          <w:sz w:val="24"/>
          <w:szCs w:val="24"/>
        </w:rPr>
        <w:t xml:space="preserve">. </w:t>
      </w:r>
      <w:hyperlink r:id="rId9" w:history="1">
        <w:r w:rsidRPr="00ED2905">
          <w:rPr>
            <w:rStyle w:val="Hyperlink"/>
            <w:sz w:val="24"/>
            <w:szCs w:val="24"/>
          </w:rPr>
          <w:t>TST-E-RR-804872-13.2001.5.09.0661</w:t>
        </w:r>
      </w:hyperlink>
      <w:r w:rsidRPr="003D032E">
        <w:rPr>
          <w:sz w:val="24"/>
          <w:szCs w:val="24"/>
          <w:u w:val="single"/>
        </w:rPr>
        <w:t>, SBDI-</w:t>
      </w:r>
      <w:r>
        <w:rPr>
          <w:sz w:val="24"/>
          <w:szCs w:val="24"/>
          <w:u w:val="single"/>
        </w:rPr>
        <w:t>I</w:t>
      </w:r>
      <w:r w:rsidRPr="003D032E">
        <w:rPr>
          <w:sz w:val="24"/>
          <w:szCs w:val="24"/>
          <w:u w:val="single"/>
        </w:rPr>
        <w:t xml:space="preserve">, rel. Min. </w:t>
      </w:r>
      <w:r>
        <w:rPr>
          <w:sz w:val="24"/>
          <w:szCs w:val="24"/>
          <w:u w:val="single"/>
        </w:rPr>
        <w:t>Lelio Bentes Corrêa, 12.4.2012</w:t>
      </w:r>
      <w:r w:rsidRPr="003D032E">
        <w:rPr>
          <w:sz w:val="24"/>
          <w:szCs w:val="24"/>
          <w:u w:val="single"/>
        </w:rPr>
        <w:t>.</w:t>
      </w:r>
    </w:p>
    <w:p w:rsidR="00AB7D06" w:rsidRPr="00AB7D06" w:rsidRDefault="00AB7D06" w:rsidP="00AB7D06">
      <w:pPr>
        <w:spacing w:before="0" w:beforeAutospacing="0"/>
        <w:rPr>
          <w:sz w:val="10"/>
          <w:szCs w:val="10"/>
        </w:rPr>
      </w:pPr>
    </w:p>
    <w:p w:rsidR="006C2B66" w:rsidRDefault="006C2B66" w:rsidP="00AB7D06">
      <w:pPr>
        <w:spacing w:before="0" w:beforeAutospacing="0"/>
        <w:rPr>
          <w:b/>
          <w:i/>
          <w:sz w:val="24"/>
          <w:szCs w:val="24"/>
        </w:rPr>
      </w:pPr>
      <w:r>
        <w:rPr>
          <w:b/>
          <w:i/>
          <w:sz w:val="24"/>
          <w:szCs w:val="24"/>
        </w:rPr>
        <w:t>Progressão salarial anual</w:t>
      </w:r>
      <w:r w:rsidRPr="00385E24">
        <w:rPr>
          <w:b/>
          <w:i/>
          <w:sz w:val="24"/>
          <w:szCs w:val="24"/>
        </w:rPr>
        <w:t xml:space="preserve">. Ausência de avaliações de desempenho. Descumprimento de </w:t>
      </w:r>
      <w:r>
        <w:rPr>
          <w:b/>
          <w:i/>
          <w:sz w:val="24"/>
          <w:szCs w:val="24"/>
        </w:rPr>
        <w:t>norma interna</w:t>
      </w:r>
      <w:r w:rsidRPr="00385E24">
        <w:rPr>
          <w:b/>
          <w:i/>
          <w:sz w:val="24"/>
          <w:szCs w:val="24"/>
        </w:rPr>
        <w:t>. Art. 129 do CC. Diferenças salariais devidas.</w:t>
      </w:r>
    </w:p>
    <w:p w:rsidR="006C2B66" w:rsidRDefault="006C2B66" w:rsidP="00AB7D06">
      <w:pPr>
        <w:spacing w:before="0" w:beforeAutospacing="0"/>
        <w:rPr>
          <w:sz w:val="24"/>
          <w:szCs w:val="24"/>
          <w:u w:val="single"/>
        </w:rPr>
      </w:pPr>
      <w:r>
        <w:rPr>
          <w:sz w:val="24"/>
          <w:szCs w:val="24"/>
        </w:rPr>
        <w:t xml:space="preserve">Diante da omissão do empregador em proceder à avaliação de desempenho estabelecida como requisito à progressão salarial anual prevista em norma interna da empresa, considera-se implementada a referida condição, conforme dispõe o art. 129 do CC. A inércia do reclamado em atender critérios por ele mesmo estabelecidos não pode redundar em frustração da legítima expectativa do empregado de obter aumento salarial previsto em regulamento da empresa, sob pena de se caracterizar condição suspensiva que submete a eficácia do negócio jurídico ao puro arbítrio das partes, o que é vedado pelo art. 122 do CC. </w:t>
      </w:r>
      <w:r w:rsidRPr="00775DAB">
        <w:rPr>
          <w:sz w:val="24"/>
          <w:szCs w:val="24"/>
        </w:rPr>
        <w:t xml:space="preserve"> </w:t>
      </w:r>
      <w:r>
        <w:rPr>
          <w:sz w:val="24"/>
          <w:szCs w:val="24"/>
        </w:rPr>
        <w:t>Com esse entendimento, a SBDI-I, por unanimidade, conheceu dos embargos, por divergência jurisprudencial e, no mérito, deu-lhes provimento para julgar procedente o pedido de diferenças salariais decorrente da progressão salarial anual por desempenho obstada pelo recorrido</w:t>
      </w:r>
      <w:r w:rsidRPr="003D032E">
        <w:rPr>
          <w:sz w:val="24"/>
          <w:szCs w:val="24"/>
        </w:rPr>
        <w:t>.</w:t>
      </w:r>
      <w:r>
        <w:rPr>
          <w:sz w:val="24"/>
          <w:szCs w:val="24"/>
        </w:rPr>
        <w:t xml:space="preserve"> </w:t>
      </w:r>
      <w:hyperlink r:id="rId10" w:history="1">
        <w:r w:rsidRPr="00F0095D">
          <w:rPr>
            <w:rStyle w:val="Hyperlink"/>
            <w:sz w:val="24"/>
            <w:szCs w:val="24"/>
          </w:rPr>
          <w:t>TST-E-ED-RR-25500-23.2005.5.05.0004</w:t>
        </w:r>
      </w:hyperlink>
      <w:r w:rsidRPr="003D032E">
        <w:rPr>
          <w:sz w:val="24"/>
          <w:szCs w:val="24"/>
          <w:u w:val="single"/>
        </w:rPr>
        <w:t>, SBDI-</w:t>
      </w:r>
      <w:r>
        <w:rPr>
          <w:sz w:val="24"/>
          <w:szCs w:val="24"/>
          <w:u w:val="single"/>
        </w:rPr>
        <w:t>I</w:t>
      </w:r>
      <w:r w:rsidRPr="003D032E">
        <w:rPr>
          <w:sz w:val="24"/>
          <w:szCs w:val="24"/>
          <w:u w:val="single"/>
        </w:rPr>
        <w:t>, rel. Min. Augusto César Leite de Carvalho</w:t>
      </w:r>
      <w:r>
        <w:rPr>
          <w:sz w:val="24"/>
          <w:szCs w:val="24"/>
          <w:u w:val="single"/>
        </w:rPr>
        <w:t>, 12.4.2012</w:t>
      </w:r>
      <w:r w:rsidRPr="003D032E">
        <w:rPr>
          <w:sz w:val="24"/>
          <w:szCs w:val="24"/>
          <w:u w:val="single"/>
        </w:rPr>
        <w:t>.</w:t>
      </w:r>
    </w:p>
    <w:p w:rsidR="00AB7D06" w:rsidRPr="00AB7D06" w:rsidRDefault="00AB7D06" w:rsidP="00AB7D06">
      <w:pPr>
        <w:spacing w:before="0" w:beforeAutospacing="0"/>
        <w:rPr>
          <w:sz w:val="10"/>
          <w:szCs w:val="10"/>
        </w:rPr>
      </w:pPr>
    </w:p>
    <w:p w:rsidR="006C2B66" w:rsidRDefault="006C2B66" w:rsidP="00AB7D06">
      <w:pPr>
        <w:spacing w:before="0" w:beforeAutospacing="0"/>
        <w:rPr>
          <w:b/>
          <w:i/>
          <w:sz w:val="24"/>
          <w:szCs w:val="24"/>
        </w:rPr>
      </w:pPr>
      <w:r>
        <w:rPr>
          <w:b/>
          <w:i/>
          <w:sz w:val="24"/>
          <w:szCs w:val="24"/>
        </w:rPr>
        <w:t>Bancário. Ausência de contrato para trabalho extraordinário. Pagamento mensal e habitual de horas extras. Pré-contratação. Configuração. Aplicação da Súmula n.º 199, I, do TST.</w:t>
      </w:r>
    </w:p>
    <w:p w:rsidR="006C2B66" w:rsidRDefault="006C2B66" w:rsidP="00AB7D06">
      <w:pPr>
        <w:spacing w:before="0" w:beforeAutospacing="0"/>
        <w:rPr>
          <w:sz w:val="24"/>
          <w:szCs w:val="24"/>
          <w:u w:val="single"/>
        </w:rPr>
      </w:pPr>
      <w:r>
        <w:rPr>
          <w:sz w:val="24"/>
          <w:szCs w:val="24"/>
        </w:rPr>
        <w:t>A diretriz do item I da Súmula n.º 199 desta Corte tem como fim evitar a violação do direito do bancário à jornada específica (</w:t>
      </w:r>
      <w:r w:rsidRPr="00913AC6">
        <w:rPr>
          <w:sz w:val="24"/>
          <w:szCs w:val="24"/>
        </w:rPr>
        <w:t xml:space="preserve">arts. 224 </w:t>
      </w:r>
      <w:r>
        <w:rPr>
          <w:sz w:val="24"/>
          <w:szCs w:val="24"/>
        </w:rPr>
        <w:t>e</w:t>
      </w:r>
      <w:r w:rsidRPr="00913AC6">
        <w:rPr>
          <w:sz w:val="24"/>
          <w:szCs w:val="24"/>
        </w:rPr>
        <w:t xml:space="preserve"> 225 da CLT</w:t>
      </w:r>
      <w:r>
        <w:rPr>
          <w:sz w:val="24"/>
          <w:szCs w:val="24"/>
        </w:rPr>
        <w:t xml:space="preserve">). Assim, </w:t>
      </w:r>
      <w:r w:rsidRPr="00207A3A">
        <w:rPr>
          <w:sz w:val="24"/>
          <w:szCs w:val="24"/>
        </w:rPr>
        <w:t>ainda que o empregado não tenha formalmente assinado contrato para trabalho extraordinário, o pagamento mensal e habitual da 7ª e 8ª horas, durante o vínculo de emprego, denota intenção de fraude à relação de trabalho, configurando a pré-contratação.</w:t>
      </w:r>
      <w:r>
        <w:rPr>
          <w:sz w:val="24"/>
          <w:szCs w:val="24"/>
        </w:rPr>
        <w:t xml:space="preserve"> Com esse entendimento, a SBDI-I</w:t>
      </w:r>
      <w:r w:rsidRPr="00110A3F">
        <w:rPr>
          <w:sz w:val="24"/>
          <w:szCs w:val="24"/>
        </w:rPr>
        <w:t xml:space="preserve">, por maioria, </w:t>
      </w:r>
      <w:r>
        <w:rPr>
          <w:sz w:val="24"/>
          <w:szCs w:val="24"/>
        </w:rPr>
        <w:t>c</w:t>
      </w:r>
      <w:r w:rsidRPr="00110A3F">
        <w:rPr>
          <w:sz w:val="24"/>
          <w:szCs w:val="24"/>
        </w:rPr>
        <w:t>onhece</w:t>
      </w:r>
      <w:r>
        <w:rPr>
          <w:sz w:val="24"/>
          <w:szCs w:val="24"/>
        </w:rPr>
        <w:t>u</w:t>
      </w:r>
      <w:r w:rsidRPr="00110A3F">
        <w:rPr>
          <w:sz w:val="24"/>
          <w:szCs w:val="24"/>
        </w:rPr>
        <w:t xml:space="preserve"> do recurso de embargos do reclamante, por divergência jurisprudencial e, no mérito, d</w:t>
      </w:r>
      <w:r>
        <w:rPr>
          <w:sz w:val="24"/>
          <w:szCs w:val="24"/>
        </w:rPr>
        <w:t>eu</w:t>
      </w:r>
      <w:r w:rsidRPr="00110A3F">
        <w:rPr>
          <w:sz w:val="24"/>
          <w:szCs w:val="24"/>
        </w:rPr>
        <w:t>-lhe provimento para declarar nula a pré-contratação de horas extraordinárias e condenar o banco a pagar a 7ª e 8ª horas trabalhadas, como extraordinária, no período imprescrito.</w:t>
      </w:r>
      <w:r>
        <w:rPr>
          <w:sz w:val="24"/>
          <w:szCs w:val="24"/>
        </w:rPr>
        <w:t xml:space="preserve"> V</w:t>
      </w:r>
      <w:r w:rsidRPr="00110A3F">
        <w:rPr>
          <w:sz w:val="24"/>
          <w:szCs w:val="24"/>
        </w:rPr>
        <w:t>encidos os Ministros Renato de Lacerda Paiva, João Batista Brito Pereira, Maria Cristina Peduzzi e Delaíde Miranda Arantes</w:t>
      </w:r>
      <w:r>
        <w:rPr>
          <w:sz w:val="24"/>
          <w:szCs w:val="24"/>
        </w:rPr>
        <w:t xml:space="preserve">. </w:t>
      </w:r>
      <w:hyperlink r:id="rId11" w:history="1">
        <w:r w:rsidRPr="00DD3F43">
          <w:rPr>
            <w:rStyle w:val="Hyperlink"/>
            <w:sz w:val="24"/>
            <w:szCs w:val="24"/>
          </w:rPr>
          <w:t>TST-E-RR-792900-15.2004.5.09.0011</w:t>
        </w:r>
      </w:hyperlink>
      <w:r w:rsidRPr="003D032E">
        <w:rPr>
          <w:sz w:val="24"/>
          <w:szCs w:val="24"/>
          <w:u w:val="single"/>
        </w:rPr>
        <w:t>, SBDI-</w:t>
      </w:r>
      <w:r>
        <w:rPr>
          <w:sz w:val="24"/>
          <w:szCs w:val="24"/>
          <w:u w:val="single"/>
        </w:rPr>
        <w:t>I</w:t>
      </w:r>
      <w:r w:rsidRPr="003D032E">
        <w:rPr>
          <w:sz w:val="24"/>
          <w:szCs w:val="24"/>
          <w:u w:val="single"/>
        </w:rPr>
        <w:t xml:space="preserve">, rel. Min. </w:t>
      </w:r>
      <w:r>
        <w:rPr>
          <w:sz w:val="24"/>
          <w:szCs w:val="24"/>
          <w:u w:val="single"/>
        </w:rPr>
        <w:t>Aloysio Corrêa da Veiga, 12.4.2012</w:t>
      </w:r>
      <w:r w:rsidRPr="003D032E">
        <w:rPr>
          <w:sz w:val="24"/>
          <w:szCs w:val="24"/>
          <w:u w:val="single"/>
        </w:rPr>
        <w:t>.</w:t>
      </w:r>
    </w:p>
    <w:p w:rsidR="00AB7D06" w:rsidRPr="00AB7D06" w:rsidRDefault="00AB7D06" w:rsidP="00AB7D06">
      <w:pPr>
        <w:spacing w:before="0" w:beforeAutospacing="0"/>
        <w:rPr>
          <w:sz w:val="10"/>
          <w:szCs w:val="10"/>
          <w:u w:val="single"/>
        </w:rPr>
      </w:pPr>
    </w:p>
    <w:p w:rsidR="009B3AD3" w:rsidRDefault="009B3AD3" w:rsidP="00AB7D06">
      <w:pPr>
        <w:spacing w:before="0" w:beforeAutospacing="0"/>
        <w:rPr>
          <w:b/>
          <w:i/>
          <w:sz w:val="24"/>
          <w:szCs w:val="24"/>
        </w:rPr>
      </w:pPr>
      <w:r>
        <w:rPr>
          <w:b/>
          <w:i/>
          <w:sz w:val="24"/>
          <w:szCs w:val="24"/>
        </w:rPr>
        <w:t xml:space="preserve">CBTU. Reajuste salarial concedido apenas aos ocupantes de cargo de confiança. Extensão aos empregados públicos exercentes de cargo de carreira. Impossibilidade. Ausência de identidade de situações. </w:t>
      </w:r>
    </w:p>
    <w:p w:rsidR="009B3AD3" w:rsidRDefault="009B3AD3" w:rsidP="00AB7D06">
      <w:pPr>
        <w:spacing w:before="0" w:beforeAutospacing="0"/>
        <w:rPr>
          <w:sz w:val="24"/>
          <w:szCs w:val="24"/>
          <w:u w:val="single"/>
        </w:rPr>
      </w:pPr>
      <w:r>
        <w:rPr>
          <w:sz w:val="24"/>
          <w:szCs w:val="24"/>
        </w:rPr>
        <w:t xml:space="preserve">A concessão, pela Companhia Brasileira de Trens Urbanos (CBTU), de reajuste salarial somente aos empregados ocupantes de cargo de confiança não ofende o princípio constitucional da isonomia (art. 5º, </w:t>
      </w:r>
      <w:r>
        <w:rPr>
          <w:i/>
          <w:sz w:val="24"/>
          <w:szCs w:val="24"/>
        </w:rPr>
        <w:t>caput</w:t>
      </w:r>
      <w:r>
        <w:rPr>
          <w:sz w:val="24"/>
          <w:szCs w:val="24"/>
        </w:rPr>
        <w:t xml:space="preserve">, da CF), porquanto ausente a identidade de situações. Com esse entendimento, a SBDI-I, por maioria, vencido o Ministro Augusto César Leite de Carvalho, conheceu do recurso de embargos interposto pelo Sindicato dos Trabalhadores em Empresas Ferroviárias, Similares e Afins nos Estados da Bahia e Sergipe, e, no mérito, negou-lhe provimento, mantendo a decisão da Turma que não estendeu o reajuste aos empregados públicos exercentes de cargo de carreira ao fundamento de que o tratamento diferenciado não foi discriminatório, mas fruto do poder potestativo da CBTU de valorização de determinados cargos. </w:t>
      </w:r>
      <w:hyperlink r:id="rId12" w:history="1">
        <w:r w:rsidRPr="00DD3F43">
          <w:rPr>
            <w:rStyle w:val="Hyperlink"/>
            <w:sz w:val="24"/>
            <w:szCs w:val="24"/>
          </w:rPr>
          <w:t>TST-E-ED-RR-273000-37.2001.5.05.0006, SBDI-I</w:t>
        </w:r>
      </w:hyperlink>
      <w:r>
        <w:rPr>
          <w:sz w:val="24"/>
          <w:szCs w:val="24"/>
          <w:u w:val="single"/>
        </w:rPr>
        <w:t>, rel. Min. Renato de Lacerda Paiva, 12.4.2012.</w:t>
      </w:r>
    </w:p>
    <w:p w:rsidR="00AB7D06" w:rsidRPr="00AB7D06" w:rsidRDefault="00AB7D06" w:rsidP="00AB7D06">
      <w:pPr>
        <w:spacing w:before="0" w:beforeAutospacing="0"/>
        <w:rPr>
          <w:sz w:val="10"/>
          <w:szCs w:val="10"/>
          <w:u w:val="single"/>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AB7D06" w:rsidRPr="00AB7D06" w:rsidRDefault="00AB7D06" w:rsidP="00AB7D06">
      <w:pPr>
        <w:pStyle w:val="Ementa"/>
        <w:spacing w:before="0" w:beforeAutospacing="0"/>
        <w:ind w:left="0"/>
        <w:rPr>
          <w:rFonts w:ascii="Times New Roman" w:hAnsi="Times New Roman"/>
          <w:b/>
          <w:bCs/>
          <w:i/>
          <w:color w:val="auto"/>
          <w:sz w:val="10"/>
          <w:szCs w:val="10"/>
          <w:lang w:val="pt-BR"/>
        </w:rPr>
      </w:pPr>
    </w:p>
    <w:p w:rsidR="006C2B66" w:rsidRPr="008909BF" w:rsidRDefault="006C2B66" w:rsidP="00AB7D06">
      <w:pPr>
        <w:pStyle w:val="Ementa"/>
        <w:spacing w:before="0" w:beforeAutospacing="0"/>
        <w:ind w:left="0"/>
        <w:rPr>
          <w:rFonts w:ascii="Times New Roman" w:hAnsi="Times New Roman"/>
          <w:b/>
          <w:bCs/>
          <w:i/>
          <w:color w:val="auto"/>
          <w:lang w:val="pt-BR"/>
        </w:rPr>
      </w:pPr>
      <w:r w:rsidRPr="008909BF">
        <w:rPr>
          <w:rFonts w:ascii="Times New Roman" w:hAnsi="Times New Roman"/>
          <w:b/>
          <w:bCs/>
          <w:i/>
          <w:color w:val="auto"/>
          <w:lang w:val="pt-BR"/>
        </w:rPr>
        <w:t xml:space="preserve">AR. </w:t>
      </w:r>
      <w:r>
        <w:rPr>
          <w:rFonts w:ascii="Times New Roman" w:hAnsi="Times New Roman"/>
          <w:b/>
          <w:bCs/>
          <w:i/>
          <w:color w:val="auto"/>
          <w:lang w:val="pt-BR"/>
        </w:rPr>
        <w:t>Desconstituição de d</w:t>
      </w:r>
      <w:r w:rsidRPr="008909BF">
        <w:rPr>
          <w:rFonts w:ascii="Times New Roman" w:hAnsi="Times New Roman"/>
          <w:b/>
          <w:bCs/>
          <w:i/>
          <w:color w:val="auto"/>
          <w:lang w:val="pt-BR"/>
        </w:rPr>
        <w:t>ecisão</w:t>
      </w:r>
      <w:r>
        <w:rPr>
          <w:rFonts w:ascii="Times New Roman" w:hAnsi="Times New Roman"/>
          <w:b/>
          <w:bCs/>
          <w:i/>
          <w:color w:val="auto"/>
          <w:lang w:val="pt-BR"/>
        </w:rPr>
        <w:t xml:space="preserve"> proferida</w:t>
      </w:r>
      <w:r w:rsidRPr="008909BF">
        <w:rPr>
          <w:rFonts w:ascii="Times New Roman" w:hAnsi="Times New Roman"/>
          <w:b/>
          <w:bCs/>
          <w:i/>
          <w:color w:val="auto"/>
          <w:lang w:val="pt-BR"/>
        </w:rPr>
        <w:t xml:space="preserve"> em embargos de terceiro.</w:t>
      </w:r>
      <w:r>
        <w:rPr>
          <w:rFonts w:ascii="Times New Roman" w:hAnsi="Times New Roman"/>
          <w:b/>
          <w:bCs/>
          <w:i/>
          <w:color w:val="auto"/>
          <w:lang w:val="pt-BR"/>
        </w:rPr>
        <w:t xml:space="preserve"> </w:t>
      </w:r>
      <w:r w:rsidRPr="008909BF">
        <w:rPr>
          <w:rFonts w:ascii="Times New Roman" w:hAnsi="Times New Roman"/>
          <w:b/>
          <w:bCs/>
          <w:i/>
          <w:color w:val="auto"/>
          <w:lang w:val="pt-BR"/>
        </w:rPr>
        <w:t>Possibilidade jurídica do ped</w:t>
      </w:r>
      <w:r>
        <w:rPr>
          <w:rFonts w:ascii="Times New Roman" w:hAnsi="Times New Roman"/>
          <w:b/>
          <w:bCs/>
          <w:i/>
          <w:color w:val="auto"/>
          <w:lang w:val="pt-BR"/>
        </w:rPr>
        <w:t>ido. Coisa julgada material.</w:t>
      </w:r>
    </w:p>
    <w:p w:rsidR="006C2B66" w:rsidRDefault="006C2B66" w:rsidP="00AB7D06">
      <w:pPr>
        <w:spacing w:before="0" w:beforeAutospacing="0"/>
        <w:rPr>
          <w:rStyle w:val="f310"/>
          <w:u w:val="single"/>
        </w:rPr>
      </w:pPr>
      <w:r w:rsidRPr="00675184">
        <w:rPr>
          <w:bCs/>
          <w:snapToGrid w:val="0"/>
          <w:sz w:val="24"/>
        </w:rPr>
        <w:t xml:space="preserve">A SBDI-II, por maioria, modificando o entendimento </w:t>
      </w:r>
      <w:r>
        <w:rPr>
          <w:bCs/>
          <w:snapToGrid w:val="0"/>
          <w:sz w:val="24"/>
        </w:rPr>
        <w:t>d</w:t>
      </w:r>
      <w:r w:rsidRPr="00675184">
        <w:rPr>
          <w:bCs/>
          <w:snapToGrid w:val="0"/>
          <w:sz w:val="24"/>
        </w:rPr>
        <w:t xml:space="preserve">a Subseção, decidiu pela possibilidade jurídica do pedido de corte rescisório de decisão proferida em sede de embargos de terceiro. Prevaleceu o entendimento de que se trata de ação autônoma dirigida à obtenção de uma sentença de mérito que, ao decidir a respeito da legitimidade da penhora incidente sobre bem de terceiro, não obstante seja limitada no plano horizontal (extensão), é de cognição exauriente no plano vertical (profundidade), fazendo, portanto, coisa julgada material. Vencidos os Ministros Pedro Paulo Manus, relator, Antônio José de Barros Levenhagen e Emmanoel Pereira. </w:t>
      </w:r>
      <w:hyperlink r:id="rId13" w:history="1">
        <w:r w:rsidRPr="0021370C">
          <w:rPr>
            <w:rStyle w:val="Hyperlink"/>
            <w:sz w:val="24"/>
            <w:szCs w:val="24"/>
          </w:rPr>
          <w:t>TST-RO-205800-71.2009.5.15.0000</w:t>
        </w:r>
      </w:hyperlink>
      <w:r w:rsidRPr="001139C0">
        <w:rPr>
          <w:rStyle w:val="f91"/>
          <w:color w:val="auto"/>
          <w:sz w:val="24"/>
          <w:szCs w:val="24"/>
          <w:u w:val="single"/>
        </w:rPr>
        <w:t>, SBDI-II, rel. Min.</w:t>
      </w:r>
      <w:r w:rsidRPr="00A92F2D">
        <w:rPr>
          <w:rStyle w:val="f91"/>
          <w:color w:val="auto"/>
          <w:sz w:val="24"/>
          <w:szCs w:val="24"/>
        </w:rPr>
        <w:t xml:space="preserve"> </w:t>
      </w:r>
      <w:r w:rsidRPr="00A92F2D">
        <w:rPr>
          <w:bCs/>
          <w:sz w:val="24"/>
          <w:szCs w:val="24"/>
          <w:u w:val="single"/>
        </w:rPr>
        <w:t xml:space="preserve">Pedro Paulo Manus, red. p/ acórdão Min. </w:t>
      </w:r>
      <w:r w:rsidRPr="00363E56">
        <w:rPr>
          <w:rStyle w:val="f91"/>
          <w:color w:val="auto"/>
          <w:sz w:val="24"/>
          <w:szCs w:val="24"/>
          <w:u w:val="single"/>
        </w:rPr>
        <w:t>Alberto Luiz Bresciani de Fontan Pereira, 10.4.2012</w:t>
      </w:r>
      <w:r w:rsidRPr="00363E56">
        <w:rPr>
          <w:rStyle w:val="f310"/>
          <w:u w:val="single"/>
        </w:rPr>
        <w:t>.</w:t>
      </w:r>
    </w:p>
    <w:p w:rsidR="00AB7D06" w:rsidRPr="00AB7D06" w:rsidRDefault="00AB7D06" w:rsidP="00AB7D06">
      <w:pPr>
        <w:spacing w:before="0" w:beforeAutospacing="0"/>
        <w:rPr>
          <w:color w:val="000000"/>
          <w:sz w:val="10"/>
          <w:szCs w:val="10"/>
          <w:u w:val="single"/>
        </w:rPr>
      </w:pPr>
    </w:p>
    <w:p w:rsidR="00363E56" w:rsidRPr="000D1991" w:rsidRDefault="00363E56" w:rsidP="00AB7D06">
      <w:pPr>
        <w:pStyle w:val="Corpo"/>
        <w:spacing w:before="0" w:beforeAutospacing="0" w:line="240" w:lineRule="auto"/>
        <w:ind w:firstLine="0"/>
        <w:rPr>
          <w:rFonts w:ascii="Times New Roman" w:hAnsi="Times New Roman"/>
          <w:b/>
          <w:bCs/>
          <w:i/>
          <w:iCs/>
          <w:lang w:val="pt-BR"/>
        </w:rPr>
      </w:pPr>
      <w:r w:rsidRPr="000D1991">
        <w:rPr>
          <w:rFonts w:ascii="Times New Roman" w:hAnsi="Times New Roman"/>
          <w:b/>
          <w:bCs/>
          <w:i/>
          <w:iCs/>
          <w:lang w:val="pt-BR"/>
        </w:rPr>
        <w:t>AR. Equiparação salarial. Segunda demanda. Indicação de paradigma diverso. Coisa julgada. Não configuração. Modificação da causa de pedir. Ausência da tríplice identidade prevista no art. 301, § 2º, do CPC.</w:t>
      </w:r>
    </w:p>
    <w:p w:rsidR="00363E56" w:rsidRDefault="00363E56" w:rsidP="00AB7D06">
      <w:pPr>
        <w:pStyle w:val="Ementa"/>
        <w:spacing w:before="0" w:beforeAutospacing="0"/>
        <w:ind w:left="0"/>
        <w:rPr>
          <w:rFonts w:ascii="Times New Roman" w:hAnsi="Times New Roman"/>
          <w:bCs/>
          <w:iCs/>
          <w:color w:val="000000"/>
          <w:sz w:val="22"/>
          <w:szCs w:val="22"/>
          <w:u w:val="single"/>
          <w:lang w:val="pt-BR"/>
        </w:rPr>
      </w:pPr>
      <w:r w:rsidRPr="000D1991">
        <w:rPr>
          <w:rFonts w:ascii="Times New Roman" w:hAnsi="Times New Roman"/>
          <w:bCs/>
          <w:iCs/>
          <w:color w:val="000000"/>
          <w:lang w:val="pt-BR"/>
        </w:rPr>
        <w:t>O ajuizamento de segunda ação com os mesmos pedidos e em face do mesmo reclamado, mas com indicação de paradigma diverso daquele nomeado na primeira demanda, para efeito de equiparação salarial, afasta a possibilidade de rescisão por ofensa à coisa julgada (art. 485, IV, do CPC), pois modifica a causa de pedir, impedindo a configuração da tríplice identidade prevista no art. 301, § 2º, do CPC. Com esse entendimento, a SBDI-II, por maioria, conheceu de recurso ordinário e, no mérito, negou-lhe provimento. Vencidos os Ministros Maria Cristina Irigoyen Peduzzi e João Oreste Dalazen, os quais acolhiam a ofensa à coisa julgada visto que, na hipótese, apesar de haver indicação formal de paradigmas diversos, na segunda ação proposta, o reclamante pleiteou a equiparação a Antônio Gomes de Macedo e o pagamento das diferenças salariais decorrentes de ação na qual o Senhor Antônio fora equiparado a Maria Beladina Ferreira, indicada como paradigma na primeira reclamação trabalhista, restando, portanto, caracterizada a tríplice identidade</w:t>
      </w:r>
      <w:r>
        <w:rPr>
          <w:rFonts w:ascii="Times New Roman" w:hAnsi="Times New Roman"/>
          <w:bCs/>
          <w:iCs/>
          <w:color w:val="000000"/>
          <w:sz w:val="22"/>
          <w:szCs w:val="22"/>
          <w:lang w:val="pt-BR"/>
        </w:rPr>
        <w:t>.</w:t>
      </w:r>
      <w:r w:rsidRPr="008F4FE4">
        <w:rPr>
          <w:rFonts w:ascii="Times New Roman" w:hAnsi="Times New Roman"/>
          <w:iCs/>
          <w:color w:val="auto"/>
          <w:sz w:val="22"/>
          <w:szCs w:val="22"/>
          <w:lang w:val="pt-BR"/>
        </w:rPr>
        <w:t xml:space="preserve"> </w:t>
      </w:r>
      <w:hyperlink r:id="rId14" w:history="1">
        <w:r w:rsidRPr="007D52F7">
          <w:rPr>
            <w:rStyle w:val="Hyperlink"/>
            <w:rFonts w:ascii="Times New Roman" w:hAnsi="Times New Roman" w:cs="Courier New"/>
            <w:bCs/>
            <w:iCs/>
            <w:lang w:val="pt-BR"/>
          </w:rPr>
          <w:t>TST-RO-108500-11.2010.5.03.0000</w:t>
        </w:r>
      </w:hyperlink>
      <w:r w:rsidRPr="007D52F7">
        <w:rPr>
          <w:rFonts w:ascii="Times New Roman" w:hAnsi="Times New Roman"/>
          <w:bCs/>
          <w:iCs/>
          <w:color w:val="000000"/>
          <w:u w:val="single"/>
          <w:lang w:val="pt-BR"/>
        </w:rPr>
        <w:t>, SBDI-II, rel. Min. Alberto Luiz Bresciani de Fontan Pereira. 10.4.2012</w:t>
      </w:r>
      <w:r w:rsidRPr="008F4FE4">
        <w:rPr>
          <w:rFonts w:ascii="Times New Roman" w:hAnsi="Times New Roman"/>
          <w:bCs/>
          <w:iCs/>
          <w:color w:val="000000"/>
          <w:sz w:val="22"/>
          <w:szCs w:val="22"/>
          <w:u w:val="single"/>
          <w:lang w:val="pt-BR"/>
        </w:rPr>
        <w:t>.</w:t>
      </w:r>
    </w:p>
    <w:p w:rsidR="00BB61EE" w:rsidRDefault="00BB61EE" w:rsidP="00AB7D06">
      <w:pPr>
        <w:pStyle w:val="Ementa"/>
        <w:spacing w:before="0" w:beforeAutospacing="0"/>
        <w:ind w:left="0"/>
        <w:rPr>
          <w:rFonts w:ascii="Times New Roman" w:hAnsi="Times New Roman"/>
          <w:bCs/>
          <w:iCs/>
          <w:color w:val="000000"/>
          <w:sz w:val="22"/>
          <w:szCs w:val="22"/>
          <w:u w:val="single"/>
          <w:lang w:val="pt-BR"/>
        </w:rPr>
      </w:pPr>
    </w:p>
    <w:p w:rsidR="009B3AD3" w:rsidRPr="000D1991" w:rsidRDefault="009B3AD3" w:rsidP="00AB7D06">
      <w:pPr>
        <w:spacing w:before="0" w:beforeAutospacing="0"/>
        <w:rPr>
          <w:b/>
          <w:i/>
          <w:sz w:val="24"/>
          <w:szCs w:val="24"/>
        </w:rPr>
      </w:pPr>
      <w:r w:rsidRPr="000D1991">
        <w:rPr>
          <w:b/>
          <w:i/>
          <w:sz w:val="24"/>
          <w:szCs w:val="24"/>
        </w:rPr>
        <w:t xml:space="preserve">AR. Gestante. Estabilidade provisória. </w:t>
      </w:r>
      <w:r w:rsidRPr="000D1991">
        <w:rPr>
          <w:b/>
          <w:i/>
          <w:sz w:val="24"/>
          <w:szCs w:val="24"/>
          <w:lang w:val="en-US"/>
        </w:rPr>
        <w:t xml:space="preserve">Art. 10, II, “b”, do ADCT. </w:t>
      </w:r>
      <w:r w:rsidRPr="000D1991">
        <w:rPr>
          <w:b/>
          <w:i/>
          <w:sz w:val="24"/>
          <w:szCs w:val="24"/>
        </w:rPr>
        <w:t xml:space="preserve">Fechamento do estabelecimento. Transferência para outra localidade. Recusa da empregada. Justa causa. Não caracterização. </w:t>
      </w:r>
    </w:p>
    <w:p w:rsidR="009B3AD3" w:rsidRPr="000D1991" w:rsidRDefault="009B3AD3" w:rsidP="00AB7D06">
      <w:pPr>
        <w:spacing w:before="0" w:beforeAutospacing="0"/>
        <w:rPr>
          <w:sz w:val="24"/>
          <w:szCs w:val="24"/>
          <w:u w:val="single"/>
        </w:rPr>
      </w:pPr>
      <w:r w:rsidRPr="000D1991">
        <w:rPr>
          <w:sz w:val="24"/>
          <w:szCs w:val="24"/>
        </w:rPr>
        <w:t xml:space="preserve">Levando em consideração que a garantia no emprego da empregada gestante prevista no art. 10, II, “b”, do ADCT não está condicionada à existência de atividades regulares na empresa, e visa, em último caso, proteger não apenas a empregada, mas também o bem-estar do nascituro, a recusa da obreira em ser transferida para outra localidade em razão do fechamento da filial em que trabalhava não pode ser tida como justa causa a obstaculizar a percepção das verbas devidas em decorrência da estabilidade. Com esse entendimento, a SBDI-II, decidiu, por unanimidade, conhecer do recurso ordinário e, no mérito, dar-lhe provimento para, reconhecida a afronta ao art. 10, II, "b", do ADCT, desconstituir em parte o acórdão do regional e, em juízo rescisório, determinar o retorno dos autos à Vara do Trabalho de origem para que, afastada a justa causa que fora imposta pelas instâncias ordinárias, aprecie os pedidos postulados na reclamação trabalhista, como entender de direito. </w:t>
      </w:r>
      <w:hyperlink r:id="rId15" w:history="1">
        <w:r w:rsidRPr="000D1991">
          <w:rPr>
            <w:rStyle w:val="Hyperlink"/>
            <w:sz w:val="24"/>
            <w:szCs w:val="24"/>
          </w:rPr>
          <w:t>TST-RO-298-04.2010.5.15.0000</w:t>
        </w:r>
      </w:hyperlink>
      <w:r w:rsidRPr="000D1991">
        <w:rPr>
          <w:sz w:val="24"/>
          <w:szCs w:val="24"/>
          <w:u w:val="single"/>
        </w:rPr>
        <w:t>, SBDI-II, rel. Min. Guilherme Augusto Caputo Bastos. 10.4.2012.</w:t>
      </w:r>
    </w:p>
    <w:p w:rsidR="009027C8" w:rsidRPr="005D1DE4" w:rsidRDefault="009027C8" w:rsidP="00AB7D06">
      <w:pPr>
        <w:pStyle w:val="tema"/>
        <w:tabs>
          <w:tab w:val="left" w:pos="11482"/>
          <w:tab w:val="left" w:pos="11624"/>
        </w:tabs>
        <w:spacing w:before="0" w:beforeAutospacing="0"/>
        <w:ind w:left="0"/>
        <w:rPr>
          <w:rFonts w:ascii="Times New Roman" w:hAnsi="Times New Roman" w:cs="Times New Roman"/>
          <w:i/>
          <w:caps w:val="0"/>
          <w:color w:val="auto"/>
          <w:sz w:val="10"/>
          <w:szCs w:val="10"/>
        </w:rPr>
      </w:pPr>
    </w:p>
    <w:p w:rsidR="00C26DFB" w:rsidRPr="005D1DE4" w:rsidRDefault="00C26DFB" w:rsidP="00AB7D06">
      <w:pPr>
        <w:rPr>
          <w:sz w:val="22"/>
          <w:szCs w:val="22"/>
          <w:u w:val="single"/>
        </w:rPr>
      </w:pPr>
    </w:p>
    <w:p w:rsidR="00C26DFB" w:rsidRPr="005D1DE4" w:rsidRDefault="00C26DFB" w:rsidP="00AB7D06">
      <w:pPr>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1D" w:rsidRDefault="00B3721D">
      <w:r>
        <w:separator/>
      </w:r>
    </w:p>
  </w:endnote>
  <w:endnote w:type="continuationSeparator" w:id="0">
    <w:p w:rsidR="00B3721D" w:rsidRDefault="00B3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25" w:rsidRDefault="00800C2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10EB">
      <w:rPr>
        <w:rStyle w:val="Nmerodepgina"/>
        <w:noProof/>
      </w:rPr>
      <w:t>2</w:t>
    </w:r>
    <w:r>
      <w:rPr>
        <w:rStyle w:val="Nmerodepgina"/>
      </w:rPr>
      <w:fldChar w:fldCharType="end"/>
    </w:r>
  </w:p>
  <w:p w:rsidR="00800C25" w:rsidRDefault="00800C25">
    <w:pPr>
      <w:pStyle w:val="Rodap"/>
      <w:ind w:right="360"/>
    </w:pPr>
    <w:r>
      <w:rPr>
        <w:noProof/>
      </w:rPr>
      <w:pict>
        <v:line id="_x0000_s2050" style="position:absolute;left:0;text-align:left;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25" w:rsidRDefault="00800C25">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0A5CF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1D" w:rsidRDefault="00B3721D">
      <w:r>
        <w:separator/>
      </w:r>
    </w:p>
  </w:footnote>
  <w:footnote w:type="continuationSeparator" w:id="0">
    <w:p w:rsidR="00B3721D" w:rsidRDefault="00B37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25" w:rsidRPr="00971E07" w:rsidRDefault="00800C25" w:rsidP="00B2266D">
    <w:pPr>
      <w:pStyle w:val="Corpodetexto"/>
      <w:spacing w:before="0" w:beforeAutospacing="0"/>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 xml:space="preserve">º </w:t>
    </w:r>
    <w:r>
      <w:rPr>
        <w:shadow/>
        <w:sz w:val="24"/>
        <w:szCs w:val="24"/>
      </w:rPr>
      <w:t>5</w:t>
    </w:r>
  </w:p>
  <w:p w:rsidR="00800C25" w:rsidRPr="00971E07" w:rsidRDefault="00800C25" w:rsidP="00B2266D">
    <w:pPr>
      <w:pStyle w:val="Ttulo6"/>
      <w:spacing w:before="0" w:beforeAutospacing="0"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Período: 12 a 1</w:t>
    </w:r>
    <w:r w:rsidR="005F7EB7">
      <w:rPr>
        <w:sz w:val="20"/>
        <w:szCs w:val="20"/>
      </w:rPr>
      <w:t>8</w:t>
    </w:r>
    <w:r>
      <w:rPr>
        <w:sz w:val="20"/>
        <w:szCs w:val="20"/>
      </w:rPr>
      <w:t xml:space="preserve"> de abril</w:t>
    </w:r>
    <w:r w:rsidRPr="00971E07">
      <w:rPr>
        <w:sz w:val="20"/>
        <w:szCs w:val="20"/>
      </w:rPr>
      <w:t xml:space="preserve">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25" w:rsidRDefault="00800C2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800C25" w:rsidRPr="002168DE" w:rsidRDefault="00800C25"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5</w:t>
    </w:r>
  </w:p>
  <w:p w:rsidR="00800C25" w:rsidRPr="005D1DE4" w:rsidRDefault="00800C25">
    <w:pPr>
      <w:pStyle w:val="Cabealho"/>
      <w:jc w:val="right"/>
    </w:pPr>
    <w:r>
      <w:rPr>
        <w:i/>
        <w:iCs/>
      </w:rPr>
      <w:t>Período:</w:t>
    </w:r>
    <w:r w:rsidRPr="005D1DE4">
      <w:rPr>
        <w:i/>
        <w:iCs/>
      </w:rPr>
      <w:t xml:space="preserve"> </w:t>
    </w:r>
    <w:r>
      <w:rPr>
        <w:i/>
        <w:iCs/>
      </w:rPr>
      <w:t>12 a 1</w:t>
    </w:r>
    <w:r w:rsidR="000A3ABF">
      <w:rPr>
        <w:i/>
        <w:iCs/>
      </w:rPr>
      <w:t>8</w:t>
    </w:r>
    <w:r>
      <w:rPr>
        <w:i/>
        <w:iCs/>
      </w:rPr>
      <w:t xml:space="preserve"> de abril </w:t>
    </w:r>
    <w:r w:rsidRPr="005D1DE4">
      <w:rPr>
        <w:i/>
        <w:iCs/>
      </w:rPr>
      <w:t>de 2012</w:t>
    </w:r>
  </w:p>
  <w:p w:rsidR="00800C25" w:rsidRDefault="00800C25"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6699B"/>
    <w:rsid w:val="000733B4"/>
    <w:rsid w:val="00073880"/>
    <w:rsid w:val="00075BDB"/>
    <w:rsid w:val="00080F10"/>
    <w:rsid w:val="0009237D"/>
    <w:rsid w:val="00093AE9"/>
    <w:rsid w:val="00093BA8"/>
    <w:rsid w:val="000A04E6"/>
    <w:rsid w:val="000A3ABF"/>
    <w:rsid w:val="000A5CF9"/>
    <w:rsid w:val="000B4D41"/>
    <w:rsid w:val="000B67DF"/>
    <w:rsid w:val="000B7CDE"/>
    <w:rsid w:val="000C3022"/>
    <w:rsid w:val="000C672B"/>
    <w:rsid w:val="000D1991"/>
    <w:rsid w:val="000E0A91"/>
    <w:rsid w:val="001139C0"/>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370C"/>
    <w:rsid w:val="002168DE"/>
    <w:rsid w:val="00224AC2"/>
    <w:rsid w:val="0023559D"/>
    <w:rsid w:val="002402B0"/>
    <w:rsid w:val="00242014"/>
    <w:rsid w:val="002449F9"/>
    <w:rsid w:val="002635ED"/>
    <w:rsid w:val="00263F47"/>
    <w:rsid w:val="002662BA"/>
    <w:rsid w:val="00266D49"/>
    <w:rsid w:val="00271C5C"/>
    <w:rsid w:val="00271E67"/>
    <w:rsid w:val="002730B5"/>
    <w:rsid w:val="00280594"/>
    <w:rsid w:val="00285064"/>
    <w:rsid w:val="002A219D"/>
    <w:rsid w:val="002A546D"/>
    <w:rsid w:val="002B4738"/>
    <w:rsid w:val="002B6377"/>
    <w:rsid w:val="002C2904"/>
    <w:rsid w:val="002E78CB"/>
    <w:rsid w:val="00311B9B"/>
    <w:rsid w:val="0033397A"/>
    <w:rsid w:val="00352B27"/>
    <w:rsid w:val="0036325E"/>
    <w:rsid w:val="00363E56"/>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10EB"/>
    <w:rsid w:val="0042193F"/>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4F17A1"/>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5F7EB7"/>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C2B66"/>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D29A1"/>
    <w:rsid w:val="007D52F7"/>
    <w:rsid w:val="007E0EA7"/>
    <w:rsid w:val="007E3F23"/>
    <w:rsid w:val="007F027A"/>
    <w:rsid w:val="007F142E"/>
    <w:rsid w:val="007F7B5E"/>
    <w:rsid w:val="00800C25"/>
    <w:rsid w:val="00802B1A"/>
    <w:rsid w:val="0080615C"/>
    <w:rsid w:val="0081027F"/>
    <w:rsid w:val="0081742D"/>
    <w:rsid w:val="00821F4D"/>
    <w:rsid w:val="00823906"/>
    <w:rsid w:val="008409D3"/>
    <w:rsid w:val="00845559"/>
    <w:rsid w:val="00854DB8"/>
    <w:rsid w:val="00854EF2"/>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3AD3"/>
    <w:rsid w:val="009B6012"/>
    <w:rsid w:val="009C102D"/>
    <w:rsid w:val="009C2A4F"/>
    <w:rsid w:val="009D4C59"/>
    <w:rsid w:val="009D7F91"/>
    <w:rsid w:val="009E20EF"/>
    <w:rsid w:val="009E26EE"/>
    <w:rsid w:val="009F21A2"/>
    <w:rsid w:val="00A027BF"/>
    <w:rsid w:val="00A32FBF"/>
    <w:rsid w:val="00A331D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B7D06"/>
    <w:rsid w:val="00AD3340"/>
    <w:rsid w:val="00AD6E76"/>
    <w:rsid w:val="00AE3EAA"/>
    <w:rsid w:val="00AE5EDF"/>
    <w:rsid w:val="00B14F7F"/>
    <w:rsid w:val="00B16EB9"/>
    <w:rsid w:val="00B2266D"/>
    <w:rsid w:val="00B22F24"/>
    <w:rsid w:val="00B22F53"/>
    <w:rsid w:val="00B24DBE"/>
    <w:rsid w:val="00B34EB2"/>
    <w:rsid w:val="00B3721D"/>
    <w:rsid w:val="00B517C3"/>
    <w:rsid w:val="00B518B2"/>
    <w:rsid w:val="00B526EA"/>
    <w:rsid w:val="00B536FE"/>
    <w:rsid w:val="00B56395"/>
    <w:rsid w:val="00B61A11"/>
    <w:rsid w:val="00B621D7"/>
    <w:rsid w:val="00B73FFA"/>
    <w:rsid w:val="00B874F1"/>
    <w:rsid w:val="00B93F0F"/>
    <w:rsid w:val="00BB61EE"/>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7B1"/>
    <w:rsid w:val="00CD4B61"/>
    <w:rsid w:val="00CD5043"/>
    <w:rsid w:val="00CE2928"/>
    <w:rsid w:val="00CE314A"/>
    <w:rsid w:val="00D01C50"/>
    <w:rsid w:val="00D11B24"/>
    <w:rsid w:val="00D133C8"/>
    <w:rsid w:val="00D14DB8"/>
    <w:rsid w:val="00D2220B"/>
    <w:rsid w:val="00D244D5"/>
    <w:rsid w:val="00D2776A"/>
    <w:rsid w:val="00D413DB"/>
    <w:rsid w:val="00D420E2"/>
    <w:rsid w:val="00D4459D"/>
    <w:rsid w:val="00D573F9"/>
    <w:rsid w:val="00D6058B"/>
    <w:rsid w:val="00D60F63"/>
    <w:rsid w:val="00D63EC5"/>
    <w:rsid w:val="00D72C05"/>
    <w:rsid w:val="00D847CF"/>
    <w:rsid w:val="00DA0A99"/>
    <w:rsid w:val="00DA7603"/>
    <w:rsid w:val="00DA7E39"/>
    <w:rsid w:val="00DA7EDE"/>
    <w:rsid w:val="00DC0AB5"/>
    <w:rsid w:val="00DC50EB"/>
    <w:rsid w:val="00DD3F43"/>
    <w:rsid w:val="00DD3FA0"/>
    <w:rsid w:val="00DE5B2D"/>
    <w:rsid w:val="00DE5CE9"/>
    <w:rsid w:val="00DF166C"/>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2905"/>
    <w:rsid w:val="00ED661C"/>
    <w:rsid w:val="00EE41B5"/>
    <w:rsid w:val="00EE66C9"/>
    <w:rsid w:val="00EF11A9"/>
    <w:rsid w:val="00EF38E1"/>
    <w:rsid w:val="00EF749A"/>
    <w:rsid w:val="00EF771E"/>
    <w:rsid w:val="00F0095D"/>
    <w:rsid w:val="00F02565"/>
    <w:rsid w:val="00F05542"/>
    <w:rsid w:val="00F17A2C"/>
    <w:rsid w:val="00F26708"/>
    <w:rsid w:val="00F34193"/>
    <w:rsid w:val="00F511EE"/>
    <w:rsid w:val="00F558E7"/>
    <w:rsid w:val="00F62016"/>
    <w:rsid w:val="00F63F44"/>
    <w:rsid w:val="00F6746D"/>
    <w:rsid w:val="00F811CD"/>
    <w:rsid w:val="00F82D8F"/>
    <w:rsid w:val="00F83F62"/>
    <w:rsid w:val="00F9711D"/>
    <w:rsid w:val="00FA75E0"/>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before="100" w:beforeAutospacing="1"/>
      <w:jc w:val="both"/>
    </w:pPr>
    <w:rPr>
      <w:rFonts w:ascii="Times New Roman" w:hAnsi="Times New Roman"/>
    </w:rPr>
  </w:style>
  <w:style w:type="paragraph" w:styleId="Ttulo1">
    <w:name w:val="heading 1"/>
    <w:basedOn w:val="Normal"/>
    <w:next w:val="Normal"/>
    <w:link w:val="Ttulo1Char"/>
    <w:uiPriority w:val="99"/>
    <w:qFormat/>
    <w:pPr>
      <w:keepNext/>
      <w:outlineLvl w:val="0"/>
    </w:pPr>
    <w:rPr>
      <w:b/>
      <w:bCs/>
      <w:color w:val="0000FF"/>
    </w:rPr>
  </w:style>
  <w:style w:type="paragraph" w:styleId="Ttulo5">
    <w:name w:val="heading 5"/>
    <w:basedOn w:val="Normal"/>
    <w:next w:val="Normal"/>
    <w:link w:val="Ttulo5Char"/>
    <w:uiPriority w:val="99"/>
    <w:qFormat/>
    <w:pPr>
      <w:keepNext/>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style>
  <w:style w:type="paragraph" w:customStyle="1" w:styleId="Ementa">
    <w:name w:val="Ementa"/>
    <w:basedOn w:val="Normal"/>
    <w:uiPriority w:val="99"/>
    <w:pPr>
      <w:ind w:left="4536"/>
    </w:pPr>
    <w:rPr>
      <w:rFonts w:ascii="Courier New" w:hAnsi="Courier New" w:cs="Courier New"/>
      <w:color w:val="808000"/>
      <w:sz w:val="24"/>
      <w:szCs w:val="24"/>
      <w:lang w:val="en-US"/>
    </w:rPr>
  </w:style>
  <w:style w:type="paragraph" w:styleId="Corpodetexto3">
    <w:name w:val="Body Text 3"/>
    <w:basedOn w:val="Normal"/>
    <w:link w:val="Corpodetexto3Char"/>
    <w:uiPriority w:val="99"/>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before="100" w:beforeAutospacing="1"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before="100" w:beforeAutospacing="1"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22"/>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before="100" w:beforeAutospacing="1"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beforeAutospacing="1"/>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pPr>
    <w:rPr>
      <w:sz w:val="28"/>
      <w:szCs w:val="28"/>
    </w:rPr>
  </w:style>
  <w:style w:type="paragraph" w:customStyle="1" w:styleId="NumProcesso">
    <w:name w:val="Num.Processo"/>
    <w:uiPriority w:val="99"/>
    <w:pPr>
      <w:widowControl w:val="0"/>
      <w:autoSpaceDE w:val="0"/>
      <w:autoSpaceDN w:val="0"/>
      <w:spacing w:before="170" w:beforeAutospacing="1"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before="100" w:beforeAutospacing="1"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before="100" w:beforeAutospacing="1"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before="100" w:beforeAutospacing="1" w:line="200" w:lineRule="exact"/>
      <w:ind w:left="284"/>
      <w:jc w:val="both"/>
    </w:pPr>
    <w:rPr>
      <w:rFonts w:ascii="Courier New" w:hAnsi="Courier New"/>
      <w:i/>
      <w:color w:val="000000"/>
      <w:sz w:val="24"/>
    </w:rPr>
  </w:style>
  <w:style w:type="paragraph" w:customStyle="1" w:styleId="Tabela">
    <w:name w:val="Tabela"/>
    <w:rsid w:val="00004C36"/>
    <w:pPr>
      <w:widowControl w:val="0"/>
      <w:spacing w:before="100" w:beforeAutospacing="1"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uiPriority w:val="99"/>
    <w:locked/>
    <w:rsid w:val="008D3C38"/>
    <w:rPr>
      <w:rFonts w:ascii="Courier New" w:hAnsi="Courier New" w:cs="Courier New"/>
      <w:color w:val="000000"/>
      <w:sz w:val="24"/>
      <w:szCs w:val="24"/>
      <w:lang w:val="en-US" w:eastAsia="pt-BR" w:bidi="ar-SA"/>
    </w:rPr>
  </w:style>
  <w:style w:type="character" w:customStyle="1" w:styleId="f310">
    <w:name w:val="f310"/>
    <w:basedOn w:val="Fontepargpadro"/>
    <w:rsid w:val="006C2B66"/>
    <w:rPr>
      <w:rFonts w:ascii="Times New Roman" w:hAnsi="Times New Roman" w:cs="Times New Roman" w:hint="default"/>
      <w:color w:val="000000"/>
      <w:sz w:val="24"/>
      <w:szCs w:val="24"/>
    </w:rPr>
  </w:style>
  <w:style w:type="character" w:customStyle="1" w:styleId="f91">
    <w:name w:val="f91"/>
    <w:basedOn w:val="Fontepargpadro"/>
    <w:rsid w:val="006C2B66"/>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7232">
      <w:bodyDiv w:val="1"/>
      <w:marLeft w:val="0"/>
      <w:marRight w:val="0"/>
      <w:marTop w:val="0"/>
      <w:marBottom w:val="0"/>
      <w:divBdr>
        <w:top w:val="none" w:sz="0" w:space="0" w:color="auto"/>
        <w:left w:val="none" w:sz="0" w:space="0" w:color="auto"/>
        <w:bottom w:val="none" w:sz="0" w:space="0" w:color="auto"/>
        <w:right w:val="none" w:sz="0" w:space="0" w:color="auto"/>
      </w:divBdr>
      <w:divsChild>
        <w:div w:id="1262059324">
          <w:marLeft w:val="0"/>
          <w:marRight w:val="0"/>
          <w:marTop w:val="0"/>
          <w:marBottom w:val="0"/>
          <w:divBdr>
            <w:top w:val="none" w:sz="0" w:space="0" w:color="auto"/>
            <w:left w:val="none" w:sz="0" w:space="0" w:color="auto"/>
            <w:bottom w:val="none" w:sz="0" w:space="0" w:color="auto"/>
            <w:right w:val="none" w:sz="0" w:space="0" w:color="auto"/>
          </w:divBdr>
          <w:divsChild>
            <w:div w:id="1095172218">
              <w:marLeft w:val="0"/>
              <w:marRight w:val="0"/>
              <w:marTop w:val="0"/>
              <w:marBottom w:val="0"/>
              <w:divBdr>
                <w:top w:val="none" w:sz="0" w:space="0" w:color="auto"/>
                <w:left w:val="none" w:sz="0" w:space="0" w:color="auto"/>
                <w:bottom w:val="none" w:sz="0" w:space="0" w:color="auto"/>
                <w:right w:val="none" w:sz="0" w:space="0" w:color="auto"/>
              </w:divBdr>
              <w:divsChild>
                <w:div w:id="1548563738">
                  <w:marLeft w:val="0"/>
                  <w:marRight w:val="0"/>
                  <w:marTop w:val="0"/>
                  <w:marBottom w:val="0"/>
                  <w:divBdr>
                    <w:top w:val="none" w:sz="0" w:space="0" w:color="auto"/>
                    <w:left w:val="none" w:sz="0" w:space="0" w:color="auto"/>
                    <w:bottom w:val="none" w:sz="0" w:space="0" w:color="auto"/>
                    <w:right w:val="none" w:sz="0" w:space="0" w:color="auto"/>
                  </w:divBdr>
                  <w:divsChild>
                    <w:div w:id="1979214447">
                      <w:marLeft w:val="0"/>
                      <w:marRight w:val="0"/>
                      <w:marTop w:val="0"/>
                      <w:marBottom w:val="0"/>
                      <w:divBdr>
                        <w:top w:val="none" w:sz="0" w:space="0" w:color="auto"/>
                        <w:left w:val="none" w:sz="0" w:space="0" w:color="auto"/>
                        <w:bottom w:val="none" w:sz="0" w:space="0" w:color="auto"/>
                        <w:right w:val="none" w:sz="0" w:space="0" w:color="auto"/>
                      </w:divBdr>
                      <w:divsChild>
                        <w:div w:id="1925796316">
                          <w:marLeft w:val="0"/>
                          <w:marRight w:val="0"/>
                          <w:marTop w:val="0"/>
                          <w:marBottom w:val="0"/>
                          <w:divBdr>
                            <w:top w:val="none" w:sz="0" w:space="0" w:color="auto"/>
                            <w:left w:val="none" w:sz="0" w:space="0" w:color="auto"/>
                            <w:bottom w:val="none" w:sz="0" w:space="0" w:color="auto"/>
                            <w:right w:val="none" w:sz="0" w:space="0" w:color="auto"/>
                          </w:divBdr>
                          <w:divsChild>
                            <w:div w:id="872116435">
                              <w:marLeft w:val="88"/>
                              <w:marRight w:val="88"/>
                              <w:marTop w:val="0"/>
                              <w:marBottom w:val="0"/>
                              <w:divBdr>
                                <w:top w:val="none" w:sz="0" w:space="0" w:color="auto"/>
                                <w:left w:val="none" w:sz="0" w:space="0" w:color="auto"/>
                                <w:bottom w:val="none" w:sz="0" w:space="0" w:color="auto"/>
                                <w:right w:val="none" w:sz="0" w:space="0" w:color="auto"/>
                              </w:divBdr>
                              <w:divsChild>
                                <w:div w:id="214396063">
                                  <w:marLeft w:val="0"/>
                                  <w:marRight w:val="0"/>
                                  <w:marTop w:val="0"/>
                                  <w:marBottom w:val="0"/>
                                  <w:divBdr>
                                    <w:top w:val="none" w:sz="0" w:space="0" w:color="auto"/>
                                    <w:left w:val="none" w:sz="0" w:space="0" w:color="auto"/>
                                    <w:bottom w:val="none" w:sz="0" w:space="0" w:color="auto"/>
                                    <w:right w:val="none" w:sz="0" w:space="0" w:color="auto"/>
                                  </w:divBdr>
                                  <w:divsChild>
                                    <w:div w:id="138346576">
                                      <w:marLeft w:val="0"/>
                                      <w:marRight w:val="0"/>
                                      <w:marTop w:val="0"/>
                                      <w:marBottom w:val="0"/>
                                      <w:divBdr>
                                        <w:top w:val="none" w:sz="0" w:space="0" w:color="auto"/>
                                        <w:left w:val="none" w:sz="0" w:space="0" w:color="auto"/>
                                        <w:bottom w:val="none" w:sz="0" w:space="0" w:color="auto"/>
                                        <w:right w:val="none" w:sz="0" w:space="0" w:color="auto"/>
                                      </w:divBdr>
                                      <w:divsChild>
                                        <w:div w:id="1604149148">
                                          <w:marLeft w:val="0"/>
                                          <w:marRight w:val="0"/>
                                          <w:marTop w:val="0"/>
                                          <w:marBottom w:val="0"/>
                                          <w:divBdr>
                                            <w:top w:val="none" w:sz="0" w:space="0" w:color="auto"/>
                                            <w:left w:val="none" w:sz="0" w:space="0" w:color="auto"/>
                                            <w:bottom w:val="none" w:sz="0" w:space="0" w:color="auto"/>
                                            <w:right w:val="none" w:sz="0" w:space="0" w:color="auto"/>
                                          </w:divBdr>
                                          <w:divsChild>
                                            <w:div w:id="1240482216">
                                              <w:marLeft w:val="0"/>
                                              <w:marRight w:val="0"/>
                                              <w:marTop w:val="0"/>
                                              <w:marBottom w:val="0"/>
                                              <w:divBdr>
                                                <w:top w:val="none" w:sz="0" w:space="0" w:color="auto"/>
                                                <w:left w:val="none" w:sz="0" w:space="0" w:color="auto"/>
                                                <w:bottom w:val="none" w:sz="0" w:space="0" w:color="auto"/>
                                                <w:right w:val="none" w:sz="0" w:space="0" w:color="auto"/>
                                              </w:divBdr>
                                              <w:divsChild>
                                                <w:div w:id="1082263034">
                                                  <w:marLeft w:val="0"/>
                                                  <w:marRight w:val="0"/>
                                                  <w:marTop w:val="0"/>
                                                  <w:marBottom w:val="0"/>
                                                  <w:divBdr>
                                                    <w:top w:val="none" w:sz="0" w:space="0" w:color="auto"/>
                                                    <w:left w:val="none" w:sz="0" w:space="0" w:color="auto"/>
                                                    <w:bottom w:val="none" w:sz="0" w:space="0" w:color="auto"/>
                                                    <w:right w:val="none" w:sz="0" w:space="0" w:color="auto"/>
                                                  </w:divBdr>
                                                  <w:divsChild>
                                                    <w:div w:id="809979491">
                                                      <w:marLeft w:val="0"/>
                                                      <w:marRight w:val="0"/>
                                                      <w:marTop w:val="0"/>
                                                      <w:marBottom w:val="0"/>
                                                      <w:divBdr>
                                                        <w:top w:val="none" w:sz="0" w:space="0" w:color="auto"/>
                                                        <w:left w:val="none" w:sz="0" w:space="0" w:color="auto"/>
                                                        <w:bottom w:val="none" w:sz="0" w:space="0" w:color="auto"/>
                                                        <w:right w:val="none" w:sz="0" w:space="0" w:color="auto"/>
                                                      </w:divBdr>
                                                      <w:divsChild>
                                                        <w:div w:id="1588071830">
                                                          <w:marLeft w:val="0"/>
                                                          <w:marRight w:val="0"/>
                                                          <w:marTop w:val="0"/>
                                                          <w:marBottom w:val="0"/>
                                                          <w:divBdr>
                                                            <w:top w:val="none" w:sz="0" w:space="0" w:color="auto"/>
                                                            <w:left w:val="none" w:sz="0" w:space="0" w:color="auto"/>
                                                            <w:bottom w:val="none" w:sz="0" w:space="0" w:color="auto"/>
                                                            <w:right w:val="none" w:sz="0" w:space="0" w:color="auto"/>
                                                          </w:divBdr>
                                                          <w:divsChild>
                                                            <w:div w:id="257642504">
                                                              <w:marLeft w:val="0"/>
                                                              <w:marRight w:val="0"/>
                                                              <w:marTop w:val="0"/>
                                                              <w:marBottom w:val="0"/>
                                                              <w:divBdr>
                                                                <w:top w:val="none" w:sz="0" w:space="0" w:color="auto"/>
                                                                <w:left w:val="none" w:sz="0" w:space="0" w:color="auto"/>
                                                                <w:bottom w:val="none" w:sz="0" w:space="0" w:color="auto"/>
                                                                <w:right w:val="none" w:sz="0" w:space="0" w:color="auto"/>
                                                              </w:divBdr>
                                                              <w:divsChild>
                                                                <w:div w:id="277874502">
                                                                  <w:marLeft w:val="0"/>
                                                                  <w:marRight w:val="0"/>
                                                                  <w:marTop w:val="0"/>
                                                                  <w:marBottom w:val="0"/>
                                                                  <w:divBdr>
                                                                    <w:top w:val="none" w:sz="0" w:space="0" w:color="auto"/>
                                                                    <w:left w:val="none" w:sz="0" w:space="0" w:color="auto"/>
                                                                    <w:bottom w:val="none" w:sz="0" w:space="0" w:color="auto"/>
                                                                    <w:right w:val="none" w:sz="0" w:space="0" w:color="auto"/>
                                                                  </w:divBdr>
                                                                  <w:divsChild>
                                                                    <w:div w:id="670105607">
                                                                      <w:marLeft w:val="0"/>
                                                                      <w:marRight w:val="0"/>
                                                                      <w:marTop w:val="0"/>
                                                                      <w:marBottom w:val="0"/>
                                                                      <w:divBdr>
                                                                        <w:top w:val="none" w:sz="0" w:space="0" w:color="auto"/>
                                                                        <w:left w:val="none" w:sz="0" w:space="0" w:color="auto"/>
                                                                        <w:bottom w:val="none" w:sz="0" w:space="0" w:color="auto"/>
                                                                        <w:right w:val="none" w:sz="0" w:space="0" w:color="auto"/>
                                                                      </w:divBdr>
                                                                      <w:divsChild>
                                                                        <w:div w:id="1682202164">
                                                                          <w:marLeft w:val="0"/>
                                                                          <w:marRight w:val="0"/>
                                                                          <w:marTop w:val="0"/>
                                                                          <w:marBottom w:val="0"/>
                                                                          <w:divBdr>
                                                                            <w:top w:val="none" w:sz="0" w:space="0" w:color="auto"/>
                                                                            <w:left w:val="none" w:sz="0" w:space="0" w:color="auto"/>
                                                                            <w:bottom w:val="none" w:sz="0" w:space="0" w:color="auto"/>
                                                                            <w:right w:val="none" w:sz="0" w:space="0" w:color="auto"/>
                                                                          </w:divBdr>
                                                                          <w:divsChild>
                                                                            <w:div w:id="450250336">
                                                                              <w:marLeft w:val="0"/>
                                                                              <w:marRight w:val="0"/>
                                                                              <w:marTop w:val="0"/>
                                                                              <w:marBottom w:val="0"/>
                                                                              <w:divBdr>
                                                                                <w:top w:val="none" w:sz="0" w:space="0" w:color="auto"/>
                                                                                <w:left w:val="none" w:sz="0" w:space="0" w:color="auto"/>
                                                                                <w:bottom w:val="none" w:sz="0" w:space="0" w:color="auto"/>
                                                                                <w:right w:val="none" w:sz="0" w:space="0" w:color="auto"/>
                                                                              </w:divBdr>
                                                                              <w:divsChild>
                                                                                <w:div w:id="2127036477">
                                                                                  <w:marLeft w:val="0"/>
                                                                                  <w:marRight w:val="0"/>
                                                                                  <w:marTop w:val="0"/>
                                                                                  <w:marBottom w:val="0"/>
                                                                                  <w:divBdr>
                                                                                    <w:top w:val="none" w:sz="0" w:space="0" w:color="auto"/>
                                                                                    <w:left w:val="none" w:sz="0" w:space="0" w:color="auto"/>
                                                                                    <w:bottom w:val="none" w:sz="0" w:space="0" w:color="auto"/>
                                                                                    <w:right w:val="none" w:sz="0" w:space="0" w:color="auto"/>
                                                                                  </w:divBdr>
                                                                                  <w:divsChild>
                                                                                    <w:div w:id="951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02.tst.jus.br/pls/ap01/ap_red100.resumo?num_int=111205&amp;ano_int=2011&amp;qtd_acesso=2127405&amp;novoportal=1" TargetMode="External"/><Relationship Id="rId13" Type="http://schemas.openxmlformats.org/officeDocument/2006/relationships/hyperlink" Target="http://ext02.tst.jus.br/pls/ap01/ap_red100.resumo?num_int=232429&amp;ano_int=2010&amp;qtd_acesso=3582085&amp;novoportal=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xt02.tst.jus.br/pls/ap01/ap_red100.resumo?num_int=136412&amp;ano_int=2004&amp;qtd_acesso=2254105&amp;novoportal=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02.tst.jus.br/pls/ap01/ap_red100.resumo?num_int=789605&amp;ano_int=2009&amp;qtd_acesso=10268189&amp;novoportal=" TargetMode="External"/><Relationship Id="rId5" Type="http://schemas.openxmlformats.org/officeDocument/2006/relationships/webSettings" Target="webSettings.xml"/><Relationship Id="rId15" Type="http://schemas.openxmlformats.org/officeDocument/2006/relationships/hyperlink" Target="http://ext02.tst.jus.br/pls/ap01/ap_red100.resumo?num_int=108072&amp;ano_int=2011&amp;qtd_acesso=1914081&amp;novoportal=1" TargetMode="External"/><Relationship Id="rId10" Type="http://schemas.openxmlformats.org/officeDocument/2006/relationships/hyperlink" Target="http://ext02.tst.jus.br/pls/ap01/ap_red100.resumo?num_int=50881&amp;ano_int=2007&amp;qtd_acesso=1403485&amp;novoportal=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xt02.tst.jus.br/pls/ap01/ap_red100.resumo?num_int=99521&amp;ano_int=2001&amp;qtd_acesso=1987117&amp;novoportal=1" TargetMode="External"/><Relationship Id="rId14" Type="http://schemas.openxmlformats.org/officeDocument/2006/relationships/hyperlink" Target="http://ext02.tst.jus.br/pls/ap01/ap_red100.resumo?num_int=67387&amp;ano_int=2011&amp;qtd_acesso=1601589&amp;novoportal=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1BFE-A39E-4785-9D53-51DE0287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2617</Words>
  <Characters>14138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16722</CharactersWithSpaces>
  <SharedDoc>false</SharedDoc>
  <HLinks>
    <vt:vector size="48" baseType="variant">
      <vt:variant>
        <vt:i4>3735615</vt:i4>
      </vt:variant>
      <vt:variant>
        <vt:i4>21</vt:i4>
      </vt:variant>
      <vt:variant>
        <vt:i4>0</vt:i4>
      </vt:variant>
      <vt:variant>
        <vt:i4>5</vt:i4>
      </vt:variant>
      <vt:variant>
        <vt:lpwstr>http://ext02.tst.jus.br/pls/ap01/ap_red100.resumo?num_int=108072&amp;ano_int=2011&amp;qtd_acesso=1914081&amp;novoportal=1</vt:lpwstr>
      </vt:variant>
      <vt:variant>
        <vt:lpwstr/>
      </vt:variant>
      <vt:variant>
        <vt:i4>6553700</vt:i4>
      </vt:variant>
      <vt:variant>
        <vt:i4>18</vt:i4>
      </vt:variant>
      <vt:variant>
        <vt:i4>0</vt:i4>
      </vt:variant>
      <vt:variant>
        <vt:i4>5</vt:i4>
      </vt:variant>
      <vt:variant>
        <vt:lpwstr>http://ext02.tst.jus.br/pls/ap01/ap_red100.resumo?num_int=67387&amp;ano_int=2011&amp;qtd_acesso=1601589&amp;novoportal=1</vt:lpwstr>
      </vt:variant>
      <vt:variant>
        <vt:lpwstr/>
      </vt:variant>
      <vt:variant>
        <vt:i4>3801144</vt:i4>
      </vt:variant>
      <vt:variant>
        <vt:i4>15</vt:i4>
      </vt:variant>
      <vt:variant>
        <vt:i4>0</vt:i4>
      </vt:variant>
      <vt:variant>
        <vt:i4>5</vt:i4>
      </vt:variant>
      <vt:variant>
        <vt:lpwstr>http://ext02.tst.jus.br/pls/ap01/ap_red100.resumo?num_int=232429&amp;ano_int=2010&amp;qtd_acesso=3582085&amp;novoportal=1</vt:lpwstr>
      </vt:variant>
      <vt:variant>
        <vt:lpwstr/>
      </vt:variant>
      <vt:variant>
        <vt:i4>3997745</vt:i4>
      </vt:variant>
      <vt:variant>
        <vt:i4>12</vt:i4>
      </vt:variant>
      <vt:variant>
        <vt:i4>0</vt:i4>
      </vt:variant>
      <vt:variant>
        <vt:i4>5</vt:i4>
      </vt:variant>
      <vt:variant>
        <vt:lpwstr>http://ext02.tst.jus.br/pls/ap01/ap_red100.resumo?num_int=136412&amp;ano_int=2004&amp;qtd_acesso=2254105&amp;novoportal=1</vt:lpwstr>
      </vt:variant>
      <vt:variant>
        <vt:lpwstr/>
      </vt:variant>
      <vt:variant>
        <vt:i4>2359334</vt:i4>
      </vt:variant>
      <vt:variant>
        <vt:i4>9</vt:i4>
      </vt:variant>
      <vt:variant>
        <vt:i4>0</vt:i4>
      </vt:variant>
      <vt:variant>
        <vt:i4>5</vt:i4>
      </vt:variant>
      <vt:variant>
        <vt:lpwstr>http://ext02.tst.jus.br/pls/ap01/ap_red100.resumo?num_int=789605&amp;ano_int=2009&amp;qtd_acesso=10268189&amp;novoportal=</vt:lpwstr>
      </vt:variant>
      <vt:variant>
        <vt:lpwstr/>
      </vt:variant>
      <vt:variant>
        <vt:i4>6619238</vt:i4>
      </vt:variant>
      <vt:variant>
        <vt:i4>6</vt:i4>
      </vt:variant>
      <vt:variant>
        <vt:i4>0</vt:i4>
      </vt:variant>
      <vt:variant>
        <vt:i4>5</vt:i4>
      </vt:variant>
      <vt:variant>
        <vt:lpwstr>http://ext02.tst.jus.br/pls/ap01/ap_red100.resumo?num_int=50881&amp;ano_int=2007&amp;qtd_acesso=1403485&amp;novoportal=1</vt:lpwstr>
      </vt:variant>
      <vt:variant>
        <vt:lpwstr/>
      </vt:variant>
      <vt:variant>
        <vt:i4>6291560</vt:i4>
      </vt:variant>
      <vt:variant>
        <vt:i4>3</vt:i4>
      </vt:variant>
      <vt:variant>
        <vt:i4>0</vt:i4>
      </vt:variant>
      <vt:variant>
        <vt:i4>5</vt:i4>
      </vt:variant>
      <vt:variant>
        <vt:lpwstr>http://ext02.tst.jus.br/pls/ap01/ap_red100.resumo?num_int=99521&amp;ano_int=2001&amp;qtd_acesso=1987117&amp;novoportal=1</vt:lpwstr>
      </vt:variant>
      <vt:variant>
        <vt:lpwstr/>
      </vt:variant>
      <vt:variant>
        <vt:i4>3997746</vt:i4>
      </vt:variant>
      <vt:variant>
        <vt:i4>0</vt:i4>
      </vt:variant>
      <vt:variant>
        <vt:i4>0</vt:i4>
      </vt:variant>
      <vt:variant>
        <vt:i4>5</vt:i4>
      </vt:variant>
      <vt:variant>
        <vt:lpwstr>http://ext02.tst.jus.br/pls/ap01/ap_red100.resumo?num_int=111205&amp;ano_int=2011&amp;qtd_acesso=2127405&amp;novoportal=1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2012-04-18T20:52:00Z</cp:lastPrinted>
  <dcterms:created xsi:type="dcterms:W3CDTF">2018-06-27T22:31:00Z</dcterms:created>
  <dcterms:modified xsi:type="dcterms:W3CDTF">2018-06-27T22:31:00Z</dcterms:modified>
</cp:coreProperties>
</file>