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631F1C" w:rsidRPr="009939E9" w:rsidRDefault="00631F1C" w:rsidP="00631F1C">
      <w:pPr>
        <w:pStyle w:val="Corp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10"/>
          <w:szCs w:val="1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5D1DE4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10"/>
          <w:szCs w:val="10"/>
          <w:lang w:val="pt-BR"/>
        </w:rPr>
      </w:pPr>
    </w:p>
    <w:p w:rsidR="009939E9" w:rsidRPr="002A4578" w:rsidRDefault="009939E9" w:rsidP="009939E9">
      <w:pPr>
        <w:pStyle w:val="Default"/>
        <w:jc w:val="both"/>
        <w:rPr>
          <w:b/>
          <w:i/>
          <w:color w:val="auto"/>
        </w:rPr>
      </w:pPr>
      <w:r w:rsidRPr="002A4578">
        <w:rPr>
          <w:b/>
          <w:i/>
          <w:color w:val="auto"/>
        </w:rPr>
        <w:t>Dissídio coletivo. Natureza econômica. Arguição de inexistência de comum acordo. Ministério P</w:t>
      </w:r>
      <w:r>
        <w:rPr>
          <w:b/>
          <w:i/>
          <w:color w:val="auto"/>
        </w:rPr>
        <w:t>úblico do Trabalho. Legitimidade e interesse</w:t>
      </w:r>
      <w:r w:rsidRPr="002A4578">
        <w:rPr>
          <w:b/>
          <w:i/>
          <w:color w:val="auto"/>
        </w:rPr>
        <w:t xml:space="preserve">. </w:t>
      </w:r>
    </w:p>
    <w:p w:rsidR="009939E9" w:rsidRPr="006125A6" w:rsidRDefault="009939E9" w:rsidP="009939E9">
      <w:pPr>
        <w:jc w:val="both"/>
        <w:rPr>
          <w:rFonts w:eastAsia="Calibri"/>
          <w:u w:val="single"/>
        </w:rPr>
      </w:pPr>
      <w:r w:rsidRPr="002A4578">
        <w:rPr>
          <w:rFonts w:eastAsia="Calibri"/>
          <w:sz w:val="24"/>
          <w:szCs w:val="24"/>
        </w:rPr>
        <w:t xml:space="preserve">O Ministério Público tem legitimidade </w:t>
      </w:r>
      <w:r>
        <w:rPr>
          <w:rFonts w:eastAsia="Calibri"/>
          <w:sz w:val="24"/>
          <w:szCs w:val="24"/>
        </w:rPr>
        <w:t xml:space="preserve">e interesse </w:t>
      </w:r>
      <w:r w:rsidRPr="002A4578">
        <w:rPr>
          <w:rFonts w:eastAsia="Calibri"/>
          <w:sz w:val="24"/>
          <w:szCs w:val="24"/>
        </w:rPr>
        <w:t>para</w:t>
      </w:r>
      <w:r>
        <w:rPr>
          <w:rFonts w:eastAsia="Calibri"/>
          <w:sz w:val="24"/>
          <w:szCs w:val="24"/>
        </w:rPr>
        <w:t>, em sede de recurso ordinário,</w:t>
      </w:r>
      <w:r w:rsidRPr="002A4578">
        <w:rPr>
          <w:rFonts w:eastAsia="Calibri"/>
          <w:sz w:val="24"/>
          <w:szCs w:val="24"/>
        </w:rPr>
        <w:t xml:space="preserve"> argui</w:t>
      </w:r>
      <w:r>
        <w:rPr>
          <w:rFonts w:eastAsia="Calibri"/>
          <w:sz w:val="24"/>
          <w:szCs w:val="24"/>
        </w:rPr>
        <w:t>r a</w:t>
      </w:r>
      <w:r w:rsidRPr="002A4578">
        <w:rPr>
          <w:rFonts w:eastAsia="Calibri"/>
          <w:sz w:val="24"/>
          <w:szCs w:val="24"/>
        </w:rPr>
        <w:t xml:space="preserve"> inexistência de comum acordo para ajuizamento de dissídio coletivo de natureza econômica</w:t>
      </w:r>
      <w:r>
        <w:rPr>
          <w:rFonts w:eastAsia="Calibri"/>
          <w:sz w:val="24"/>
          <w:szCs w:val="24"/>
        </w:rPr>
        <w:t>,</w:t>
      </w:r>
      <w:r w:rsidRPr="002A457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previsto no art.</w:t>
      </w:r>
      <w:r w:rsidRPr="002A4578">
        <w:rPr>
          <w:rFonts w:eastAsia="Calibri"/>
          <w:sz w:val="24"/>
          <w:szCs w:val="24"/>
        </w:rPr>
        <w:t xml:space="preserve"> 114, § 2º, da CF, com a redação conferida pela Emenda Constitucional nº 45/2004.</w:t>
      </w:r>
      <w:r>
        <w:rPr>
          <w:rFonts w:eastAsia="Calibri"/>
          <w:sz w:val="24"/>
          <w:szCs w:val="24"/>
        </w:rPr>
        <w:t xml:space="preserve"> Seja enquanto parte, seja na condição de fiscal da lei, a Constituição Federal, em seus arts. 127 e 129, atribuiu ao “Parquet” a defesa</w:t>
      </w:r>
      <w:r w:rsidRPr="002A457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da ordem jurídica, do Estado Democrático de Direito e dos interesses sociais e individuais indisponíveis. Ademais, nos termos do art. 83, VI, da Lei Complementar nº 75/93, compete ao MPT “recorrer das decisões da Justiça do Trabalho, quando entender necessário (...)”. </w:t>
      </w:r>
      <w:r w:rsidRPr="002A4578">
        <w:rPr>
          <w:rFonts w:eastAsia="Calibri"/>
          <w:sz w:val="24"/>
          <w:szCs w:val="24"/>
        </w:rPr>
        <w:t>Com esse</w:t>
      </w:r>
      <w:r>
        <w:rPr>
          <w:rFonts w:eastAsia="Calibri"/>
          <w:sz w:val="24"/>
          <w:szCs w:val="24"/>
        </w:rPr>
        <w:t>s fundamentos,</w:t>
      </w:r>
      <w:r w:rsidRPr="002A4578">
        <w:rPr>
          <w:rFonts w:eastAsia="Calibri"/>
          <w:sz w:val="24"/>
          <w:szCs w:val="24"/>
        </w:rPr>
        <w:t xml:space="preserve"> a SDC, </w:t>
      </w:r>
      <w:r>
        <w:rPr>
          <w:rFonts w:eastAsia="Calibri"/>
          <w:sz w:val="24"/>
          <w:szCs w:val="24"/>
        </w:rPr>
        <w:t>revendo o posicionamento adotado no processo nº TST-RO-</w:t>
      </w:r>
      <w:r w:rsidRPr="002A4578">
        <w:rPr>
          <w:rFonts w:eastAsia="Calibri"/>
          <w:sz w:val="24"/>
          <w:szCs w:val="24"/>
        </w:rPr>
        <w:t>382-19.2011.5.24.0000</w:t>
      </w:r>
      <w:r>
        <w:rPr>
          <w:rFonts w:eastAsia="Calibri"/>
          <w:sz w:val="24"/>
          <w:szCs w:val="24"/>
        </w:rPr>
        <w:t xml:space="preserve">, julgado em 19.2.2013, conheceu, por maioria, do recurso ordinário do Ministério Público do Trabalho, vencidos os Ministros Márcio Eurico Vitral Amaro e Walmir Oliveira da Costa. </w:t>
      </w:r>
      <w:hyperlink r:id="rId8" w:history="1">
        <w:r w:rsidRPr="009A37E5">
          <w:rPr>
            <w:rStyle w:val="Hyperlink"/>
            <w:rFonts w:eastAsia="Calibri"/>
            <w:sz w:val="24"/>
            <w:szCs w:val="24"/>
          </w:rPr>
          <w:t>TST-RO-394-33.2011.5.24.0000</w:t>
        </w:r>
      </w:hyperlink>
      <w:r w:rsidRPr="002A4578">
        <w:rPr>
          <w:rFonts w:eastAsia="Calibri"/>
          <w:sz w:val="24"/>
          <w:szCs w:val="24"/>
          <w:u w:val="single"/>
        </w:rPr>
        <w:t>, SDC, rel. Min. Maurício Godinho Delgado, 11.3.2013</w:t>
      </w:r>
      <w:r w:rsidRPr="006125A6">
        <w:rPr>
          <w:rFonts w:eastAsia="Calibri"/>
          <w:sz w:val="24"/>
          <w:szCs w:val="24"/>
        </w:rPr>
        <w:t xml:space="preserve"> </w:t>
      </w:r>
      <w:r w:rsidRPr="006125A6">
        <w:rPr>
          <w:rFonts w:eastAsia="Calibri"/>
        </w:rPr>
        <w:t>(*No mesmo sentido e julgado</w:t>
      </w:r>
      <w:r>
        <w:rPr>
          <w:rFonts w:eastAsia="Calibri"/>
        </w:rPr>
        <w:t>s na mesma sessão,</w:t>
      </w:r>
      <w:r w:rsidRPr="006125A6">
        <w:rPr>
          <w:rFonts w:eastAsia="Calibri"/>
        </w:rPr>
        <w:t xml:space="preserve"> TST-RO-394-33.2011.5.24.0000</w:t>
      </w:r>
      <w:r>
        <w:rPr>
          <w:rFonts w:eastAsia="Calibri"/>
        </w:rPr>
        <w:t xml:space="preserve"> e TST-RO-383-04.2011.5.24.0000</w:t>
      </w:r>
      <w:r w:rsidRPr="006125A6">
        <w:rPr>
          <w:rFonts w:eastAsia="Calibri"/>
        </w:rPr>
        <w:t>)</w:t>
      </w:r>
    </w:p>
    <w:p w:rsidR="009939E9" w:rsidRPr="009A37E5" w:rsidRDefault="009939E9" w:rsidP="009939E9">
      <w:pPr>
        <w:ind w:right="-1"/>
        <w:jc w:val="both"/>
        <w:rPr>
          <w:b/>
          <w:i/>
        </w:rPr>
      </w:pPr>
    </w:p>
    <w:p w:rsidR="009939E9" w:rsidRDefault="009939E9" w:rsidP="009939E9">
      <w:pPr>
        <w:ind w:right="-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declaratória. Inexigibilidade de cláusula de norma coletiva de trabalho. Discussão acerca da legitimidade de entidade sindical. Competência funcional da Vara do Trabalho.</w:t>
      </w:r>
    </w:p>
    <w:p w:rsidR="009939E9" w:rsidRDefault="009939E9" w:rsidP="009939E9">
      <w:pPr>
        <w:pStyle w:val="Transcrio"/>
        <w:spacing w:line="240" w:lineRule="auto"/>
        <w:ind w:left="0" w:firstLine="0"/>
        <w:rPr>
          <w:lang w:val="pt-BR"/>
        </w:rPr>
      </w:pPr>
      <w:r w:rsidRPr="009939E9">
        <w:rPr>
          <w:color w:val="auto"/>
          <w:lang w:val="pt-BR"/>
        </w:rPr>
        <w:t xml:space="preserve">Na hipótese em que o interesse dos autores não diz respeito à declaração de nulidade de convenção coletiva de trabalho, mas à inaplicabilidade do instrumento coletivo em razão da ilegitimidade do Sindicato do Comércio Varejista de Gêneros Alimentícios da Cidade do Salvador para representar os supermercados e atacados de autosserviço no Estado da Bahia, em face de cisão operada na categoria econômica, compete à Vara do Trabalho, e não ao TRT, processar e julgar ação declaratória de inexigibilidade do cumprimento das obrigações contraídas em convenção coletiva de trabalho. Com esse entendimento, a SDC, por maioria, deu provimento ao recurso ordinário para, declarando a incompetência do TRT da 5ª Região, </w:t>
      </w:r>
      <w:r>
        <w:rPr>
          <w:color w:val="auto"/>
          <w:lang w:val="pt-BR"/>
        </w:rPr>
        <w:t xml:space="preserve">na forma do art. 795, § 2º, da CLT, decretar a nulidade dos atos processuais e determinar o retorno dos autos à Vara de Trabalho de origem, para que prossiga no exame da lide, como entender de direito. Vencida a Ministra Maria de Assis Calsing, relatora. </w:t>
      </w:r>
      <w:hyperlink r:id="rId9" w:history="1">
        <w:r w:rsidRPr="009A37E5">
          <w:rPr>
            <w:rStyle w:val="Hyperlink"/>
            <w:lang w:val="pt-BR"/>
          </w:rPr>
          <w:t>TST-RO-997-71.2010.5.05.0000</w:t>
        </w:r>
      </w:hyperlink>
      <w:r w:rsidRPr="009A37E5">
        <w:rPr>
          <w:u w:val="single"/>
          <w:lang w:val="pt-BR"/>
        </w:rPr>
        <w:t>,</w:t>
      </w:r>
      <w:r w:rsidRPr="007D4EA4">
        <w:rPr>
          <w:u w:val="single"/>
          <w:lang w:val="pt-BR"/>
        </w:rPr>
        <w:t xml:space="preserve"> SDC, rel. Ministra Maria </w:t>
      </w:r>
      <w:r>
        <w:rPr>
          <w:u w:val="single"/>
          <w:lang w:val="pt-BR"/>
        </w:rPr>
        <w:t>de Assis Calsing</w:t>
      </w:r>
      <w:r w:rsidRPr="007D4EA4">
        <w:rPr>
          <w:u w:val="single"/>
          <w:lang w:val="pt-BR"/>
        </w:rPr>
        <w:t xml:space="preserve">, red. p/ acórdão Min. </w:t>
      </w:r>
      <w:r>
        <w:rPr>
          <w:u w:val="single"/>
          <w:lang w:val="pt-BR"/>
        </w:rPr>
        <w:t>Walmir Oliveira da Costa</w:t>
      </w:r>
      <w:r w:rsidRPr="007D4EA4">
        <w:rPr>
          <w:u w:val="single"/>
          <w:lang w:val="pt-BR"/>
        </w:rPr>
        <w:t xml:space="preserve">, </w:t>
      </w:r>
      <w:r>
        <w:rPr>
          <w:u w:val="single"/>
          <w:lang w:val="pt-BR"/>
        </w:rPr>
        <w:t>11</w:t>
      </w:r>
      <w:r w:rsidRPr="007D4EA4">
        <w:rPr>
          <w:u w:val="single"/>
          <w:lang w:val="pt-BR"/>
        </w:rPr>
        <w:t>.</w:t>
      </w:r>
      <w:r>
        <w:rPr>
          <w:u w:val="single"/>
          <w:lang w:val="pt-BR"/>
        </w:rPr>
        <w:t>3</w:t>
      </w:r>
      <w:r w:rsidRPr="007D4EA4">
        <w:rPr>
          <w:u w:val="single"/>
          <w:lang w:val="pt-BR"/>
        </w:rPr>
        <w:t>.201</w:t>
      </w:r>
      <w:r>
        <w:rPr>
          <w:u w:val="single"/>
          <w:lang w:val="pt-BR"/>
        </w:rPr>
        <w:t>3</w:t>
      </w:r>
    </w:p>
    <w:p w:rsidR="00C71A3B" w:rsidRPr="009A37E5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9A37E5" w:rsidRPr="009974E3" w:rsidRDefault="009A37E5" w:rsidP="009A37E5">
      <w:pPr>
        <w:pStyle w:val="Ementa"/>
        <w:ind w:left="0"/>
        <w:rPr>
          <w:rFonts w:ascii="Times New Roman" w:hAnsi="Times New Roman" w:cs="Times New Roman"/>
          <w:b/>
          <w:i/>
          <w:color w:val="auto"/>
          <w:szCs w:val="20"/>
        </w:rPr>
      </w:pPr>
      <w:r w:rsidRPr="009A37E5">
        <w:rPr>
          <w:rFonts w:ascii="Times New Roman" w:hAnsi="Times New Roman" w:cs="Times New Roman"/>
          <w:b/>
          <w:i/>
          <w:color w:val="auto"/>
          <w:szCs w:val="20"/>
          <w:lang w:val="pt-BR"/>
        </w:rPr>
        <w:t xml:space="preserve">Doença ocupacional. Inversão do ônus da prova. Presunção de culpa do empregador. </w:t>
      </w:r>
      <w:r>
        <w:rPr>
          <w:rFonts w:ascii="Times New Roman" w:hAnsi="Times New Roman" w:cs="Times New Roman"/>
          <w:b/>
          <w:i/>
          <w:color w:val="auto"/>
          <w:szCs w:val="20"/>
        </w:rPr>
        <w:t xml:space="preserve">Indenização por danos morais. Devida. </w:t>
      </w:r>
    </w:p>
    <w:p w:rsidR="009A37E5" w:rsidRPr="009A37E5" w:rsidRDefault="009A37E5" w:rsidP="009A37E5">
      <w:pPr>
        <w:pStyle w:val="Ementa"/>
        <w:ind w:left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9A37E5">
        <w:rPr>
          <w:rFonts w:ascii="Times New Roman" w:eastAsia="Calibri" w:hAnsi="Times New Roman" w:cs="Times New Roman"/>
          <w:color w:val="auto"/>
          <w:lang w:val="pt-BR" w:eastAsia="en-US"/>
        </w:rPr>
        <w:t xml:space="preserve">A SBDI-I, por unanimidade, conheceu de embargos, por divergência jurisprudencial e, no mérito, por maioria, negou-lhes provimento, mantendo, ainda que por fundamento diverso, a condenação de empresa do ramo de consultoria em tecnologia da informação ao pagamento de indenização por danos morais à digitadora que fora acometida de doença osteomuscular decorrente de posições forçadas e movimentos repetitivos durante a jornada de trabalho. Na hipótese, a Turma não conheceu do recurso de revista, mantendo decisão do TRT que, tipificando as atribuições da reclamante como atividade de risco, aplicou a teoria da responsabilidade objetiva. Prevaleceu, </w:t>
      </w:r>
      <w:r w:rsidRPr="009A37E5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porém, o entendimento de que, tratando-se de doença ocupacional, há uma inversão do ônus da prova, presumindo-se, portanto, a culpa do empregador pelos danos causados à saúde da trabalhadora. Vencidos os Ministros Ives Gandra Martins Filho, relator, e Brito Pereira, que davam provimento ao recurso para julgar improcedente o pedido de indenização, uma vez que a função de digitadora não pode ser considerada de risco, e não houve demonstração de culpa apta a caracterizar a responsabilidade subjetiva do reclamado; e os Ministros João Oreste Dalazen e Dora Maria da Costa, que davam provimento aos embargos para fixar a premissa da responsabilidade subjetiva e determinar a baixa dos autos ao Tribunal de origem para que nova decisão fosse proferida. Ressalvaram fundamentação o Ministro Augusto César Leite de Carvalho, que negava provimento aos embargos por entender ser hipótese de aplicação da teoria da responsabilidade objetiva, visto que a NR 17 indica os serviços de entrada de dados como atividade de risco, amoldando-se, portanto, ao art. 927, parágrafo único, do Código Civil; e os Ministros Barros Levenhagen, Luiz Philippe Vieira de Mello Filho e Lelio Bentes Corrêa, que entendiam ser incontroversa a culpa da reclamada, pois, adquirida a doença profissional, resta patente a omissão da empresa ao não adotar medidas preventivas.   </w:t>
      </w:r>
      <w:hyperlink r:id="rId10" w:history="1">
        <w:r w:rsidRPr="009A37E5">
          <w:rPr>
            <w:rStyle w:val="Hyperlink"/>
            <w:rFonts w:ascii="Times New Roman" w:eastAsia="Calibri" w:hAnsi="Times New Roman"/>
            <w:lang w:val="pt-BR" w:eastAsia="en-US"/>
          </w:rPr>
          <w:t>TST-E-RR-80500-83.2007.5.04.0030</w:t>
        </w:r>
      </w:hyperlink>
      <w:r w:rsidRPr="009A37E5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Ives Gandra da Silva Martins Filho, red. p/ o acórdão Min. Renato de Lacerda Paiva, 7.3.2013</w:t>
      </w:r>
      <w:r w:rsidRPr="009A37E5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</w:p>
    <w:p w:rsidR="009A37E5" w:rsidRPr="009A37E5" w:rsidRDefault="009A37E5" w:rsidP="009939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val="pt-BR" w:eastAsia="en-US"/>
        </w:rPr>
      </w:pPr>
    </w:p>
    <w:p w:rsidR="009939E9" w:rsidRPr="00A61182" w:rsidRDefault="009939E9" w:rsidP="009939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L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impeza e coleta de lixo em banheiro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s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de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hotel e do respectivo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centro de eventos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. G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rande fluxo de pessoas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. Adicional de insalubridade. Devido.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Inaplicabilidade da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O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r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ientação Jurisprudencial nº 4, II</w:t>
      </w:r>
      <w:r w:rsidRPr="00A61182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, da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SBDI-I.</w:t>
      </w:r>
    </w:p>
    <w:p w:rsidR="009939E9" w:rsidRDefault="009939E9" w:rsidP="009939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O a</w:t>
      </w:r>
      <w:r w:rsidRPr="00840070">
        <w:rPr>
          <w:rFonts w:ascii="Times New Roman" w:eastAsia="Calibri" w:hAnsi="Times New Roman" w:cs="Times New Roman"/>
          <w:color w:val="auto"/>
          <w:lang w:val="pt-BR" w:eastAsia="en-US"/>
        </w:rPr>
        <w:t>dicional de insalubridade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é devido</w:t>
      </w:r>
      <w:r w:rsidRPr="00840070">
        <w:rPr>
          <w:rFonts w:ascii="Times New Roman" w:eastAsia="Calibri" w:hAnsi="Times New Roman" w:cs="Times New Roman"/>
          <w:color w:val="auto"/>
          <w:lang w:val="pt-BR" w:eastAsia="en-US"/>
        </w:rPr>
        <w:t xml:space="preserve"> na hipótese em que a prova pericial constatou a existência de contato com agente insalubre pela reclamante, que recolhia o lixo e limpava os banheiros de hotel e do respectivo centro de eventos (que possuía seis banheiros masculinos e seis femininos), locais de intensa circulação de pessoas.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No caso, entendeu-se inaplicável a </w:t>
      </w:r>
      <w:r w:rsidRPr="004F0BAC">
        <w:rPr>
          <w:rFonts w:ascii="Times New Roman" w:eastAsia="Calibri" w:hAnsi="Times New Roman" w:cs="Times New Roman"/>
          <w:color w:val="auto"/>
          <w:lang w:val="pt-BR" w:eastAsia="en-US"/>
        </w:rPr>
        <w:t>Orientação Jurisprudencial nº 4, II, da SBDI-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4F0BAC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pois 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>trata da limpeza em residências e escritórios,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envolvendo, portanto, o manuseio de lixo doméstico e não urbano, a que se refere o Anexo 14 da NR 15 da Portaria nº 3.214/78 do MTE.</w:t>
      </w:r>
      <w:r w:rsidRPr="00B500ED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Com esse entendimento, a SBDI-I, 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 xml:space="preserve">por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maioria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vencido o Ministro Ives Gandra Martins Filho,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 xml:space="preserve"> conhece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 xml:space="preserve"> do recurso de embargos por contrariedade à Orientação Jurisprudencial nº 4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II, 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>da SBDI-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>, e, no mérito,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eu</w:t>
      </w:r>
      <w:r w:rsidRPr="00B52500">
        <w:rPr>
          <w:rFonts w:ascii="Times New Roman" w:eastAsia="Calibri" w:hAnsi="Times New Roman" w:cs="Times New Roman"/>
          <w:color w:val="auto"/>
          <w:lang w:val="pt-BR" w:eastAsia="en-US"/>
        </w:rPr>
        <w:t>-lhe provimento para restabelecer a sentença que condenou a reclamada ao pagamento de adicional de insalubridade e reflexos.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11" w:history="1">
        <w:r w:rsidRPr="00CD37B2">
          <w:rPr>
            <w:rStyle w:val="Hyperlink"/>
            <w:rFonts w:ascii="Times New Roman" w:eastAsia="Calibri" w:hAnsi="Times New Roman"/>
            <w:lang w:val="pt-BR" w:eastAsia="en-US"/>
          </w:rPr>
          <w:t>TST-E-ARR-746-94.2010.5.04.0351</w:t>
        </w:r>
      </w:hyperlink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I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rel. Min.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Renato de Lacerda Paiva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7.3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.201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3</w:t>
      </w:r>
    </w:p>
    <w:p w:rsidR="009939E9" w:rsidRPr="009A37E5" w:rsidRDefault="009939E9" w:rsidP="009939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val="pt-BR" w:eastAsia="en-US"/>
        </w:rPr>
      </w:pPr>
    </w:p>
    <w:p w:rsidR="009939E9" w:rsidRDefault="009939E9" w:rsidP="009939E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Radialista. Enquadramento. Lei nº 6.615/78. Registro. Ausência. Princípio da primazia da realidade.</w:t>
      </w:r>
      <w:r w:rsidRPr="003D032E">
        <w:rPr>
          <w:b/>
          <w:i/>
          <w:sz w:val="24"/>
          <w:szCs w:val="24"/>
        </w:rPr>
        <w:t xml:space="preserve"> </w:t>
      </w:r>
    </w:p>
    <w:p w:rsidR="009939E9" w:rsidRDefault="009939E9" w:rsidP="009939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ausência de registro perante a Delegacia Regional do Trabalho não é óbice para o enquadramento do empregado na condição de radialista, desde que preenchidos os requisitos essenciais previsto na Lei nº 6.615/78, quais sejam, a prestação de serviço à empresa equiparada à de radiodifusão (art. 3º) e o exercício de uma das funções em que se desdobram as atividades mencionadas no art. 4º da referida lei. No caso, prevaleceu a tese de que a inobservância de exigência meramente formal não afasta o enquadramento pretendido, em atenção ao princípio da primazia da realidade e à não recepção da norma limitativa da liberdade de expressão pela Constituição Federal de 1988, na esteira da jurisprudência do STF quanto à exigência de diploma de jornalista. Assim, a SBDI-I, por unanimidade, no tópico, conheceu dos embargos do reclamante, por divergência jurisprudencial e, no mérito, deu-lhes provimento para restabelecer a decisão do Regional, que enquadrou o empregado como radialista. </w:t>
      </w:r>
      <w:hyperlink r:id="rId12" w:history="1">
        <w:r w:rsidRPr="00CD37B2">
          <w:rPr>
            <w:rStyle w:val="Hyperlink"/>
            <w:sz w:val="24"/>
            <w:szCs w:val="24"/>
          </w:rPr>
          <w:t>TST-E-ED-RR-2983500-63.1998.5.09.0012</w:t>
        </w:r>
      </w:hyperlink>
      <w:r w:rsidRPr="001E65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1E650A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José Roberto Freire Pimenta</w:t>
      </w:r>
      <w:r w:rsidRPr="001E65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7</w:t>
      </w:r>
      <w:r w:rsidRPr="001E650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3</w:t>
      </w:r>
      <w:r w:rsidRPr="001E650A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3</w:t>
      </w:r>
    </w:p>
    <w:p w:rsidR="009939E9" w:rsidRPr="009A37E5" w:rsidRDefault="009939E9" w:rsidP="009939E9">
      <w:pPr>
        <w:jc w:val="both"/>
        <w:rPr>
          <w:u w:val="single"/>
        </w:rPr>
      </w:pPr>
    </w:p>
    <w:p w:rsidR="009939E9" w:rsidRPr="00FD21C4" w:rsidRDefault="009939E9" w:rsidP="009939E9">
      <w:pPr>
        <w:pStyle w:val="Ttulo5"/>
        <w:rPr>
          <w:b/>
          <w:i/>
          <w:sz w:val="24"/>
          <w:u w:val="none"/>
        </w:rPr>
      </w:pPr>
      <w:r w:rsidRPr="00FD21C4">
        <w:rPr>
          <w:b/>
          <w:i/>
          <w:sz w:val="24"/>
          <w:u w:val="none"/>
        </w:rPr>
        <w:t xml:space="preserve">Divergência jurisprudencial. Comprovação. </w:t>
      </w:r>
      <w:r>
        <w:rPr>
          <w:b/>
          <w:i/>
          <w:sz w:val="24"/>
          <w:u w:val="none"/>
        </w:rPr>
        <w:t xml:space="preserve">Indicação do endereço URL. Recurso interposto na vigência da antiga redação da </w:t>
      </w:r>
      <w:r w:rsidRPr="00FD21C4">
        <w:rPr>
          <w:b/>
          <w:i/>
          <w:sz w:val="24"/>
          <w:u w:val="none"/>
        </w:rPr>
        <w:t>Súmula n.º 337 do TST</w:t>
      </w:r>
      <w:r>
        <w:rPr>
          <w:b/>
          <w:i/>
          <w:sz w:val="24"/>
          <w:u w:val="none"/>
        </w:rPr>
        <w:t>. Validade.</w:t>
      </w:r>
    </w:p>
    <w:p w:rsidR="009939E9" w:rsidRPr="002826D0" w:rsidRDefault="009939E9" w:rsidP="009939E9">
      <w:pPr>
        <w:jc w:val="both"/>
        <w:rPr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Reputa-se válida a indicação do endereço denominado “Universal Resource Locator – URL” de aresto paradigma extraído da internet para o fim de comprovação da divergência justificadora do conhecimento dos embargos, na hipótese em que o recurso foi interposto na vigência da antiga redação do item IV da Súmula nº 337 do TST, alterada em 14/9/2012 pelo Tribunal Pleno para </w:t>
      </w:r>
      <w:r>
        <w:rPr>
          <w:sz w:val="24"/>
          <w:szCs w:val="24"/>
        </w:rPr>
        <w:lastRenderedPageBreak/>
        <w:t>exigir a indicação d</w:t>
      </w:r>
      <w:r w:rsidRPr="00C47022">
        <w:rPr>
          <w:sz w:val="24"/>
          <w:szCs w:val="24"/>
        </w:rPr>
        <w:t>o número do processo,</w:t>
      </w:r>
      <w:r>
        <w:rPr>
          <w:sz w:val="24"/>
          <w:szCs w:val="24"/>
        </w:rPr>
        <w:t xml:space="preserve"> </w:t>
      </w:r>
      <w:r w:rsidRPr="00C47022">
        <w:rPr>
          <w:sz w:val="24"/>
          <w:szCs w:val="24"/>
        </w:rPr>
        <w:t>o órgão prolator do acórdão e a data da respectiva publicação no D</w:t>
      </w:r>
      <w:r>
        <w:rPr>
          <w:sz w:val="24"/>
          <w:szCs w:val="24"/>
        </w:rPr>
        <w:t xml:space="preserve">EJT, ao invés do URL.  Diante desse posicionamento firmado pela SBDI-I, decidiu o Ministro </w:t>
      </w:r>
      <w:r w:rsidRPr="00C47022">
        <w:rPr>
          <w:rStyle w:val="f11"/>
          <w:sz w:val="24"/>
          <w:szCs w:val="24"/>
        </w:rPr>
        <w:t>Aloysio Corrêa da Veiga</w:t>
      </w:r>
      <w:r>
        <w:rPr>
          <w:sz w:val="24"/>
          <w:szCs w:val="24"/>
        </w:rPr>
        <w:t xml:space="preserve">, relator, adiar o julgamento do feito. </w:t>
      </w:r>
      <w:hyperlink r:id="rId13" w:history="1">
        <w:r w:rsidRPr="00CD37B2">
          <w:rPr>
            <w:rStyle w:val="Hyperlink"/>
            <w:bCs/>
            <w:iCs/>
            <w:sz w:val="24"/>
            <w:szCs w:val="24"/>
          </w:rPr>
          <w:t>TST-E-RR-17200-11.2007.5.02.0061</w:t>
        </w:r>
      </w:hyperlink>
      <w:r w:rsidRPr="002826D0">
        <w:rPr>
          <w:bCs/>
          <w:iCs/>
          <w:sz w:val="24"/>
          <w:szCs w:val="24"/>
          <w:u w:val="single"/>
        </w:rPr>
        <w:t xml:space="preserve">, SBDI-I, rel. Min. </w:t>
      </w:r>
      <w:r w:rsidRPr="002826D0">
        <w:rPr>
          <w:rStyle w:val="f11"/>
          <w:sz w:val="24"/>
          <w:szCs w:val="24"/>
          <w:u w:val="single"/>
        </w:rPr>
        <w:t>Aloysio Corrêa da Veiga</w:t>
      </w:r>
      <w:r w:rsidRPr="002826D0">
        <w:rPr>
          <w:bCs/>
          <w:iCs/>
          <w:sz w:val="24"/>
          <w:szCs w:val="24"/>
          <w:u w:val="single"/>
        </w:rPr>
        <w:t>, 7.3.2013</w:t>
      </w:r>
    </w:p>
    <w:p w:rsidR="009939E9" w:rsidRDefault="009939E9" w:rsidP="009939E9">
      <w:pPr>
        <w:jc w:val="both"/>
        <w:rPr>
          <w:sz w:val="24"/>
          <w:szCs w:val="24"/>
        </w:rPr>
      </w:pPr>
    </w:p>
    <w:p w:rsidR="009939E9" w:rsidRPr="00840070" w:rsidRDefault="009939E9" w:rsidP="009939E9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C26DFB" w:rsidRDefault="00C26DFB">
      <w:pPr>
        <w:jc w:val="both"/>
        <w:rPr>
          <w:sz w:val="22"/>
          <w:szCs w:val="22"/>
          <w:u w:val="single"/>
        </w:rPr>
      </w:pPr>
    </w:p>
    <w:p w:rsidR="009939E9" w:rsidRPr="005D1DE4" w:rsidRDefault="009939E9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FE" w:rsidRDefault="002E28FE">
      <w:r>
        <w:separator/>
      </w:r>
    </w:p>
  </w:endnote>
  <w:endnote w:type="continuationSeparator" w:id="0">
    <w:p w:rsidR="002E28FE" w:rsidRDefault="002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3F4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03F4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FE" w:rsidRDefault="002E28FE">
      <w:r>
        <w:separator/>
      </w:r>
    </w:p>
  </w:footnote>
  <w:footnote w:type="continuationSeparator" w:id="0">
    <w:p w:rsidR="002E28FE" w:rsidRDefault="002E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D37B2">
      <w:rPr>
        <w:shadow/>
        <w:sz w:val="24"/>
        <w:szCs w:val="24"/>
      </w:rPr>
      <w:t>39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CD37B2">
      <w:rPr>
        <w:sz w:val="20"/>
        <w:szCs w:val="20"/>
      </w:rPr>
      <w:t>7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CD37B2">
      <w:rPr>
        <w:sz w:val="20"/>
        <w:szCs w:val="20"/>
      </w:rPr>
      <w:t>11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</w:t>
    </w:r>
    <w:r w:rsidR="006D4F7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9939E9">
      <w:rPr>
        <w:b/>
        <w:sz w:val="40"/>
        <w:szCs w:val="40"/>
      </w:rPr>
      <w:t>39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7</w:t>
    </w:r>
    <w:r w:rsidR="009939E9">
      <w:rPr>
        <w:i/>
        <w:iCs/>
      </w:rPr>
      <w:t xml:space="preserve"> a 11</w:t>
    </w:r>
    <w:r w:rsidR="00FE00AD" w:rsidRPr="005D1DE4">
      <w:rPr>
        <w:i/>
        <w:iCs/>
      </w:rPr>
      <w:t xml:space="preserve"> de março de 201</w:t>
    </w:r>
    <w:r w:rsidR="009939E9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28FE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03F4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D4F70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5BE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39E9"/>
    <w:rsid w:val="009943EC"/>
    <w:rsid w:val="009A32D5"/>
    <w:rsid w:val="009A37E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37B2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C738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11">
    <w:name w:val="f11"/>
    <w:rsid w:val="009939E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9939E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394&amp;digitoTst=33&amp;anoTst=2011&amp;orgaoTst=5&amp;tribunalTst=24&amp;varaTst=0000" TargetMode="External"/><Relationship Id="rId13" Type="http://schemas.openxmlformats.org/officeDocument/2006/relationships/hyperlink" Target="https://aplicacao5.tst.jus.br/consultaProcessual/consultaTstNumUnica.do?consulta=Consultar&amp;conscsjt=&amp;numeroTst=17200&amp;digitoTst=11&amp;anoTst=2007&amp;orgaoTst=5&amp;tribunalTst=02&amp;varaTst=00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2983500&amp;digitoTst=63&amp;anoTst=1998&amp;orgaoTst=5&amp;tribunalTst=09&amp;varaTst=00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746&amp;digitoTst=94&amp;anoTst=2010&amp;orgaoTst=5&amp;tribunalTst=04&amp;varaTst=03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ao5.tst.jus.br/consultaProcessual/resumoForm.do?consulta=1&amp;numeroInt=763442&amp;anoInt=2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997&amp;digitoTst=71&amp;anoTst=2010&amp;orgaoTst=5&amp;tribunalTst=05&amp;varaTst=00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6ED5-3FAD-4562-8BDC-02909E72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9802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https://aplicacao5.tst.jus.br/consultaProcessual/consultaTstNumUnica.do?consulta=Consultar&amp;conscsjt=&amp;numeroTst=17200&amp;digitoTst=11&amp;anoTst=2007&amp;orgaoTst=5&amp;tribunalTst=02&amp;varaTst=0061</vt:lpwstr>
      </vt:variant>
      <vt:variant>
        <vt:lpwstr/>
      </vt:variant>
      <vt:variant>
        <vt:i4>2490420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https://aplicacao5.tst.jus.br/consultaProcessual/consultaTstNumUnica.do?consulta=Consultar&amp;conscsjt=&amp;numeroTst=2983500&amp;digitoTst=63&amp;anoTst=1998&amp;orgaoTst=5&amp;tribunalTst=09&amp;varaTst=0012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https://aplicacao5.tst.jus.br/consultaProcessual/consultaTstNumUnica.do?consulta=Consultar&amp;conscsjt=&amp;numeroTst=746&amp;digitoTst=94&amp;anoTst=2010&amp;orgaoTst=5&amp;tribunalTst=04&amp;varaTst=0351</vt:lpwstr>
      </vt:variant>
      <vt:variant>
        <vt:lpwstr/>
      </vt:variant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https://aplicacao5.tst.jus.br/consultaProcessual/resumoForm.do?consulta=1&amp;numeroInt=763442&amp;anoInt=2009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https://aplicacao5.tst.jus.br/consultaProcessual/consultaTstNumUnica.do?consulta=Consultar&amp;conscsjt=&amp;numeroTst=997&amp;digitoTst=71&amp;anoTst=2010&amp;orgaoTst=5&amp;tribunalTst=05&amp;varaTst=0000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https://aplicacao5.tst.jus.br/consultaProcessual/consultaTstNumUnica.do?consulta=Consultar&amp;conscsjt=&amp;numeroTst=394&amp;digitoTst=33&amp;anoTst=2011&amp;orgaoTst=5&amp;tribunalTst=24&amp;varaTst=0000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2018-06-27T21:45:00Z</dcterms:created>
  <dcterms:modified xsi:type="dcterms:W3CDTF">2018-06-27T21:45:00Z</dcterms:modified>
</cp:coreProperties>
</file>