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1C68BC" w:rsidRPr="007C2BE5" w:rsidRDefault="001C68BC" w:rsidP="001C68BC">
      <w:pPr>
        <w:tabs>
          <w:tab w:val="left" w:pos="7005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Jornada mista. Trabalho prestado majoritariamente à noite. Adicional noturno. </w:t>
      </w:r>
      <w:r w:rsidRPr="007C2BE5">
        <w:rPr>
          <w:b/>
          <w:i/>
          <w:sz w:val="24"/>
          <w:szCs w:val="24"/>
        </w:rPr>
        <w:t>Súmula nº 60, II, do TST.</w:t>
      </w:r>
    </w:p>
    <w:p w:rsidR="001C68BC" w:rsidRDefault="001C68BC" w:rsidP="001C68B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 hipótese de jornada mista, iniciada pouco após às 22h, mas preponderantemente trabalhada à noite (das 23:10h às 07:10h do dia seguinte), é devido o adicional noturno quanto às horas que se seguem no período diurno, aplicando-se o entendimento da Súmula nº 60, II, do TST. Assim, a SBDI-I, por unanimidade, conheceu dos embargos por divergência jurisprudencial e, no mérito, negou-lhes provimento. No caso, ressaltou-se que a interpretação a ser dada ao item II da Súmula nº 60 do TST não pode estimular o empregador a adotar jornada que se inicia pouco depois das 22h com o propósito de desvirtuar o preceito. Ademais, a exegese do art. 73, §§ 3º e 4º, da CLT, à luz dos princípios da proteção ao trabalhador e da dignidade da pessoa humana, permite concluir que, para garantir a higidez física e mental do trabalhador, o adicional noturno deve incidir sobre o labor executado durante o dia em continuidade àquele majoritariamente prestado à noite. </w:t>
      </w:r>
      <w:hyperlink r:id="rId8" w:history="1">
        <w:r w:rsidRPr="00245FB9">
          <w:rPr>
            <w:rStyle w:val="Hyperlink"/>
            <w:sz w:val="24"/>
            <w:szCs w:val="24"/>
          </w:rPr>
          <w:t>TST-E-RR-154-04.2010.5.03.0149</w:t>
        </w:r>
      </w:hyperlink>
      <w:r w:rsidRPr="007A5BD9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7A5BD9">
        <w:rPr>
          <w:sz w:val="24"/>
          <w:szCs w:val="24"/>
          <w:u w:val="single"/>
        </w:rPr>
        <w:t>, rel. Min. Augusto César Leite de Carvalho, 4.10.2012</w:t>
      </w:r>
    </w:p>
    <w:p w:rsidR="001C68BC" w:rsidRPr="00F0596F" w:rsidRDefault="001C68BC" w:rsidP="001C68BC">
      <w:pPr>
        <w:jc w:val="both"/>
        <w:rPr>
          <w:u w:val="single"/>
        </w:rPr>
      </w:pPr>
    </w:p>
    <w:p w:rsidR="001C68BC" w:rsidRPr="001C68BC" w:rsidRDefault="001C68BC" w:rsidP="001C68BC">
      <w:pPr>
        <w:jc w:val="both"/>
        <w:rPr>
          <w:rFonts w:eastAsia="Calibri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Pr="00D64E34">
        <w:rPr>
          <w:b/>
          <w:i/>
          <w:sz w:val="24"/>
          <w:szCs w:val="24"/>
        </w:rPr>
        <w:t>Jus postulandi</w:t>
      </w:r>
      <w:r>
        <w:rPr>
          <w:b/>
          <w:i/>
          <w:sz w:val="24"/>
          <w:szCs w:val="24"/>
        </w:rPr>
        <w:t>”</w:t>
      </w:r>
      <w:r w:rsidRPr="00D64E34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5628A6">
        <w:rPr>
          <w:b/>
          <w:i/>
          <w:sz w:val="24"/>
          <w:szCs w:val="24"/>
        </w:rPr>
        <w:t>Recurso de competência do Tribunal Superior do Trabalho. Impossibilidade. Aplicação da Súmula n.º 425 do TST.</w:t>
      </w:r>
    </w:p>
    <w:p w:rsidR="001C68BC" w:rsidRPr="005628A6" w:rsidRDefault="001C68BC" w:rsidP="001C68BC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>Reiterando posicionamento da Corte, consubstanciado na Súmu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la n.º 425, no sentido de que o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“</w:t>
      </w:r>
      <w:r w:rsidRPr="00D64E34">
        <w:rPr>
          <w:rFonts w:ascii="Times New Roman" w:eastAsia="Calibri" w:hAnsi="Times New Roman" w:cs="Times New Roman"/>
          <w:color w:val="auto"/>
          <w:lang w:val="pt-BR" w:eastAsia="en-US"/>
        </w:rPr>
        <w:t>jus postulandi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”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>, estabelecido no art. 791 da CLT,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se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 xml:space="preserve"> limita às Varas do Trabalho e aos Tribunais Regionais do Trabalho, não alcançando os recursos de competência do Tribunal Superior do Trabalho, a SBDI-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I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>, à unanimidade, conheceu dos embargos por contrariedade à Súmula n.º 425 do TST 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 no mérito,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 xml:space="preserve"> deu-lhes provimento para anular o acórdão referente ao julgamento dos primeiros embargos de declaração em agravo de instrumento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 xml:space="preserve"> subscritos pessoalmente pela reclamante. Consequentemente,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decidiu-se 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 xml:space="preserve">anular os acórdãos seguintes e restabelecer a decisão da Turma, por meio da qual se negou provimento ao agravo de instrumento da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trabalhadora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 xml:space="preserve">, subscrito por advogado devidamente constituído,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ante os termos da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 xml:space="preserve"> Súmula n.º 214 do TST. Destacou 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Ministro 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>relator que à época em que julgados os primeiros embargos de declaração da reclamante, a matéria em debate já estava pacificada pelo Pleno do TST, não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se admitindo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 xml:space="preserve"> o fundamento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turmário 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 xml:space="preserve">de que a questão da inaplicabilidade do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“</w:t>
      </w:r>
      <w:r w:rsidRPr="00D64E34">
        <w:rPr>
          <w:rFonts w:ascii="Times New Roman" w:eastAsia="Calibri" w:hAnsi="Times New Roman" w:cs="Times New Roman"/>
          <w:color w:val="auto"/>
          <w:lang w:val="pt-BR" w:eastAsia="en-US"/>
        </w:rPr>
        <w:t>jus postulandi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”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</w:t>
      </w:r>
      <w:r w:rsidRPr="005628A6">
        <w:rPr>
          <w:rFonts w:ascii="Times New Roman" w:eastAsia="Calibri" w:hAnsi="Times New Roman" w:cs="Times New Roman"/>
          <w:color w:val="auto"/>
          <w:lang w:val="pt-BR" w:eastAsia="en-US"/>
        </w:rPr>
        <w:t xml:space="preserve">os recursos de competência do TST seria controvertida e admissível. </w:t>
      </w:r>
      <w:hyperlink r:id="rId9" w:history="1">
        <w:r w:rsidRPr="00245FB9">
          <w:rPr>
            <w:rStyle w:val="Hyperlink"/>
            <w:rFonts w:ascii="Times New Roman" w:eastAsia="Calibri" w:hAnsi="Times New Roman"/>
            <w:lang w:val="pt-BR" w:eastAsia="en-US"/>
          </w:rPr>
          <w:t>TST-E-ED-ED-RR-148341-64.1998.5.05.0004</w:t>
        </w:r>
      </w:hyperlink>
      <w:r w:rsidRPr="005628A6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SBDI-</w:t>
      </w:r>
      <w:r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I</w:t>
      </w:r>
      <w:r w:rsidRPr="005628A6">
        <w:rPr>
          <w:rFonts w:ascii="Times New Roman" w:eastAsia="Calibri" w:hAnsi="Times New Roman" w:cs="Times New Roman"/>
          <w:color w:val="auto"/>
          <w:u w:val="single"/>
          <w:lang w:val="pt-BR" w:eastAsia="en-US"/>
        </w:rPr>
        <w:t>, rel. Min. José Roberto Freire Pimenta, 4.10.2012</w:t>
      </w:r>
    </w:p>
    <w:p w:rsidR="001C68BC" w:rsidRPr="00F0596F" w:rsidRDefault="001C68BC" w:rsidP="001C68BC">
      <w:pPr>
        <w:jc w:val="both"/>
      </w:pPr>
    </w:p>
    <w:p w:rsidR="00F0596F" w:rsidRDefault="00F0596F" w:rsidP="00F0596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Justa causa. Ato de improbidade. Descaracterização em juízo. Dano moral. Não configuração.</w:t>
      </w:r>
    </w:p>
    <w:p w:rsidR="00F0596F" w:rsidRPr="00A40FA7" w:rsidRDefault="00F0596F" w:rsidP="00F059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É indevido o pagamento de indenização por danos morais se o trabalhador não produzir prova do prejuízo moral sofrido em razão da dispensa por justa causa fundada em imputação de ato de improbidade, quando descaracterizado em juízo.  A despedida em tais circunstâncias não constitui prática de ato ilícito por parte do empregador, e se ele agiu de boa-fé, não dando publicidade ao fato, não imputando, de forma leviana, o ato ao trabalhador, e não abusando do direito de dispensa, não há de se falar em abalo à honorabilidade do empregado apta a configurar dano moral. Ademais, o sistema jurídico brasileiro adota, como regra, a teoria da responsabilidade subjetiva, sendo indevida a indenização quando não configurada a culpa. Com base nesse entendimento, a SBDI-I, por maioria, não conheceu do recurso de embargos no tema, vencidos os Ministros Lelio Bentes </w:t>
      </w:r>
      <w:r>
        <w:rPr>
          <w:sz w:val="24"/>
          <w:szCs w:val="24"/>
        </w:rPr>
        <w:lastRenderedPageBreak/>
        <w:t xml:space="preserve">Corrêa, relator, </w:t>
      </w:r>
      <w:r w:rsidRPr="005725DD">
        <w:rPr>
          <w:sz w:val="24"/>
          <w:szCs w:val="24"/>
        </w:rPr>
        <w:t>Luiz Philippe Vieira de Mello Filho, Augusto César Leite de Carvalho, José Roberto Freire Pimenta e Delaíde Miranda Arantes</w:t>
      </w:r>
      <w:r w:rsidRPr="003D032E">
        <w:rPr>
          <w:sz w:val="24"/>
          <w:szCs w:val="24"/>
        </w:rPr>
        <w:t xml:space="preserve">. </w:t>
      </w:r>
      <w:hyperlink r:id="rId10" w:history="1">
        <w:r w:rsidRPr="00245FB9">
          <w:rPr>
            <w:rStyle w:val="Hyperlink"/>
            <w:sz w:val="24"/>
            <w:szCs w:val="24"/>
          </w:rPr>
          <w:t>TST-E</w:t>
        </w:r>
        <w:r w:rsidR="00245FB9" w:rsidRPr="00245FB9">
          <w:rPr>
            <w:rStyle w:val="Hyperlink"/>
            <w:sz w:val="24"/>
            <w:szCs w:val="24"/>
          </w:rPr>
          <w:t>-</w:t>
        </w:r>
        <w:r w:rsidRPr="00245FB9">
          <w:rPr>
            <w:rStyle w:val="Hyperlink"/>
            <w:sz w:val="24"/>
            <w:szCs w:val="24"/>
          </w:rPr>
          <w:t>RR-774061-06.2001.5.02.0023</w:t>
        </w:r>
      </w:hyperlink>
      <w:r w:rsidRPr="003D032E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 xml:space="preserve">I, rel. </w:t>
      </w:r>
      <w:r w:rsidRPr="003D032E">
        <w:rPr>
          <w:sz w:val="24"/>
          <w:szCs w:val="24"/>
          <w:u w:val="single"/>
        </w:rPr>
        <w:t>Min.</w:t>
      </w:r>
      <w:r w:rsidR="00245FB9">
        <w:rPr>
          <w:sz w:val="24"/>
          <w:szCs w:val="24"/>
          <w:u w:val="single"/>
        </w:rPr>
        <w:t xml:space="preserve"> Lelio Bentes Corrêa, red. p/ acórdão Min.</w:t>
      </w:r>
      <w:r w:rsidRPr="003D032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João Oreste Dalazen, 4.10.2012</w:t>
      </w:r>
      <w:r w:rsidRPr="003D032E">
        <w:rPr>
          <w:sz w:val="24"/>
          <w:szCs w:val="24"/>
          <w:u w:val="single"/>
        </w:rPr>
        <w:t>.</w:t>
      </w:r>
    </w:p>
    <w:p w:rsidR="00B14F7F" w:rsidRPr="00F0596F" w:rsidRDefault="00B14F7F" w:rsidP="000C3022">
      <w:pPr>
        <w:ind w:right="-567"/>
        <w:jc w:val="both"/>
        <w:rPr>
          <w:b/>
          <w:i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Pr="005D1DE4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80175C" w:rsidRDefault="0080175C" w:rsidP="0080175C">
      <w:pPr>
        <w:ind w:right="-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AR. Aposentadoria por invalidez. Suspensão do contrato de trabalho. Fluência da prescrição bienal. Impossibilidade. Art. 7º, XXIX, da CF. Violação.</w:t>
      </w:r>
    </w:p>
    <w:p w:rsidR="0080175C" w:rsidRPr="00755926" w:rsidRDefault="0080175C" w:rsidP="008017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Levando em consideração que </w:t>
      </w:r>
      <w:r w:rsidRPr="000D12B5">
        <w:rPr>
          <w:sz w:val="24"/>
          <w:szCs w:val="24"/>
        </w:rPr>
        <w:t>a aposentadoria por invalidez não rescinde o contrato de trabalho</w:t>
      </w:r>
      <w:r>
        <w:rPr>
          <w:sz w:val="24"/>
          <w:szCs w:val="24"/>
        </w:rPr>
        <w:t>, mas apenas o suspende</w:t>
      </w:r>
      <w:r w:rsidRPr="000D12B5">
        <w:rPr>
          <w:sz w:val="24"/>
          <w:szCs w:val="24"/>
        </w:rPr>
        <w:t>,</w:t>
      </w:r>
      <w:r>
        <w:rPr>
          <w:sz w:val="24"/>
          <w:szCs w:val="24"/>
        </w:rPr>
        <w:t xml:space="preserve"> viola a literalidade do art. 7º, XXIX, da CF a decisão que declarou a prescrição total do direito de postular indenização por danos material e moral na hipótese em que a reclamante, não obstante aposentada por invalidez, teve seu contrato de trabalho extinto um mês após a jubilação. Nesse caso, tendo em vista o contrato-realidade, não há falar em fluência do prazo bienal, mas sim do quinquenal, o qual, na espécie, não se consumou, uma vez que a ação rescisória foi ajuizada dois anos e um mês após a extinção do vínculo, e dois anos e dois meses após a aposentadoria por invalidez. Com esse entendimento, a SBDI-II, por </w:t>
      </w:r>
      <w:r w:rsidRPr="00755926">
        <w:rPr>
          <w:sz w:val="24"/>
          <w:szCs w:val="24"/>
        </w:rPr>
        <w:t>maioria, d</w:t>
      </w:r>
      <w:r>
        <w:rPr>
          <w:sz w:val="24"/>
          <w:szCs w:val="24"/>
        </w:rPr>
        <w:t xml:space="preserve">eu </w:t>
      </w:r>
      <w:r w:rsidRPr="00755926">
        <w:rPr>
          <w:sz w:val="24"/>
          <w:szCs w:val="24"/>
        </w:rPr>
        <w:t xml:space="preserve">provimento </w:t>
      </w:r>
      <w:r>
        <w:rPr>
          <w:sz w:val="24"/>
          <w:szCs w:val="24"/>
        </w:rPr>
        <w:t>ao</w:t>
      </w:r>
      <w:r w:rsidRPr="00755926">
        <w:rPr>
          <w:sz w:val="24"/>
          <w:szCs w:val="24"/>
        </w:rPr>
        <w:t xml:space="preserve"> recurso ordinário para, julgando procedente a ação rescisória, desconstituir, em juízo rescindente, por ofensa ao art</w:t>
      </w:r>
      <w:r>
        <w:rPr>
          <w:sz w:val="24"/>
          <w:szCs w:val="24"/>
        </w:rPr>
        <w:t xml:space="preserve">. </w:t>
      </w:r>
      <w:r w:rsidRPr="00755926">
        <w:rPr>
          <w:sz w:val="24"/>
          <w:szCs w:val="24"/>
        </w:rPr>
        <w:t>7º, XXIX, da C</w:t>
      </w:r>
      <w:r>
        <w:rPr>
          <w:sz w:val="24"/>
          <w:szCs w:val="24"/>
        </w:rPr>
        <w:t>F</w:t>
      </w:r>
      <w:r w:rsidRPr="00755926">
        <w:rPr>
          <w:sz w:val="24"/>
          <w:szCs w:val="24"/>
        </w:rPr>
        <w:t>, a</w:t>
      </w:r>
      <w:r>
        <w:rPr>
          <w:sz w:val="24"/>
          <w:szCs w:val="24"/>
        </w:rPr>
        <w:t xml:space="preserve"> sentença proferida nos autos de reclamação trabalhista, </w:t>
      </w:r>
      <w:r w:rsidRPr="00755926">
        <w:rPr>
          <w:sz w:val="24"/>
          <w:szCs w:val="24"/>
        </w:rPr>
        <w:t xml:space="preserve">por meio da qual </w:t>
      </w:r>
      <w:r>
        <w:rPr>
          <w:sz w:val="24"/>
          <w:szCs w:val="24"/>
        </w:rPr>
        <w:t xml:space="preserve">fora </w:t>
      </w:r>
      <w:r w:rsidRPr="00755926">
        <w:rPr>
          <w:sz w:val="24"/>
          <w:szCs w:val="24"/>
        </w:rPr>
        <w:t>extinto o processo com resolução do mérito, com base no art</w:t>
      </w:r>
      <w:r>
        <w:rPr>
          <w:sz w:val="24"/>
          <w:szCs w:val="24"/>
        </w:rPr>
        <w:t>.</w:t>
      </w:r>
      <w:r w:rsidRPr="00755926">
        <w:rPr>
          <w:sz w:val="24"/>
          <w:szCs w:val="24"/>
        </w:rPr>
        <w:t xml:space="preserve"> 269, IV, do CPC</w:t>
      </w:r>
      <w:r>
        <w:rPr>
          <w:sz w:val="24"/>
          <w:szCs w:val="24"/>
        </w:rPr>
        <w:t xml:space="preserve">, </w:t>
      </w:r>
      <w:r w:rsidRPr="00755926">
        <w:rPr>
          <w:sz w:val="24"/>
          <w:szCs w:val="24"/>
        </w:rPr>
        <w:t>e, em juízo rescisório, afastar a prescrição nuclear arguida e determinar o retorno dos autos à Vara do Trabalho de origem</w:t>
      </w:r>
      <w:r>
        <w:rPr>
          <w:sz w:val="24"/>
          <w:szCs w:val="24"/>
        </w:rPr>
        <w:t>,</w:t>
      </w:r>
      <w:r w:rsidRPr="00755926">
        <w:rPr>
          <w:sz w:val="24"/>
          <w:szCs w:val="24"/>
        </w:rPr>
        <w:t xml:space="preserve"> a fim de que, rechaçada a premissa de que prescrita a pretensão de indenização por danos morais e materiais decorrentes de doença profissional, aprecie os pedidos deduzidos na reclamação trabalhista, como entender de direito</w:t>
      </w:r>
      <w:r>
        <w:rPr>
          <w:sz w:val="24"/>
          <w:szCs w:val="24"/>
        </w:rPr>
        <w:t>. V</w:t>
      </w:r>
      <w:r w:rsidRPr="00755926">
        <w:rPr>
          <w:sz w:val="24"/>
          <w:szCs w:val="24"/>
        </w:rPr>
        <w:t>encidos o</w:t>
      </w:r>
      <w:r>
        <w:rPr>
          <w:sz w:val="24"/>
          <w:szCs w:val="24"/>
        </w:rPr>
        <w:t xml:space="preserve">s </w:t>
      </w:r>
      <w:r w:rsidRPr="00755926">
        <w:rPr>
          <w:sz w:val="24"/>
          <w:szCs w:val="24"/>
        </w:rPr>
        <w:t>Ministro</w:t>
      </w:r>
      <w:r>
        <w:rPr>
          <w:sz w:val="24"/>
          <w:szCs w:val="24"/>
        </w:rPr>
        <w:t>s</w:t>
      </w:r>
      <w:r w:rsidRPr="00755926">
        <w:rPr>
          <w:sz w:val="24"/>
          <w:szCs w:val="24"/>
        </w:rPr>
        <w:t xml:space="preserve"> Pedro Paulo Manus, </w:t>
      </w:r>
      <w:r>
        <w:rPr>
          <w:sz w:val="24"/>
          <w:szCs w:val="24"/>
        </w:rPr>
        <w:t>r</w:t>
      </w:r>
      <w:r w:rsidRPr="00755926">
        <w:rPr>
          <w:sz w:val="24"/>
          <w:szCs w:val="24"/>
        </w:rPr>
        <w:t xml:space="preserve">elator, e </w:t>
      </w:r>
      <w:r>
        <w:rPr>
          <w:sz w:val="24"/>
          <w:szCs w:val="24"/>
        </w:rPr>
        <w:t xml:space="preserve">Guilherme Augusto </w:t>
      </w:r>
      <w:r w:rsidRPr="00755926">
        <w:rPr>
          <w:sz w:val="24"/>
          <w:szCs w:val="24"/>
        </w:rPr>
        <w:t xml:space="preserve">Caputo Bastos. </w:t>
      </w:r>
      <w:hyperlink r:id="rId11" w:history="1">
        <w:r w:rsidRPr="00245FB9">
          <w:rPr>
            <w:rStyle w:val="Hyperlink"/>
            <w:sz w:val="24"/>
            <w:szCs w:val="24"/>
          </w:rPr>
          <w:t>TST-RO-9856-60.2010.5.02.0000</w:t>
        </w:r>
      </w:hyperlink>
      <w:r w:rsidRPr="00613821">
        <w:rPr>
          <w:sz w:val="24"/>
          <w:szCs w:val="24"/>
          <w:u w:val="single"/>
        </w:rPr>
        <w:t>, SBDI-II, rel. Min. Pedro Paulo Manus, red. p/ acórdão Min. Hugo Carlos Scheuermann, 2.10.2012.</w:t>
      </w: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6F" w:rsidRDefault="008D426F">
      <w:r>
        <w:separator/>
      </w:r>
    </w:p>
  </w:endnote>
  <w:endnote w:type="continuationSeparator" w:id="0">
    <w:p w:rsidR="008D426F" w:rsidRDefault="008D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BC" w:rsidRDefault="001C68BC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447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C68BC" w:rsidRDefault="001C68BC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BC" w:rsidRDefault="001C68BC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54472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6F" w:rsidRDefault="008D426F">
      <w:r>
        <w:separator/>
      </w:r>
    </w:p>
  </w:footnote>
  <w:footnote w:type="continuationSeparator" w:id="0">
    <w:p w:rsidR="008D426F" w:rsidRDefault="008D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BC" w:rsidRPr="00971E07" w:rsidRDefault="001C68BC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>
      <w:rPr>
        <w:shadow/>
        <w:sz w:val="24"/>
        <w:szCs w:val="24"/>
      </w:rPr>
      <w:t>24</w:t>
    </w:r>
  </w:p>
  <w:p w:rsidR="001C68BC" w:rsidRPr="00971E07" w:rsidRDefault="001C68BC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>
      <w:rPr>
        <w:sz w:val="20"/>
        <w:szCs w:val="20"/>
      </w:rPr>
      <w:t>Período: 2</w:t>
    </w:r>
    <w:r w:rsidRPr="00971E07">
      <w:rPr>
        <w:sz w:val="20"/>
        <w:szCs w:val="20"/>
      </w:rPr>
      <w:t xml:space="preserve"> a </w:t>
    </w:r>
    <w:r>
      <w:rPr>
        <w:sz w:val="20"/>
        <w:szCs w:val="20"/>
      </w:rPr>
      <w:t>8</w:t>
    </w:r>
    <w:r w:rsidRPr="00971E07">
      <w:rPr>
        <w:sz w:val="20"/>
        <w:szCs w:val="20"/>
      </w:rPr>
      <w:t xml:space="preserve"> de </w:t>
    </w:r>
    <w:r>
      <w:rPr>
        <w:sz w:val="20"/>
        <w:szCs w:val="20"/>
      </w:rPr>
      <w:t>outubro d</w:t>
    </w:r>
    <w:r w:rsidRPr="00971E07">
      <w:rPr>
        <w:sz w:val="20"/>
        <w:szCs w:val="20"/>
      </w:rPr>
      <w:t>e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BC" w:rsidRDefault="001C68B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pt;height:77pt">
          <v:imagedata r:id="rId1" o:title="TST LOGO"/>
        </v:shape>
      </w:pict>
    </w:r>
  </w:p>
  <w:p w:rsidR="001C68BC" w:rsidRPr="002168DE" w:rsidRDefault="001C68BC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>
      <w:rPr>
        <w:b/>
        <w:sz w:val="40"/>
        <w:szCs w:val="40"/>
      </w:rPr>
      <w:t>24</w:t>
    </w:r>
  </w:p>
  <w:p w:rsidR="001C68BC" w:rsidRPr="005D1DE4" w:rsidRDefault="001C68BC">
    <w:pPr>
      <w:pStyle w:val="Cabealho"/>
      <w:jc w:val="right"/>
      <w:rPr>
        <w:i/>
        <w:iCs/>
        <w:sz w:val="10"/>
        <w:szCs w:val="10"/>
      </w:rPr>
    </w:pPr>
  </w:p>
  <w:p w:rsidR="001C68BC" w:rsidRPr="005D1DE4" w:rsidRDefault="001C68BC">
    <w:pPr>
      <w:pStyle w:val="Cabealho"/>
      <w:jc w:val="right"/>
    </w:pPr>
    <w:r>
      <w:rPr>
        <w:i/>
        <w:iCs/>
      </w:rPr>
      <w:t>Período:</w:t>
    </w:r>
    <w:r w:rsidRPr="005D1DE4">
      <w:rPr>
        <w:i/>
        <w:iCs/>
      </w:rPr>
      <w:t xml:space="preserve"> </w:t>
    </w:r>
    <w:r>
      <w:rPr>
        <w:i/>
        <w:iCs/>
      </w:rPr>
      <w:t xml:space="preserve">2 </w:t>
    </w:r>
    <w:r w:rsidRPr="005D1DE4">
      <w:rPr>
        <w:i/>
        <w:iCs/>
      </w:rPr>
      <w:t xml:space="preserve">a </w:t>
    </w:r>
    <w:r>
      <w:rPr>
        <w:i/>
        <w:iCs/>
      </w:rPr>
      <w:t xml:space="preserve">8 de outubro de </w:t>
    </w:r>
    <w:r w:rsidRPr="005D1DE4">
      <w:rPr>
        <w:i/>
        <w:iCs/>
      </w:rPr>
      <w:t>2012</w:t>
    </w:r>
  </w:p>
  <w:p w:rsidR="001C68BC" w:rsidRDefault="001C68BC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4472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8BC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45FB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175C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426F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B1797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596F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54&amp;digitoTst=04&amp;anoTst=2010&amp;orgaoTst=5&amp;tribunalTst=03&amp;varaTst=014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9856&amp;digitoTst=60&amp;anoTst=2010&amp;orgaoTst=5&amp;tribunalTst=02&amp;varaTst=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cacao5.tst.jus.br/consultaProcessual/consultaTstNumUnica.do?consulta=Consultar&amp;conscsjt=&amp;numeroTst=774061&amp;digitoTst=06&amp;anoTst=2001&amp;orgaoTst=5&amp;tribunalTst=02&amp;varaTst=0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48341&amp;digitoTst=64&amp;anoTst=1998&amp;orgaoTst=5&amp;tribunalTst=05&amp;varaTst=000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C199-A2D3-42F1-B548-B320B6E3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6901</CharactersWithSpaces>
  <SharedDoc>false</SharedDoc>
  <HLinks>
    <vt:vector size="24" baseType="variant">
      <vt:variant>
        <vt:i4>6619249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https://aplicacao5.tst.jus.br/consultaProcessual/consultaTstNumUnica.do?consulta=Consultar&amp;conscsjt=&amp;numeroTst=9856&amp;digitoTst=60&amp;anoTst=2010&amp;orgaoTst=5&amp;tribunalTst=02&amp;varaTst=0000</vt:lpwstr>
      </vt:variant>
      <vt:variant>
        <vt:lpwstr/>
      </vt:variant>
      <vt:variant>
        <vt:i4>5832782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https://aplicacao5.tst.jus.br/consultaProcessual/consultaTstNumUnica.do?consulta=Consultar&amp;conscsjt=&amp;numeroTst=774061&amp;digitoTst=06&amp;anoTst=2001&amp;orgaoTst=5&amp;tribunalTst=02&amp;varaTst=0023</vt:lpwstr>
      </vt:variant>
      <vt:variant>
        <vt:lpwstr/>
      </vt:variant>
      <vt:variant>
        <vt:i4>5636162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https://aplicacao5.tst.jus.br/consultaProcessual/consultaTstNumUnica.do?consulta=Consultar&amp;conscsjt=&amp;numeroTst=148341&amp;digitoTst=64&amp;anoTst=1998&amp;orgaoTst=5&amp;tribunalTst=05&amp;varaTst=0004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https://aplicacao5.tst.jus.br/consultaProcessual/consultaTstNumUnica.do?consulta=Consultar&amp;conscsjt=&amp;numeroTst=154&amp;digitoTst=04&amp;anoTst=2010&amp;orgaoTst=5&amp;tribunalTst=03&amp;varaTst=0149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2018-06-27T22:31:00Z</dcterms:created>
  <dcterms:modified xsi:type="dcterms:W3CDTF">2018-06-27T22:31:00Z</dcterms:modified>
</cp:coreProperties>
</file>