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055A9D" w:rsidRDefault="00055A9D" w:rsidP="00C6738C">
      <w:pPr>
        <w:rPr>
          <w:sz w:val="10"/>
          <w:szCs w:val="10"/>
        </w:rPr>
      </w:pPr>
    </w:p>
    <w:p w:rsidR="00055A9D" w:rsidRPr="00CE7555" w:rsidRDefault="00A81F5B" w:rsidP="00055A9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0332F1" w:rsidRPr="000332F1" w:rsidRDefault="000332F1" w:rsidP="008E3CCE">
      <w:pPr>
        <w:jc w:val="both"/>
        <w:rPr>
          <w:rFonts w:eastAsia="Calibri"/>
          <w:sz w:val="10"/>
          <w:szCs w:val="10"/>
          <w:u w:val="single"/>
        </w:rPr>
      </w:pPr>
    </w:p>
    <w:p w:rsidR="00A81F5B" w:rsidRDefault="00A81F5B" w:rsidP="00A81F5B">
      <w:pPr>
        <w:jc w:val="both"/>
        <w:rPr>
          <w:sz w:val="24"/>
        </w:rPr>
      </w:pPr>
      <w:r w:rsidRPr="007029CF">
        <w:rPr>
          <w:sz w:val="24"/>
        </w:rPr>
        <w:t>O Tribunal Pleno, na sessão ordinária do dia 2</w:t>
      </w:r>
      <w:r>
        <w:rPr>
          <w:sz w:val="24"/>
        </w:rPr>
        <w:t>2.8</w:t>
      </w:r>
      <w:r w:rsidRPr="007029CF">
        <w:rPr>
          <w:sz w:val="24"/>
        </w:rPr>
        <w:t>.2016, aprovou</w:t>
      </w:r>
      <w:r>
        <w:rPr>
          <w:sz w:val="24"/>
        </w:rPr>
        <w:t xml:space="preserve"> as seguintes modificações na jurisprudência da Corte</w:t>
      </w:r>
      <w:r w:rsidR="00C239E0">
        <w:rPr>
          <w:sz w:val="24"/>
        </w:rPr>
        <w:t>, publicadas no DEJT divulgado em 24 e 25.8.2016 (Resolução nº 211)</w:t>
      </w:r>
      <w:r>
        <w:rPr>
          <w:sz w:val="24"/>
        </w:rPr>
        <w:t>:</w:t>
      </w:r>
      <w:r w:rsidRPr="007029CF">
        <w:rPr>
          <w:sz w:val="24"/>
        </w:rPr>
        <w:t xml:space="preserve"> </w:t>
      </w:r>
    </w:p>
    <w:p w:rsidR="00A81F5B" w:rsidRPr="00073643" w:rsidRDefault="00A81F5B" w:rsidP="00A81F5B">
      <w:pPr>
        <w:jc w:val="both"/>
        <w:rPr>
          <w:sz w:val="10"/>
          <w:szCs w:val="10"/>
        </w:rPr>
      </w:pPr>
    </w:p>
    <w:p w:rsidR="00A81F5B" w:rsidRPr="004C3AE3" w:rsidRDefault="00A81F5B" w:rsidP="00A81F5B">
      <w:pPr>
        <w:jc w:val="both"/>
        <w:rPr>
          <w:sz w:val="24"/>
          <w:szCs w:val="24"/>
        </w:rPr>
      </w:pPr>
      <w:r w:rsidRPr="00A81F5B">
        <w:rPr>
          <w:b/>
          <w:bCs/>
          <w:iCs/>
          <w:color w:val="000000"/>
          <w:sz w:val="24"/>
          <w:szCs w:val="24"/>
        </w:rPr>
        <w:t>SÚMULA</w:t>
      </w:r>
      <w:r>
        <w:rPr>
          <w:b/>
          <w:bCs/>
          <w:iCs/>
          <w:color w:val="000000"/>
          <w:sz w:val="24"/>
          <w:szCs w:val="24"/>
        </w:rPr>
        <w:t xml:space="preserve"> Nº </w:t>
      </w:r>
      <w:r w:rsidRPr="00A81F5B">
        <w:rPr>
          <w:b/>
          <w:bCs/>
          <w:iCs/>
          <w:color w:val="000000"/>
          <w:sz w:val="24"/>
          <w:szCs w:val="24"/>
        </w:rPr>
        <w:t>299</w:t>
      </w:r>
      <w:r>
        <w:rPr>
          <w:b/>
          <w:bCs/>
          <w:iCs/>
          <w:color w:val="000000"/>
          <w:sz w:val="24"/>
          <w:szCs w:val="24"/>
        </w:rPr>
        <w:t xml:space="preserve"> DO TST</w:t>
      </w:r>
    </w:p>
    <w:p w:rsidR="00A81F5B" w:rsidRPr="004C3AE3" w:rsidRDefault="00A81F5B" w:rsidP="00A81F5B">
      <w:pPr>
        <w:jc w:val="both"/>
        <w:rPr>
          <w:rFonts w:eastAsia="Calibri"/>
          <w:b/>
          <w:caps/>
          <w:sz w:val="24"/>
          <w:szCs w:val="24"/>
        </w:rPr>
      </w:pPr>
      <w:r w:rsidRPr="00A81F5B">
        <w:rPr>
          <w:rFonts w:eastAsia="Calibri"/>
          <w:caps/>
          <w:sz w:val="24"/>
          <w:szCs w:val="24"/>
        </w:rPr>
        <w:t>AÇÃO RESCISÓRIA. DECISÃO RESCINDENDA. TRÂNSITO EM JULGADO. COMPROVAÇÃO. EFEITOS.</w:t>
      </w:r>
      <w:r w:rsidRPr="004C3AE3">
        <w:rPr>
          <w:rFonts w:eastAsia="Calibri"/>
          <w:b/>
          <w:caps/>
          <w:sz w:val="24"/>
          <w:szCs w:val="24"/>
        </w:rPr>
        <w:t xml:space="preserve"> </w:t>
      </w:r>
      <w:r>
        <w:rPr>
          <w:b/>
          <w:sz w:val="24"/>
        </w:rPr>
        <w:t>(nova redação do item II em decorrência do CPC de 2015)</w:t>
      </w:r>
    </w:p>
    <w:p w:rsidR="00A81F5B" w:rsidRPr="004C3AE3" w:rsidRDefault="00A81F5B" w:rsidP="00A81F5B">
      <w:pPr>
        <w:jc w:val="both"/>
        <w:rPr>
          <w:rFonts w:eastAsia="Calibri"/>
          <w:sz w:val="24"/>
          <w:szCs w:val="24"/>
        </w:rPr>
      </w:pPr>
      <w:r w:rsidRPr="004C3AE3">
        <w:rPr>
          <w:rFonts w:eastAsia="Calibri"/>
          <w:sz w:val="24"/>
          <w:szCs w:val="24"/>
        </w:rPr>
        <w:t>I - É indispensável ao processamento da ação rescisória a prova do trânsito em julgado da decisão rescindenda. (ex-Súmula nº 299 - Res 8/1989, DJ 14, 18 e 19.04.1989)</w:t>
      </w:r>
    </w:p>
    <w:p w:rsidR="00A81F5B" w:rsidRPr="004C3AE3" w:rsidRDefault="00A81F5B" w:rsidP="00A81F5B">
      <w:pPr>
        <w:jc w:val="both"/>
        <w:rPr>
          <w:rFonts w:eastAsia="Calibri"/>
          <w:sz w:val="24"/>
          <w:szCs w:val="24"/>
        </w:rPr>
      </w:pPr>
      <w:r w:rsidRPr="004C3AE3">
        <w:rPr>
          <w:rFonts w:eastAsia="Calibri"/>
          <w:sz w:val="24"/>
          <w:szCs w:val="24"/>
        </w:rPr>
        <w:t xml:space="preserve">II - Verificando o relator que a parte interessada não juntou à inicial o documento comprobatório, </w:t>
      </w:r>
      <w:r w:rsidRPr="00A47469">
        <w:rPr>
          <w:rFonts w:eastAsia="Calibri"/>
          <w:sz w:val="24"/>
          <w:szCs w:val="24"/>
        </w:rPr>
        <w:t>abrirá prazo de 15 (quinze) dias para que o faça (</w:t>
      </w:r>
      <w:r w:rsidRPr="00A47469">
        <w:rPr>
          <w:rFonts w:eastAsia="Calibri"/>
          <w:sz w:val="24"/>
          <w:szCs w:val="24"/>
          <w:shd w:val="clear" w:color="auto" w:fill="FFFFFF"/>
        </w:rPr>
        <w:t>art. 321 do CPC de 2015)</w:t>
      </w:r>
      <w:r w:rsidRPr="00A47469">
        <w:rPr>
          <w:rFonts w:eastAsia="Calibri"/>
          <w:sz w:val="24"/>
          <w:szCs w:val="24"/>
        </w:rPr>
        <w:t xml:space="preserve">, </w:t>
      </w:r>
      <w:r w:rsidRPr="004C3AE3">
        <w:rPr>
          <w:rFonts w:eastAsia="Calibri"/>
          <w:sz w:val="24"/>
          <w:szCs w:val="24"/>
        </w:rPr>
        <w:t>sob pena de indeferimento. (ex-Súmula nº 299 - Res 8/1989, DJ 14, 18 e 19.04.1989)</w:t>
      </w:r>
    </w:p>
    <w:p w:rsidR="00A81F5B" w:rsidRPr="004C3AE3" w:rsidRDefault="00A81F5B" w:rsidP="00A81F5B">
      <w:pPr>
        <w:jc w:val="both"/>
        <w:rPr>
          <w:rFonts w:eastAsia="Calibri"/>
          <w:sz w:val="24"/>
          <w:szCs w:val="24"/>
        </w:rPr>
      </w:pPr>
      <w:r w:rsidRPr="004C3AE3">
        <w:rPr>
          <w:rFonts w:eastAsia="Calibri"/>
          <w:sz w:val="24"/>
          <w:szCs w:val="24"/>
        </w:rPr>
        <w:t xml:space="preserve">III - A comprovação do trânsito em julgado da decisão rescindenda é pressuposto processual indispensável ao tempo do ajuizamento da ação rescisória. Eventual trânsito em julgado posterior ao ajuizamento da ação rescisória não reabilita a ação proposta, na medida em que o ordenamento jurídico não contempla a ação rescisória preventiva. (ex-OJ nº 106 da SBDI-2 - DJ 29.04.2003) </w:t>
      </w:r>
    </w:p>
    <w:p w:rsidR="00A81F5B" w:rsidRPr="004C3AE3" w:rsidRDefault="00A81F5B" w:rsidP="00A81F5B">
      <w:pPr>
        <w:jc w:val="both"/>
        <w:rPr>
          <w:rFonts w:eastAsia="Calibri"/>
          <w:sz w:val="24"/>
          <w:szCs w:val="24"/>
        </w:rPr>
      </w:pPr>
      <w:r w:rsidRPr="004C3AE3">
        <w:rPr>
          <w:rFonts w:eastAsia="Calibri"/>
          <w:sz w:val="24"/>
          <w:szCs w:val="24"/>
        </w:rPr>
        <w:t>IV - O pretenso vício de intimação, posterior à decisão que se pretende rescindir, se efetivamente ocorrido, não permite a formação da coisa julgada material. Assim, a ação rescisória deve ser julgada extinta, sem julgamento do mérito, por carência de ação, por inexistir decisão transitada em julgado a ser rescindida. (ex-OJ nº 96 da SBDI-2 - inserida em 27.09.2002)</w:t>
      </w:r>
    </w:p>
    <w:p w:rsidR="00A81F5B" w:rsidRPr="00073643" w:rsidRDefault="00A81F5B" w:rsidP="00A81F5B">
      <w:pPr>
        <w:jc w:val="both"/>
      </w:pPr>
    </w:p>
    <w:p w:rsidR="00A81F5B" w:rsidRPr="00A81F5B" w:rsidRDefault="00A81F5B" w:rsidP="00A81F5B">
      <w:pPr>
        <w:jc w:val="both"/>
        <w:rPr>
          <w:b/>
          <w:bCs/>
          <w:iCs/>
          <w:color w:val="000000"/>
          <w:sz w:val="24"/>
          <w:szCs w:val="24"/>
        </w:rPr>
      </w:pPr>
      <w:r w:rsidRPr="00A81F5B">
        <w:rPr>
          <w:b/>
          <w:bCs/>
          <w:iCs/>
          <w:color w:val="000000"/>
          <w:sz w:val="24"/>
          <w:szCs w:val="24"/>
        </w:rPr>
        <w:t xml:space="preserve">SÚMULA </w:t>
      </w:r>
      <w:r>
        <w:rPr>
          <w:b/>
          <w:bCs/>
          <w:iCs/>
          <w:color w:val="000000"/>
          <w:sz w:val="24"/>
          <w:szCs w:val="24"/>
        </w:rPr>
        <w:t xml:space="preserve">Nº </w:t>
      </w:r>
      <w:r w:rsidRPr="00A81F5B">
        <w:rPr>
          <w:b/>
          <w:bCs/>
          <w:iCs/>
          <w:color w:val="000000"/>
          <w:sz w:val="24"/>
          <w:szCs w:val="24"/>
        </w:rPr>
        <w:t>303</w:t>
      </w:r>
      <w:r>
        <w:rPr>
          <w:b/>
          <w:bCs/>
          <w:iCs/>
          <w:color w:val="000000"/>
          <w:sz w:val="24"/>
          <w:szCs w:val="24"/>
        </w:rPr>
        <w:t xml:space="preserve"> DO TST</w:t>
      </w:r>
    </w:p>
    <w:p w:rsidR="00A81F5B" w:rsidRPr="004C3AE3" w:rsidRDefault="00A81F5B" w:rsidP="00A81F5B">
      <w:pPr>
        <w:jc w:val="both"/>
        <w:rPr>
          <w:rFonts w:eastAsia="Calibri"/>
          <w:b/>
          <w:caps/>
          <w:sz w:val="24"/>
          <w:szCs w:val="24"/>
        </w:rPr>
      </w:pPr>
      <w:r w:rsidRPr="00A81F5B">
        <w:rPr>
          <w:rFonts w:eastAsia="Calibri"/>
          <w:caps/>
          <w:sz w:val="24"/>
          <w:szCs w:val="24"/>
        </w:rPr>
        <w:t>FAZENDA PÚBLICA. REEXAME NECESSÁRIO</w:t>
      </w:r>
      <w:r w:rsidRPr="00A47469">
        <w:rPr>
          <w:rFonts w:eastAsia="Calibri"/>
          <w:b/>
          <w:caps/>
          <w:sz w:val="24"/>
          <w:szCs w:val="24"/>
        </w:rPr>
        <w:t xml:space="preserve"> </w:t>
      </w:r>
      <w:r>
        <w:rPr>
          <w:b/>
          <w:sz w:val="24"/>
        </w:rPr>
        <w:t>(nova redação em decorrência do CPC de 2015)</w:t>
      </w:r>
    </w:p>
    <w:p w:rsidR="00A81F5B" w:rsidRPr="00A47469" w:rsidRDefault="00A81F5B" w:rsidP="00A81F5B">
      <w:pPr>
        <w:jc w:val="both"/>
        <w:rPr>
          <w:rFonts w:eastAsia="Calibri"/>
          <w:sz w:val="24"/>
          <w:szCs w:val="24"/>
        </w:rPr>
      </w:pPr>
      <w:r w:rsidRPr="00A47469">
        <w:rPr>
          <w:rFonts w:eastAsia="Calibri"/>
          <w:sz w:val="24"/>
          <w:szCs w:val="24"/>
        </w:rPr>
        <w:t>I - Em dissídio individual, está sujeita ao reexame necessário, mesmo na vigência da Constituição Federal de 1988, decisão contrária à Fazenda Pública, salvo quando a condenação não ultrapassar o valor correspondente a: a) 1.000 (mil) salários mínimos para a União e as respectivas autarquias e fundações de direito público; b) 500 (quinhentos) salários mínimos para os Estados, o Distrito Federal, as respectivas autarquias e fundações de direito público e os Municípios que constituam capitais dos Estados; c) 100 (cem) salários mínimos para todos os demais Municípios e respectivas autarquias e fundações de direito público.</w:t>
      </w:r>
    </w:p>
    <w:p w:rsidR="00A81F5B" w:rsidRPr="00A47469" w:rsidRDefault="00A81F5B" w:rsidP="00A81F5B">
      <w:pPr>
        <w:jc w:val="both"/>
        <w:rPr>
          <w:rFonts w:eastAsia="Calibri"/>
          <w:sz w:val="24"/>
          <w:szCs w:val="24"/>
        </w:rPr>
      </w:pPr>
      <w:r w:rsidRPr="00A47469">
        <w:rPr>
          <w:rFonts w:eastAsia="Calibri"/>
          <w:sz w:val="24"/>
          <w:szCs w:val="24"/>
        </w:rPr>
        <w:t>II – Também não se sujeita ao duplo grau de jurisdição a decisão fundada em: a) súmula ou orientação jurisprudencial do Tribunal Superior do Trabalho; b) acórdão proferido pelo Supremo Tribunal Federal ou pelo Tribunal Superior do Trabalho em julgamento de recursos repetitivos; c) entendimento firmado em incidente de resolução de demandas repetitivas ou de assunção de competência; d) entendimento coincidente com orientação vinculante firmada no âmbito administrativo do próprio ente público, consolidada em manifestação, parecer ou súmula administrativa.</w:t>
      </w:r>
    </w:p>
    <w:p w:rsidR="00A81F5B" w:rsidRPr="00A47469" w:rsidRDefault="00A81F5B" w:rsidP="00A81F5B">
      <w:pPr>
        <w:jc w:val="both"/>
        <w:rPr>
          <w:rFonts w:eastAsia="Calibri"/>
          <w:sz w:val="24"/>
          <w:szCs w:val="24"/>
        </w:rPr>
      </w:pPr>
      <w:r w:rsidRPr="00A47469">
        <w:rPr>
          <w:rFonts w:eastAsia="Calibri"/>
          <w:sz w:val="24"/>
          <w:szCs w:val="24"/>
        </w:rPr>
        <w:t>III - Em ação rescisória, a decisão proferida pelo Tribunal Regional do Trabalho está sujeita ao duplo grau de jurisdição obrigatório quando desfavorável ao ente público, exceto nas hipóteses dos incisos anteriores. (ex-OJ nº 71 da SBDI-1 - inserida em 03.06.1996) .</w:t>
      </w:r>
    </w:p>
    <w:p w:rsidR="00A81F5B" w:rsidRPr="004C3AE3" w:rsidRDefault="00A81F5B" w:rsidP="00A81F5B">
      <w:pPr>
        <w:jc w:val="both"/>
        <w:rPr>
          <w:rFonts w:eastAsia="Calibri"/>
          <w:sz w:val="24"/>
          <w:szCs w:val="24"/>
        </w:rPr>
      </w:pPr>
      <w:r w:rsidRPr="00A47469">
        <w:rPr>
          <w:rFonts w:eastAsia="Calibri"/>
          <w:sz w:val="24"/>
          <w:szCs w:val="24"/>
        </w:rPr>
        <w:lastRenderedPageBreak/>
        <w:t xml:space="preserve">IV - Em mandado de segurança, somente cabe reexame necessário </w:t>
      </w:r>
      <w:r w:rsidRPr="004C3AE3">
        <w:rPr>
          <w:rFonts w:eastAsia="Calibri"/>
          <w:sz w:val="24"/>
          <w:szCs w:val="24"/>
        </w:rPr>
        <w:t>se, na relação processual, figurar pessoa jurídica de direito público como parte prejudicada pela concessão da ordem. Tal situação não ocorre na hipótese de figurar no feito como impetrante e terceiro interessado pessoa de direito privado, ressalvada a hipótese de matéria administrativa. (ex-OJs nºs 72 e 73 da SBDI-1 – inseridas, respectivamente, em 25.11.1996 e 03.06.1996).</w:t>
      </w:r>
    </w:p>
    <w:p w:rsidR="00A81F5B" w:rsidRPr="00073643" w:rsidRDefault="00A81F5B" w:rsidP="00A81F5B">
      <w:pPr>
        <w:jc w:val="both"/>
      </w:pPr>
    </w:p>
    <w:p w:rsidR="00A81F5B" w:rsidRPr="00A81F5B" w:rsidRDefault="00A81F5B" w:rsidP="00A81F5B">
      <w:pPr>
        <w:jc w:val="both"/>
        <w:rPr>
          <w:b/>
          <w:bCs/>
          <w:iCs/>
          <w:color w:val="000000"/>
          <w:sz w:val="24"/>
          <w:szCs w:val="24"/>
        </w:rPr>
      </w:pPr>
      <w:r w:rsidRPr="00A81F5B">
        <w:rPr>
          <w:b/>
          <w:bCs/>
          <w:iCs/>
          <w:color w:val="000000"/>
          <w:sz w:val="24"/>
          <w:szCs w:val="24"/>
        </w:rPr>
        <w:t xml:space="preserve">SÚMULA </w:t>
      </w:r>
      <w:r>
        <w:rPr>
          <w:b/>
          <w:bCs/>
          <w:iCs/>
          <w:color w:val="000000"/>
          <w:sz w:val="24"/>
          <w:szCs w:val="24"/>
        </w:rPr>
        <w:t xml:space="preserve">Nº </w:t>
      </w:r>
      <w:r w:rsidRPr="00A81F5B">
        <w:rPr>
          <w:b/>
          <w:bCs/>
          <w:iCs/>
          <w:color w:val="000000"/>
          <w:sz w:val="24"/>
          <w:szCs w:val="24"/>
        </w:rPr>
        <w:t>395</w:t>
      </w:r>
      <w:r>
        <w:rPr>
          <w:b/>
          <w:bCs/>
          <w:iCs/>
          <w:color w:val="000000"/>
          <w:sz w:val="24"/>
          <w:szCs w:val="24"/>
        </w:rPr>
        <w:t xml:space="preserve"> DO TST</w:t>
      </w:r>
    </w:p>
    <w:p w:rsidR="00A81F5B" w:rsidRPr="004C3AE3" w:rsidRDefault="00A81F5B" w:rsidP="00A81F5B">
      <w:pPr>
        <w:jc w:val="both"/>
        <w:rPr>
          <w:rFonts w:eastAsia="Calibri"/>
          <w:b/>
          <w:caps/>
          <w:sz w:val="24"/>
          <w:szCs w:val="24"/>
        </w:rPr>
      </w:pPr>
      <w:r w:rsidRPr="00A81F5B">
        <w:rPr>
          <w:rFonts w:eastAsia="Calibri"/>
          <w:caps/>
          <w:sz w:val="24"/>
          <w:szCs w:val="24"/>
        </w:rPr>
        <w:t>MANDATO E SUBSTABELECIMENTO. CONDIÇÕES DE VALIDADE</w:t>
      </w:r>
      <w:r w:rsidRPr="004C3AE3">
        <w:rPr>
          <w:rFonts w:eastAsia="Calibri"/>
          <w:b/>
          <w:caps/>
          <w:sz w:val="24"/>
          <w:szCs w:val="24"/>
        </w:rPr>
        <w:t xml:space="preserve"> </w:t>
      </w:r>
      <w:r>
        <w:rPr>
          <w:b/>
          <w:sz w:val="24"/>
        </w:rPr>
        <w:t>(nova redação dos itens I e II e acrescido o item V em decorrência do CPC de 2015)</w:t>
      </w:r>
    </w:p>
    <w:p w:rsidR="00A81F5B" w:rsidRPr="00A47469" w:rsidRDefault="00A81F5B" w:rsidP="00A81F5B">
      <w:pPr>
        <w:jc w:val="both"/>
        <w:rPr>
          <w:rFonts w:eastAsia="Calibri"/>
          <w:sz w:val="24"/>
          <w:szCs w:val="24"/>
        </w:rPr>
      </w:pPr>
      <w:r w:rsidRPr="00A47469">
        <w:rPr>
          <w:rFonts w:eastAsia="Calibri"/>
          <w:sz w:val="24"/>
          <w:szCs w:val="24"/>
        </w:rPr>
        <w:t>I - Válido é o instrumento de mandato com prazo determinado que contém cláusula estabelecendo a prevalência dos poderes para atuar até o final da demanda (§ 4º do art. 105 do CPC de 2015) . (ex-OJ nº 312 da SBDI-1 - DJ 11.08.2003)</w:t>
      </w:r>
    </w:p>
    <w:p w:rsidR="00A81F5B" w:rsidRPr="00A47469" w:rsidRDefault="00A81F5B" w:rsidP="00A81F5B">
      <w:pPr>
        <w:jc w:val="both"/>
        <w:rPr>
          <w:rFonts w:eastAsia="Calibri"/>
          <w:sz w:val="24"/>
          <w:szCs w:val="24"/>
        </w:rPr>
      </w:pPr>
      <w:r w:rsidRPr="00A47469">
        <w:rPr>
          <w:rFonts w:eastAsia="Calibri"/>
          <w:sz w:val="24"/>
          <w:szCs w:val="24"/>
        </w:rPr>
        <w:t xml:space="preserve">II – Se há previsão, no instrumento de mandato, de prazo para sua juntada, o mandato só tem validade se anexado ao processo o respectivo instrumento no aludido prazo. (ex-OJ nº 313 da SBDI-1 - DJ 11.08.2003) </w:t>
      </w:r>
    </w:p>
    <w:p w:rsidR="00A81F5B" w:rsidRPr="00A47469" w:rsidRDefault="00A81F5B" w:rsidP="00A81F5B">
      <w:pPr>
        <w:jc w:val="both"/>
        <w:rPr>
          <w:rFonts w:eastAsia="Calibri"/>
          <w:sz w:val="24"/>
          <w:szCs w:val="24"/>
        </w:rPr>
      </w:pPr>
      <w:r w:rsidRPr="00A47469">
        <w:rPr>
          <w:rFonts w:eastAsia="Calibri"/>
          <w:sz w:val="24"/>
          <w:szCs w:val="24"/>
        </w:rPr>
        <w:t>III - São válidos os atos praticados pelo substabelecido, ainda que não haja, no mandato, poderes expressos para substabelecer (art. 667, e parágrafos, do Código Civil de 2002). (ex-OJ nº 108 da SBDI-1 - inserida em 01.10.1997)</w:t>
      </w:r>
    </w:p>
    <w:p w:rsidR="00A81F5B" w:rsidRPr="00A47469" w:rsidRDefault="00A81F5B" w:rsidP="00A81F5B">
      <w:pPr>
        <w:jc w:val="both"/>
        <w:rPr>
          <w:rFonts w:eastAsia="Calibri"/>
          <w:sz w:val="24"/>
          <w:szCs w:val="24"/>
        </w:rPr>
      </w:pPr>
      <w:r w:rsidRPr="00A47469">
        <w:rPr>
          <w:rFonts w:eastAsia="Calibri"/>
          <w:sz w:val="24"/>
          <w:szCs w:val="24"/>
        </w:rPr>
        <w:t>IV - Configura-se a irregularidade de representação se o substabelecimento é anterior à outorga passada ao substabelecente. (ex-OJ nº 330 da SBDI-1 - DJ 09.12.2003)</w:t>
      </w:r>
    </w:p>
    <w:p w:rsidR="00A81F5B" w:rsidRPr="00A47469" w:rsidRDefault="00A81F5B" w:rsidP="00A81F5B">
      <w:pPr>
        <w:jc w:val="both"/>
        <w:rPr>
          <w:rFonts w:eastAsia="Calibri"/>
          <w:sz w:val="24"/>
          <w:szCs w:val="24"/>
        </w:rPr>
      </w:pPr>
      <w:r w:rsidRPr="00A47469">
        <w:rPr>
          <w:rFonts w:eastAsia="Calibri"/>
          <w:sz w:val="24"/>
          <w:szCs w:val="24"/>
        </w:rPr>
        <w:t xml:space="preserve">V – Verificada a irregularidade de representação nas hipóteses dos itens II e IV, deve o juiz suspender o processo e designar prazo razoável para que seja sanado o vício, ainda que em instância recursal (art. 76 do CPC de 2015). </w:t>
      </w:r>
    </w:p>
    <w:p w:rsidR="00A81F5B" w:rsidRPr="00073643" w:rsidRDefault="00A81F5B" w:rsidP="00BD75B0">
      <w:pPr>
        <w:jc w:val="both"/>
        <w:rPr>
          <w:b/>
          <w:i/>
        </w:rPr>
      </w:pPr>
    </w:p>
    <w:p w:rsidR="00A81F5B" w:rsidRPr="00A81F5B" w:rsidRDefault="00A81F5B" w:rsidP="00A81F5B">
      <w:pPr>
        <w:jc w:val="both"/>
        <w:rPr>
          <w:b/>
          <w:bCs/>
          <w:iCs/>
          <w:color w:val="000000"/>
          <w:sz w:val="24"/>
          <w:szCs w:val="24"/>
        </w:rPr>
      </w:pPr>
      <w:r w:rsidRPr="00A81F5B">
        <w:rPr>
          <w:b/>
          <w:bCs/>
          <w:iCs/>
          <w:color w:val="000000"/>
          <w:sz w:val="24"/>
          <w:szCs w:val="24"/>
        </w:rPr>
        <w:t xml:space="preserve">SÚMULA </w:t>
      </w:r>
      <w:r>
        <w:rPr>
          <w:b/>
          <w:bCs/>
          <w:iCs/>
          <w:color w:val="000000"/>
          <w:sz w:val="24"/>
          <w:szCs w:val="24"/>
        </w:rPr>
        <w:t xml:space="preserve">Nº </w:t>
      </w:r>
      <w:r w:rsidRPr="00A81F5B">
        <w:rPr>
          <w:b/>
          <w:bCs/>
          <w:iCs/>
          <w:color w:val="000000"/>
          <w:sz w:val="24"/>
          <w:szCs w:val="24"/>
        </w:rPr>
        <w:t>456</w:t>
      </w:r>
      <w:r>
        <w:rPr>
          <w:b/>
          <w:bCs/>
          <w:iCs/>
          <w:color w:val="000000"/>
          <w:sz w:val="24"/>
          <w:szCs w:val="24"/>
        </w:rPr>
        <w:t xml:space="preserve"> DO TST</w:t>
      </w:r>
    </w:p>
    <w:p w:rsidR="00A81F5B" w:rsidRPr="004C3AE3" w:rsidRDefault="00A81F5B" w:rsidP="00A81F5B">
      <w:pPr>
        <w:pStyle w:val="tema"/>
        <w:spacing w:line="240" w:lineRule="auto"/>
        <w:ind w:left="0"/>
      </w:pPr>
      <w:r w:rsidRPr="00A81F5B">
        <w:rPr>
          <w:rFonts w:ascii="Times New Roman" w:eastAsia="Calibri" w:hAnsi="Times New Roman" w:cs="Times New Roman"/>
          <w:b w:val="0"/>
          <w:bCs w:val="0"/>
          <w:color w:val="auto"/>
        </w:rPr>
        <w:t xml:space="preserve">REPRESENTAÇÃO. PESSOA JURÍDICA. PROCURAÇÃO. INVALIDADE. IDENTIFICAÇÃO DO OUTORGANTE E DE SEU REPRESENTANTE </w:t>
      </w:r>
      <w:r w:rsidRPr="00A81F5B">
        <w:rPr>
          <w:rFonts w:ascii="Times New Roman" w:hAnsi="Times New Roman" w:cs="Times New Roman"/>
          <w:bCs w:val="0"/>
          <w:caps w:val="0"/>
          <w:color w:val="auto"/>
          <w:szCs w:val="20"/>
        </w:rPr>
        <w:t>(inseridos os itens II e III em decorrência do CPC de 2015)</w:t>
      </w:r>
    </w:p>
    <w:p w:rsidR="00A81F5B" w:rsidRPr="004C3AE3" w:rsidRDefault="00A81F5B" w:rsidP="00A81F5B">
      <w:pPr>
        <w:pStyle w:val="explicao0"/>
        <w:spacing w:line="240" w:lineRule="auto"/>
        <w:ind w:left="0"/>
        <w:rPr>
          <w:rFonts w:ascii="Times New Roman" w:hAnsi="Times New Roman"/>
          <w:i w:val="0"/>
        </w:rPr>
      </w:pPr>
      <w:r w:rsidRPr="004C3AE3">
        <w:rPr>
          <w:rFonts w:ascii="Times New Roman" w:hAnsi="Times New Roman"/>
          <w:i w:val="0"/>
        </w:rPr>
        <w:t>I - É inválido o instrumento de mandato firmado em nome de pessoa jurídica que não contenha, pelo menos, o nome do outorgante e do signatário da procuração, pois estes dados constituem elementos que os individualizam.</w:t>
      </w:r>
    </w:p>
    <w:p w:rsidR="00A81F5B" w:rsidRPr="00A47469" w:rsidRDefault="00A81F5B" w:rsidP="00A81F5B">
      <w:pPr>
        <w:pStyle w:val="PargrafodaLista"/>
        <w:spacing w:line="240" w:lineRule="auto"/>
        <w:ind w:left="0"/>
        <w:jc w:val="both"/>
        <w:rPr>
          <w:rFonts w:ascii="Times New Roman" w:hAnsi="Times New Roman"/>
          <w:sz w:val="24"/>
          <w:szCs w:val="24"/>
        </w:rPr>
      </w:pPr>
      <w:r w:rsidRPr="00A47469">
        <w:rPr>
          <w:rFonts w:ascii="Times New Roman" w:hAnsi="Times New Roman"/>
          <w:sz w:val="24"/>
          <w:szCs w:val="24"/>
        </w:rPr>
        <w:t>II – Verificada a irregularidade de representação da parte na instância originária, o juiz designará prazo de 5 (cinco) dias para que seja sanado o vício. Descumprida a determinação, extinguirá o processo, sem resolução de mérito, se a providência couber ao reclamante, ou considerará revel o reclamado, se a providência lhe couber (art. 76, § 1º, do CPC de 2015).</w:t>
      </w:r>
    </w:p>
    <w:p w:rsidR="00A81F5B" w:rsidRDefault="00A81F5B" w:rsidP="00A81F5B">
      <w:pPr>
        <w:pStyle w:val="PargrafodaLista"/>
        <w:spacing w:line="240" w:lineRule="auto"/>
        <w:ind w:left="0"/>
        <w:jc w:val="both"/>
        <w:rPr>
          <w:rFonts w:ascii="Times New Roman" w:hAnsi="Times New Roman"/>
          <w:sz w:val="24"/>
          <w:szCs w:val="24"/>
        </w:rPr>
      </w:pPr>
      <w:r w:rsidRPr="00A47469">
        <w:rPr>
          <w:rFonts w:ascii="Times New Roman" w:hAnsi="Times New Roman"/>
          <w:sz w:val="24"/>
          <w:szCs w:val="24"/>
        </w:rPr>
        <w:t>III – Caso a irregularidade de representação da parte seja constatada em fase recursal, o relator designará prazo de 5 (cinco) dias para que seja sanado o vício. Descumprida a determinação, o relator não conhecerá do recurso, se a providência couber ao recorrente, ou determinará o desentranhamento das contrarrazões, se a providência couber ao recorrido (art. 76, § 2º, do CPC de 2015).</w:t>
      </w:r>
    </w:p>
    <w:p w:rsidR="00A81F5B" w:rsidRPr="00073643" w:rsidRDefault="00A81F5B" w:rsidP="00A81F5B">
      <w:pPr>
        <w:pStyle w:val="PargrafodaLista"/>
        <w:spacing w:line="240" w:lineRule="auto"/>
        <w:ind w:left="0"/>
        <w:jc w:val="both"/>
        <w:rPr>
          <w:rFonts w:ascii="Times New Roman" w:hAnsi="Times New Roman"/>
          <w:sz w:val="20"/>
          <w:szCs w:val="20"/>
        </w:rPr>
      </w:pPr>
    </w:p>
    <w:p w:rsidR="00A81F5B" w:rsidRPr="004C3AE3" w:rsidRDefault="00A81F5B" w:rsidP="00A81F5B">
      <w:pPr>
        <w:jc w:val="both"/>
        <w:rPr>
          <w:b/>
          <w:sz w:val="24"/>
          <w:szCs w:val="24"/>
          <w:u w:val="single"/>
        </w:rPr>
      </w:pPr>
      <w:r w:rsidRPr="00A81F5B">
        <w:rPr>
          <w:b/>
          <w:bCs/>
          <w:iCs/>
          <w:color w:val="000000"/>
          <w:sz w:val="24"/>
          <w:szCs w:val="24"/>
        </w:rPr>
        <w:t>OJ Nº 151 DA SBDI-II</w:t>
      </w:r>
    </w:p>
    <w:p w:rsidR="00A81F5B" w:rsidRPr="00A47469" w:rsidRDefault="00A81F5B" w:rsidP="00A81F5B">
      <w:pPr>
        <w:jc w:val="both"/>
        <w:rPr>
          <w:rFonts w:eastAsia="Calibri"/>
          <w:b/>
          <w:caps/>
          <w:sz w:val="24"/>
          <w:szCs w:val="24"/>
        </w:rPr>
      </w:pPr>
      <w:r w:rsidRPr="00A81F5B">
        <w:rPr>
          <w:rFonts w:eastAsia="Calibri"/>
          <w:caps/>
          <w:sz w:val="24"/>
          <w:szCs w:val="24"/>
        </w:rPr>
        <w:t>AÇÃO RESCISÓRIA E MANDADO DE SEGURANÇA. PROCURAÇÃO. PODERES ESPECÍFICOS PARA AJUIZAMENTO DE RECLAMAÇÃO TRABALHISTA. IRREGULARIDADE DE REPRESENTAÇÃO PROCESSUAL.  FASE RECURSAL. VÍCIO PROCESSUAL SANÁVEL</w:t>
      </w:r>
      <w:r w:rsidRPr="00A47469">
        <w:rPr>
          <w:rFonts w:eastAsia="Calibri"/>
          <w:b/>
          <w:caps/>
          <w:sz w:val="24"/>
          <w:szCs w:val="24"/>
        </w:rPr>
        <w:t xml:space="preserve"> </w:t>
      </w:r>
      <w:r w:rsidRPr="00A47469">
        <w:rPr>
          <w:b/>
          <w:sz w:val="24"/>
        </w:rPr>
        <w:t>(nova redação em decorrência do CPC de 2015)</w:t>
      </w:r>
    </w:p>
    <w:p w:rsidR="00A81F5B" w:rsidRPr="00A47469" w:rsidRDefault="00A81F5B" w:rsidP="00A81F5B">
      <w:pPr>
        <w:jc w:val="both"/>
        <w:rPr>
          <w:rFonts w:eastAsia="Calibri"/>
          <w:sz w:val="24"/>
          <w:szCs w:val="24"/>
        </w:rPr>
      </w:pPr>
      <w:r w:rsidRPr="00A47469">
        <w:rPr>
          <w:rFonts w:eastAsia="Calibri"/>
          <w:sz w:val="24"/>
          <w:szCs w:val="24"/>
        </w:rPr>
        <w:t>A procuração outorgada com poderes específicos para ajuizamento de reclamação trabalhista não autoriza a propositura de ação rescisória e mandado de segurança. Constatado, todavia, o defeito de representação processual na fase recursal, cumpre ao relator ou ao tribunal conceder prazo de 5 (cinco) dias para a regularização, nos termos da Súmula nº 383, item II, do TST.</w:t>
      </w:r>
    </w:p>
    <w:p w:rsidR="00A81F5B" w:rsidRPr="004C3AE3" w:rsidRDefault="00A81F5B" w:rsidP="00A81F5B">
      <w:pPr>
        <w:ind w:left="1134" w:firstLine="1"/>
        <w:rPr>
          <w:sz w:val="24"/>
          <w:szCs w:val="24"/>
        </w:rPr>
      </w:pPr>
    </w:p>
    <w:p w:rsidR="00A81F5B" w:rsidRDefault="00073643" w:rsidP="00BD75B0">
      <w:pPr>
        <w:jc w:val="both"/>
        <w:rPr>
          <w:b/>
          <w:i/>
          <w:sz w:val="24"/>
          <w:szCs w:val="24"/>
        </w:rPr>
      </w:pPr>
      <w:r>
        <w:rPr>
          <w:b/>
          <w:i/>
          <w:sz w:val="24"/>
          <w:szCs w:val="24"/>
        </w:rPr>
        <w:t>Matéria remetida ao Tribunal Pleno. APPA. Forma de execução. Manutenção das Orientações Jurisprudenciais nº</w:t>
      </w:r>
      <w:r w:rsidR="0044014F" w:rsidRPr="0044014F">
        <w:rPr>
          <w:b/>
          <w:i/>
          <w:sz w:val="24"/>
          <w:szCs w:val="24"/>
          <w:vertAlign w:val="superscript"/>
        </w:rPr>
        <w:t>s</w:t>
      </w:r>
      <w:r>
        <w:rPr>
          <w:b/>
          <w:i/>
          <w:sz w:val="24"/>
          <w:szCs w:val="24"/>
        </w:rPr>
        <w:t xml:space="preserve"> 13 e 87 da SBDI-I.</w:t>
      </w:r>
    </w:p>
    <w:p w:rsidR="00073643" w:rsidRPr="00073643" w:rsidRDefault="00073643" w:rsidP="00BD75B0">
      <w:pPr>
        <w:jc w:val="both"/>
        <w:rPr>
          <w:sz w:val="24"/>
          <w:szCs w:val="24"/>
        </w:rPr>
      </w:pPr>
      <w:r w:rsidRPr="00073643">
        <w:rPr>
          <w:sz w:val="24"/>
          <w:szCs w:val="24"/>
        </w:rPr>
        <w:lastRenderedPageBreak/>
        <w:t xml:space="preserve">O Tribunal Pleno decidiu, por maioria, manter </w:t>
      </w:r>
      <w:r w:rsidR="00C239E0">
        <w:rPr>
          <w:sz w:val="24"/>
          <w:szCs w:val="24"/>
        </w:rPr>
        <w:t>a redação d</w:t>
      </w:r>
      <w:r w:rsidRPr="00073643">
        <w:rPr>
          <w:sz w:val="24"/>
          <w:szCs w:val="24"/>
        </w:rPr>
        <w:t>as Orientações Jurispr</w:t>
      </w:r>
      <w:r>
        <w:rPr>
          <w:sz w:val="24"/>
          <w:szCs w:val="24"/>
        </w:rPr>
        <w:t>udenciais nº</w:t>
      </w:r>
      <w:r w:rsidR="00E774F6" w:rsidRPr="00E774F6">
        <w:rPr>
          <w:sz w:val="24"/>
          <w:szCs w:val="24"/>
          <w:vertAlign w:val="superscript"/>
        </w:rPr>
        <w:t>s</w:t>
      </w:r>
      <w:r>
        <w:rPr>
          <w:sz w:val="24"/>
          <w:szCs w:val="24"/>
        </w:rPr>
        <w:t xml:space="preserve"> 13 e 87 da SBDI-I, as quais </w:t>
      </w:r>
      <w:r w:rsidR="00D737B6">
        <w:rPr>
          <w:sz w:val="24"/>
          <w:szCs w:val="24"/>
        </w:rPr>
        <w:t>estabelecem, respectivamente, que à Administração dos Portos de Paranaguá e Antonina – APPA não se aplicam os privilégios do Decreto-Lei nº 779/69, nem o regime de precatórios. Na espécie, prevaleceu o entendimento de que a jurisprudência do STF não está pacificada,</w:t>
      </w:r>
      <w:r w:rsidR="00E774F6">
        <w:rPr>
          <w:sz w:val="24"/>
          <w:szCs w:val="24"/>
        </w:rPr>
        <w:t xml:space="preserve"> especialmente após a transformação da APPA em empresa pública</w:t>
      </w:r>
      <w:r w:rsidR="0044014F">
        <w:rPr>
          <w:sz w:val="24"/>
          <w:szCs w:val="24"/>
        </w:rPr>
        <w:t xml:space="preserve"> (Lei Estadual nº 17.895/2013, regulamentada pelo Decreto Estadual nº 11.562/2014)</w:t>
      </w:r>
      <w:r w:rsidR="00E774F6">
        <w:rPr>
          <w:sz w:val="24"/>
          <w:szCs w:val="24"/>
        </w:rPr>
        <w:t>,</w:t>
      </w:r>
      <w:r w:rsidR="00D737B6">
        <w:rPr>
          <w:sz w:val="24"/>
          <w:szCs w:val="24"/>
        </w:rPr>
        <w:t xml:space="preserve"> razão pela qual não se mostra oportuno o cancelamento das orientações jurisprudenciais em questão. Vencidos os Ministros Renato de Lacerda Paiva, relator, Emmanoel Pereira, Luiz Philippe Vieira de Mello Filho, Dora Maria da Costa, Alexandre Agra Belmonte, João Oreste Dalazen e Brito Pereira</w:t>
      </w:r>
      <w:r w:rsidR="00E774F6">
        <w:rPr>
          <w:sz w:val="24"/>
          <w:szCs w:val="24"/>
        </w:rPr>
        <w:t>, que votavam pelo cancelamento das Orientações Jurisprudenciais nº</w:t>
      </w:r>
      <w:r w:rsidR="00E774F6" w:rsidRPr="00E774F6">
        <w:rPr>
          <w:sz w:val="24"/>
          <w:szCs w:val="24"/>
          <w:vertAlign w:val="superscript"/>
        </w:rPr>
        <w:t>s</w:t>
      </w:r>
      <w:r w:rsidR="00E774F6">
        <w:rPr>
          <w:sz w:val="24"/>
          <w:szCs w:val="24"/>
        </w:rPr>
        <w:t xml:space="preserve"> 13 e 87 da SBDI-I</w:t>
      </w:r>
      <w:r w:rsidR="00D737B6">
        <w:rPr>
          <w:sz w:val="24"/>
          <w:szCs w:val="24"/>
        </w:rPr>
        <w:t xml:space="preserve"> – </w:t>
      </w:r>
      <w:r w:rsidR="00D737B6" w:rsidRPr="00D737B6">
        <w:rPr>
          <w:sz w:val="24"/>
          <w:szCs w:val="24"/>
          <w:u w:val="single"/>
        </w:rPr>
        <w:t xml:space="preserve">TST-AgR-E-RR-148500-29.2004.5.09.0022, Tribunal Pleno, rel. Min. Renato de Lacerda Paiva, red. p/ acórdão </w:t>
      </w:r>
      <w:r w:rsidR="0044014F">
        <w:rPr>
          <w:sz w:val="24"/>
          <w:szCs w:val="24"/>
          <w:u w:val="single"/>
        </w:rPr>
        <w:t xml:space="preserve">Min. </w:t>
      </w:r>
      <w:r w:rsidR="00D737B6" w:rsidRPr="00D737B6">
        <w:rPr>
          <w:sz w:val="24"/>
          <w:szCs w:val="24"/>
          <w:u w:val="single"/>
        </w:rPr>
        <w:t>Augusto César Leite de Carvalho, 22.8.2016</w:t>
      </w:r>
    </w:p>
    <w:p w:rsidR="00A81F5B" w:rsidRDefault="00A81F5B" w:rsidP="00BD75B0">
      <w:pPr>
        <w:jc w:val="both"/>
        <w:rPr>
          <w:b/>
          <w:i/>
          <w:sz w:val="24"/>
          <w:szCs w:val="24"/>
        </w:rPr>
      </w:pPr>
    </w:p>
    <w:p w:rsidR="00A81F5B" w:rsidRDefault="00A81F5B" w:rsidP="00BD75B0">
      <w:pPr>
        <w:jc w:val="both"/>
        <w:rPr>
          <w:b/>
          <w:i/>
          <w:sz w:val="24"/>
          <w:szCs w:val="24"/>
        </w:rPr>
      </w:pPr>
    </w:p>
    <w:p w:rsidR="00BD75B0" w:rsidRDefault="00BD75B0" w:rsidP="000332F1">
      <w:pPr>
        <w:jc w:val="both"/>
        <w:rPr>
          <w:sz w:val="24"/>
          <w:szCs w:val="24"/>
          <w:u w:val="single"/>
        </w:rPr>
      </w:pPr>
    </w:p>
    <w:p w:rsidR="000332F1" w:rsidRDefault="000332F1" w:rsidP="00C6738C">
      <w:pPr>
        <w:rPr>
          <w:sz w:val="10"/>
          <w:szCs w:val="10"/>
        </w:rPr>
      </w:pPr>
    </w:p>
    <w:p w:rsidR="000332F1" w:rsidRDefault="000332F1" w:rsidP="00C6738C">
      <w:pPr>
        <w:rPr>
          <w:sz w:val="10"/>
          <w:szCs w:val="10"/>
        </w:rPr>
      </w:pPr>
    </w:p>
    <w:p w:rsidR="000332F1" w:rsidRDefault="000332F1" w:rsidP="00C6738C">
      <w:pPr>
        <w:rPr>
          <w:sz w:val="10"/>
          <w:szCs w:val="10"/>
        </w:rPr>
      </w:pPr>
    </w:p>
    <w:p w:rsidR="00340D16" w:rsidRPr="001D6AC9" w:rsidRDefault="00340D16"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8"/>
      <w:footerReference w:type="default" r:id="rId9"/>
      <w:headerReference w:type="first" r:id="rId10"/>
      <w:footerReference w:type="first" r:id="rId11"/>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38" w:rsidRDefault="00152238">
      <w:r>
        <w:separator/>
      </w:r>
    </w:p>
  </w:endnote>
  <w:endnote w:type="continuationSeparator" w:id="0">
    <w:p w:rsidR="00152238" w:rsidRDefault="0015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457B">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D4457B">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38" w:rsidRDefault="00152238">
      <w:r>
        <w:separator/>
      </w:r>
    </w:p>
  </w:footnote>
  <w:footnote w:type="continuationSeparator" w:id="0">
    <w:p w:rsidR="00152238" w:rsidRDefault="0015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8E3CCE">
      <w:rPr>
        <w:shadow/>
        <w:sz w:val="24"/>
        <w:szCs w:val="24"/>
      </w:rPr>
      <w:t>4</w:t>
    </w:r>
    <w:r w:rsidR="00A81F5B">
      <w:rPr>
        <w:shadow/>
        <w:sz w:val="24"/>
        <w:szCs w:val="24"/>
      </w:rPr>
      <w:t>2</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A81F5B">
      <w:rPr>
        <w:i/>
        <w:iCs/>
      </w:rPr>
      <w:t>16</w:t>
    </w:r>
    <w:r w:rsidR="008E3CCE">
      <w:rPr>
        <w:i/>
        <w:iCs/>
      </w:rPr>
      <w:t xml:space="preserve"> a </w:t>
    </w:r>
    <w:r w:rsidR="00A81F5B">
      <w:rPr>
        <w:i/>
        <w:iCs/>
      </w:rPr>
      <w:t xml:space="preserve">22 </w:t>
    </w:r>
    <w:r w:rsidR="008E3CCE">
      <w:rPr>
        <w:i/>
        <w:iCs/>
      </w:rPr>
      <w:t xml:space="preserve">de agosto </w:t>
    </w:r>
    <w:r w:rsidR="00F907EB">
      <w:rPr>
        <w:i/>
        <w:iCs/>
      </w:rPr>
      <w:t xml:space="preserve">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393131">
      <w:rPr>
        <w:b/>
        <w:sz w:val="40"/>
        <w:szCs w:val="40"/>
      </w:rPr>
      <w:t>4</w:t>
    </w:r>
    <w:r w:rsidR="00A81F5B">
      <w:rPr>
        <w:b/>
        <w:sz w:val="40"/>
        <w:szCs w:val="40"/>
      </w:rPr>
      <w:t>2</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A81F5B">
      <w:rPr>
        <w:i/>
        <w:iCs/>
      </w:rPr>
      <w:t xml:space="preserve">16 </w:t>
    </w:r>
    <w:r w:rsidR="008E3CCE" w:rsidRPr="009B320F">
      <w:rPr>
        <w:i/>
        <w:iCs/>
      </w:rPr>
      <w:t xml:space="preserve">a </w:t>
    </w:r>
    <w:r w:rsidR="00A81F5B">
      <w:rPr>
        <w:i/>
        <w:iCs/>
      </w:rPr>
      <w:t xml:space="preserve">22 </w:t>
    </w:r>
    <w:r w:rsidR="008E3CCE" w:rsidRPr="009B320F">
      <w:rPr>
        <w:i/>
        <w:iCs/>
      </w:rPr>
      <w:t>de agosto</w:t>
    </w:r>
    <w:r w:rsidR="000E5C57" w:rsidRPr="009B320F">
      <w:rPr>
        <w:i/>
        <w:iCs/>
      </w:rPr>
      <w:t xml:space="preserve"> </w:t>
    </w:r>
    <w:r w:rsidR="004A094C" w:rsidRPr="009B320F">
      <w:rPr>
        <w:i/>
        <w:iCs/>
      </w:rPr>
      <w:t>de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3803"/>
    <w:rsid w:val="00184590"/>
    <w:rsid w:val="00187A37"/>
    <w:rsid w:val="00187BEF"/>
    <w:rsid w:val="0019151D"/>
    <w:rsid w:val="00193208"/>
    <w:rsid w:val="001932B7"/>
    <w:rsid w:val="00197B15"/>
    <w:rsid w:val="001B2C08"/>
    <w:rsid w:val="001C04D2"/>
    <w:rsid w:val="001C21FB"/>
    <w:rsid w:val="001C271F"/>
    <w:rsid w:val="001C6C93"/>
    <w:rsid w:val="001D4CF9"/>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45DE"/>
    <w:rsid w:val="0037667D"/>
    <w:rsid w:val="00380212"/>
    <w:rsid w:val="00383A89"/>
    <w:rsid w:val="00384075"/>
    <w:rsid w:val="003908C5"/>
    <w:rsid w:val="00393131"/>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3641"/>
    <w:rsid w:val="0042772A"/>
    <w:rsid w:val="004323B0"/>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2EE9"/>
    <w:rsid w:val="007D469A"/>
    <w:rsid w:val="007E094E"/>
    <w:rsid w:val="007E0EA7"/>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802D2"/>
    <w:rsid w:val="00980944"/>
    <w:rsid w:val="00986D77"/>
    <w:rsid w:val="00993A6E"/>
    <w:rsid w:val="009943EC"/>
    <w:rsid w:val="009A32D5"/>
    <w:rsid w:val="009A5D37"/>
    <w:rsid w:val="009A6BD9"/>
    <w:rsid w:val="009B320F"/>
    <w:rsid w:val="009B6012"/>
    <w:rsid w:val="009C102D"/>
    <w:rsid w:val="009C2A4F"/>
    <w:rsid w:val="009D4C59"/>
    <w:rsid w:val="009D7F91"/>
    <w:rsid w:val="009E20EF"/>
    <w:rsid w:val="009E26EE"/>
    <w:rsid w:val="009F1C7B"/>
    <w:rsid w:val="009F21A2"/>
    <w:rsid w:val="00A00D70"/>
    <w:rsid w:val="00A00DEE"/>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6FE"/>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2C2"/>
    <w:rsid w:val="00C239E0"/>
    <w:rsid w:val="00C26DFB"/>
    <w:rsid w:val="00C273FA"/>
    <w:rsid w:val="00C30D06"/>
    <w:rsid w:val="00C42067"/>
    <w:rsid w:val="00C432D0"/>
    <w:rsid w:val="00C4398E"/>
    <w:rsid w:val="00C44218"/>
    <w:rsid w:val="00C51600"/>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E066A"/>
    <w:rsid w:val="00CE2928"/>
    <w:rsid w:val="00CE314A"/>
    <w:rsid w:val="00CE5865"/>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7B"/>
    <w:rsid w:val="00D4459D"/>
    <w:rsid w:val="00D44B24"/>
    <w:rsid w:val="00D573F9"/>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06DC"/>
    <w:rsid w:val="00E03064"/>
    <w:rsid w:val="00E04BD5"/>
    <w:rsid w:val="00E070D2"/>
    <w:rsid w:val="00E100F5"/>
    <w:rsid w:val="00E1139A"/>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5F06-BBB3-49BA-8837-E4504F5B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2016-08-23T18:57:00Z</cp:lastPrinted>
  <dcterms:created xsi:type="dcterms:W3CDTF">2017-05-18T23:09:00Z</dcterms:created>
  <dcterms:modified xsi:type="dcterms:W3CDTF">2017-05-18T23:09:00Z</dcterms:modified>
</cp:coreProperties>
</file>