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E531C9" w:rsidRPr="00E531C9" w:rsidRDefault="00E531C9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055A9D" w:rsidRDefault="00055A9D" w:rsidP="00C6738C">
      <w:pPr>
        <w:rPr>
          <w:sz w:val="10"/>
          <w:szCs w:val="10"/>
        </w:rPr>
      </w:pPr>
    </w:p>
    <w:p w:rsidR="00055A9D" w:rsidRPr="00CE7555" w:rsidRDefault="00055A9D" w:rsidP="00055A9D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</w:t>
      </w:r>
      <w:r w:rsidR="00BD75B0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EÇÃO 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ESPECIALIZADA EM DISSÍDIOS </w:t>
      </w:r>
      <w:r w:rsidR="00BD75B0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COLETIVOS</w:t>
      </w:r>
    </w:p>
    <w:p w:rsidR="000332F1" w:rsidRPr="000332F1" w:rsidRDefault="000332F1" w:rsidP="008E3CCE">
      <w:pPr>
        <w:jc w:val="both"/>
        <w:rPr>
          <w:rFonts w:eastAsia="Calibri"/>
          <w:sz w:val="10"/>
          <w:szCs w:val="10"/>
          <w:u w:val="single"/>
        </w:rPr>
      </w:pPr>
    </w:p>
    <w:p w:rsidR="00BD75B0" w:rsidRPr="00BD75B0" w:rsidRDefault="00BD75B0" w:rsidP="00BD75B0">
      <w:pPr>
        <w:jc w:val="both"/>
        <w:rPr>
          <w:b/>
          <w:i/>
          <w:sz w:val="24"/>
          <w:szCs w:val="24"/>
        </w:rPr>
      </w:pPr>
      <w:r w:rsidRPr="00BD75B0">
        <w:rPr>
          <w:b/>
          <w:i/>
          <w:sz w:val="24"/>
          <w:szCs w:val="24"/>
        </w:rPr>
        <w:t>Dissídio coletivo de natureza jurídica. Dispensa em massa. Adequação da via eleita. Matéria suspensa para apreciação pelo Tribunal Pleno.</w:t>
      </w:r>
    </w:p>
    <w:p w:rsidR="00BD75B0" w:rsidRPr="00895245" w:rsidRDefault="00BD75B0" w:rsidP="00BD75B0">
      <w:pPr>
        <w:ind w:right="-74"/>
        <w:jc w:val="both"/>
        <w:rPr>
          <w:rStyle w:val="f51"/>
          <w:rFonts w:ascii="Times New Roman" w:hAnsi="Times New Roman"/>
        </w:rPr>
      </w:pPr>
      <w:r>
        <w:rPr>
          <w:rStyle w:val="f51"/>
          <w:rFonts w:ascii="Times New Roman" w:hAnsi="Times New Roman"/>
        </w:rPr>
        <w:t xml:space="preserve">A SDC decidiu, por maioria, nos termos do art. 77, II, do RITST, suspender a proclamação do resultado do julgamento e remeter ao Tribunal Pleno os autos do processo em que se discute se o dissídio coletivo de natureza jurídica é o meio adequado para analisar questões relativas à dispensa coletiva. Na espécie, enquanto os Ministros Mauricio Godinho Delgado, relator, e Kátia Arruda Magalhães inclinavam-se no sentido de que os casos de dispensa em massa podem ser dirimidos no âmbito do dissídio coletivo de natureza jurídica, os Ministros Ives Gandra </w:t>
      </w:r>
      <w:r w:rsidRPr="006B7AA9">
        <w:rPr>
          <w:rStyle w:val="f51"/>
          <w:rFonts w:ascii="Times New Roman" w:hAnsi="Times New Roman"/>
        </w:rPr>
        <w:t>da Silva Martins Filho, Maria Cristina Irigoyen Peduzzi, Maria de Assis Calsing e Dora Maria da Costa</w:t>
      </w:r>
      <w:r>
        <w:rPr>
          <w:rStyle w:val="f51"/>
          <w:rFonts w:ascii="Times New Roman" w:hAnsi="Times New Roman"/>
        </w:rPr>
        <w:t xml:space="preserve"> negavam provimento ao recurso ordinário, mantendo a extinção do processo sem resolução do mérito, por inadequação da via eleita, nos termos do art. 220, II, do RITST. Vencidas, quanto à remessa dos autos ao Tribunal Pleno, as Ministras Maria Cristina Irigoyen Peduzzi e Dora Maria da Costa</w:t>
      </w:r>
      <w:r w:rsidR="009B320F">
        <w:rPr>
          <w:rStyle w:val="f51"/>
          <w:rFonts w:ascii="Times New Roman" w:hAnsi="Times New Roman"/>
        </w:rPr>
        <w:t>.</w:t>
      </w:r>
      <w:r>
        <w:rPr>
          <w:rStyle w:val="f51"/>
          <w:rFonts w:ascii="Times New Roman" w:hAnsi="Times New Roman"/>
        </w:rPr>
        <w:t xml:space="preserve"> </w:t>
      </w:r>
      <w:hyperlink r:id="rId8" w:history="1">
        <w:r w:rsidRPr="009B320F">
          <w:rPr>
            <w:rStyle w:val="Hyperlink"/>
            <w:sz w:val="24"/>
            <w:szCs w:val="24"/>
          </w:rPr>
          <w:t>TST-RO-10782-38.2015.5.03.0000</w:t>
        </w:r>
      </w:hyperlink>
      <w:r>
        <w:rPr>
          <w:sz w:val="24"/>
          <w:szCs w:val="24"/>
          <w:u w:val="single"/>
        </w:rPr>
        <w:t>, SDC</w:t>
      </w:r>
      <w:r w:rsidRPr="00895245">
        <w:rPr>
          <w:sz w:val="24"/>
          <w:szCs w:val="24"/>
          <w:u w:val="single"/>
        </w:rPr>
        <w:t xml:space="preserve">, rel. Min. Mauricio Godinho Delgado, </w:t>
      </w:r>
      <w:r>
        <w:rPr>
          <w:sz w:val="24"/>
          <w:szCs w:val="24"/>
          <w:u w:val="single"/>
        </w:rPr>
        <w:t>15</w:t>
      </w:r>
      <w:r w:rsidRPr="00895245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8</w:t>
      </w:r>
      <w:r w:rsidRPr="00895245">
        <w:rPr>
          <w:sz w:val="24"/>
          <w:szCs w:val="24"/>
          <w:u w:val="single"/>
        </w:rPr>
        <w:t>.2016</w:t>
      </w:r>
    </w:p>
    <w:p w:rsidR="00BD75B0" w:rsidRDefault="00BD75B0" w:rsidP="000332F1">
      <w:pPr>
        <w:jc w:val="both"/>
        <w:rPr>
          <w:sz w:val="24"/>
          <w:szCs w:val="24"/>
          <w:u w:val="single"/>
        </w:rPr>
      </w:pPr>
    </w:p>
    <w:p w:rsidR="00BD75B0" w:rsidRPr="00CE7555" w:rsidRDefault="00BD75B0" w:rsidP="00BD75B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BD75B0" w:rsidRPr="000332F1" w:rsidRDefault="00BD75B0" w:rsidP="00BD75B0">
      <w:pPr>
        <w:jc w:val="both"/>
        <w:rPr>
          <w:rFonts w:eastAsia="Calibri"/>
          <w:sz w:val="10"/>
          <w:szCs w:val="10"/>
          <w:u w:val="single"/>
        </w:rPr>
      </w:pPr>
    </w:p>
    <w:p w:rsidR="00BD75B0" w:rsidRDefault="00BD75B0" w:rsidP="00BD75B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Pr="00FD472C">
        <w:rPr>
          <w:b/>
          <w:i/>
          <w:sz w:val="24"/>
          <w:szCs w:val="24"/>
        </w:rPr>
        <w:t xml:space="preserve">rabalhador portuário avulso. </w:t>
      </w:r>
      <w:r>
        <w:rPr>
          <w:b/>
          <w:i/>
          <w:sz w:val="24"/>
          <w:szCs w:val="24"/>
        </w:rPr>
        <w:t>P</w:t>
      </w:r>
      <w:r w:rsidRPr="00FD472C">
        <w:rPr>
          <w:b/>
          <w:i/>
          <w:sz w:val="24"/>
          <w:szCs w:val="24"/>
        </w:rPr>
        <w:t>rescrição biena</w:t>
      </w:r>
      <w:r>
        <w:rPr>
          <w:b/>
          <w:i/>
          <w:sz w:val="24"/>
          <w:szCs w:val="24"/>
        </w:rPr>
        <w:t>l e quinquenal</w:t>
      </w:r>
      <w:r w:rsidRPr="00FD472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C</w:t>
      </w:r>
      <w:r w:rsidRPr="00CA3F5B">
        <w:rPr>
          <w:b/>
          <w:i/>
          <w:sz w:val="24"/>
          <w:szCs w:val="24"/>
        </w:rPr>
        <w:t xml:space="preserve">ancelamento da </w:t>
      </w:r>
      <w:r>
        <w:rPr>
          <w:b/>
          <w:i/>
          <w:sz w:val="24"/>
          <w:szCs w:val="24"/>
        </w:rPr>
        <w:t>Orientação Jurisprudencial</w:t>
      </w:r>
      <w:r w:rsidRPr="00CA3F5B">
        <w:rPr>
          <w:b/>
          <w:i/>
          <w:sz w:val="24"/>
          <w:szCs w:val="24"/>
        </w:rPr>
        <w:t xml:space="preserve"> nº 384</w:t>
      </w:r>
      <w:r>
        <w:rPr>
          <w:b/>
          <w:i/>
          <w:sz w:val="24"/>
          <w:szCs w:val="24"/>
        </w:rPr>
        <w:t xml:space="preserve"> da SBDI-I</w:t>
      </w:r>
      <w:r w:rsidRPr="00CA3F5B">
        <w:rPr>
          <w:b/>
          <w:i/>
          <w:sz w:val="24"/>
          <w:szCs w:val="24"/>
        </w:rPr>
        <w:t>.</w:t>
      </w:r>
      <w:r w:rsidRPr="00FD472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Lei nº 12.815/2013.</w:t>
      </w:r>
    </w:p>
    <w:p w:rsidR="00BD75B0" w:rsidRPr="00CA3F5B" w:rsidRDefault="00BD75B0" w:rsidP="00BD75B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Para o trabalhador portuário avulso, o prazo prescricional bienal conta-se a partir do cancelamento do registro ou do cadastro junto ao Órgão Gestor de Mão de Obra – OGMO, não mais se aplicando o entendimento contido na cancelada Orientação Jurisprudencial nº 384 da SBDI-I, no sentido de que </w:t>
      </w:r>
      <w:r w:rsidRPr="001D7792">
        <w:rPr>
          <w:sz w:val="24"/>
          <w:szCs w:val="24"/>
        </w:rPr>
        <w:t>a prescrição bienal conta-se da data do término de cada prestação de serviço</w:t>
      </w:r>
      <w:r>
        <w:rPr>
          <w:sz w:val="24"/>
          <w:szCs w:val="24"/>
        </w:rPr>
        <w:t xml:space="preserve"> (engajamento). Na vigência do credenciamento permanece a incidência da prescrição quinquenal, pois os trabalhadores portuários avulsos cadastrados </w:t>
      </w:r>
      <w:r w:rsidR="00953B29">
        <w:rPr>
          <w:sz w:val="24"/>
          <w:szCs w:val="24"/>
        </w:rPr>
        <w:t>estão</w:t>
      </w:r>
      <w:r>
        <w:rPr>
          <w:sz w:val="24"/>
          <w:szCs w:val="24"/>
        </w:rPr>
        <w:t xml:space="preserve"> ligados ao</w:t>
      </w:r>
      <w:r w:rsidRPr="00FD472C">
        <w:rPr>
          <w:sz w:val="24"/>
          <w:szCs w:val="24"/>
        </w:rPr>
        <w:t xml:space="preserve"> OGMO</w:t>
      </w:r>
      <w:r>
        <w:rPr>
          <w:sz w:val="24"/>
          <w:szCs w:val="24"/>
        </w:rPr>
        <w:t xml:space="preserve"> de forma direta, sucessiva e contínua, cabendo a ele atuar como intermediário </w:t>
      </w:r>
      <w:r w:rsidRPr="00FD472C">
        <w:rPr>
          <w:sz w:val="24"/>
          <w:szCs w:val="24"/>
        </w:rPr>
        <w:t>entre os trabalhadores</w:t>
      </w:r>
      <w:r>
        <w:rPr>
          <w:sz w:val="24"/>
          <w:szCs w:val="24"/>
        </w:rPr>
        <w:t xml:space="preserve"> e</w:t>
      </w:r>
      <w:r w:rsidRPr="00FD472C">
        <w:rPr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 w:rsidRPr="00FD472C">
        <w:rPr>
          <w:sz w:val="24"/>
          <w:szCs w:val="24"/>
        </w:rPr>
        <w:t xml:space="preserve"> tomadores d</w:t>
      </w:r>
      <w:r>
        <w:rPr>
          <w:sz w:val="24"/>
          <w:szCs w:val="24"/>
        </w:rPr>
        <w:t>e</w:t>
      </w:r>
      <w:r w:rsidRPr="00FD472C">
        <w:rPr>
          <w:sz w:val="24"/>
          <w:szCs w:val="24"/>
        </w:rPr>
        <w:t xml:space="preserve"> serviços</w:t>
      </w:r>
      <w:r>
        <w:rPr>
          <w:sz w:val="24"/>
          <w:szCs w:val="24"/>
        </w:rPr>
        <w:t>. Corrobora esse entendimento o art. 37, § 4º, da</w:t>
      </w:r>
      <w:r w:rsidRPr="00FD472C">
        <w:rPr>
          <w:sz w:val="24"/>
          <w:szCs w:val="24"/>
        </w:rPr>
        <w:t xml:space="preserve"> Lei nº 12.815</w:t>
      </w:r>
      <w:r>
        <w:rPr>
          <w:sz w:val="24"/>
          <w:szCs w:val="24"/>
        </w:rPr>
        <w:t xml:space="preserve">, de </w:t>
      </w:r>
      <w:r w:rsidRPr="00FD472C">
        <w:rPr>
          <w:sz w:val="24"/>
          <w:szCs w:val="24"/>
        </w:rPr>
        <w:t>2013</w:t>
      </w:r>
      <w:r>
        <w:rPr>
          <w:sz w:val="24"/>
          <w:szCs w:val="24"/>
        </w:rPr>
        <w:t>,</w:t>
      </w:r>
      <w:r w:rsidRPr="00FD4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segundo o qual </w:t>
      </w:r>
      <w:r w:rsidRPr="00FD472C">
        <w:rPr>
          <w:sz w:val="24"/>
          <w:szCs w:val="24"/>
        </w:rPr>
        <w:t>“as ações relativas aos créditos decorrentes da relação de trabalho avulso prescrevem em 5 (cinco) anos até o limite de 2 (dois) anos após o cancelamento do registro ou do cadastro no órgão gestor de mão de obra”.</w:t>
      </w:r>
      <w:r>
        <w:rPr>
          <w:sz w:val="24"/>
          <w:szCs w:val="24"/>
        </w:rPr>
        <w:t xml:space="preserve"> Sob esses fundamentos, </w:t>
      </w:r>
      <w:r w:rsidRPr="00B4525E">
        <w:rPr>
          <w:sz w:val="24"/>
          <w:szCs w:val="24"/>
        </w:rPr>
        <w:t xml:space="preserve">a SBDI-I, por </w:t>
      </w:r>
      <w:r>
        <w:rPr>
          <w:sz w:val="24"/>
          <w:szCs w:val="24"/>
        </w:rPr>
        <w:t>maioria</w:t>
      </w:r>
      <w:r w:rsidRPr="00B4525E">
        <w:rPr>
          <w:sz w:val="24"/>
          <w:szCs w:val="24"/>
        </w:rPr>
        <w:t>,</w:t>
      </w:r>
      <w:r>
        <w:rPr>
          <w:sz w:val="24"/>
          <w:szCs w:val="24"/>
        </w:rPr>
        <w:t xml:space="preserve"> não</w:t>
      </w:r>
      <w:r w:rsidRPr="00B4525E">
        <w:rPr>
          <w:sz w:val="24"/>
          <w:szCs w:val="24"/>
        </w:rPr>
        <w:t xml:space="preserve"> conhec</w:t>
      </w:r>
      <w:r>
        <w:rPr>
          <w:sz w:val="24"/>
          <w:szCs w:val="24"/>
        </w:rPr>
        <w:t>eu dos embargos interpostos pelas</w:t>
      </w:r>
      <w:r w:rsidRPr="00B4525E">
        <w:rPr>
          <w:sz w:val="24"/>
          <w:szCs w:val="24"/>
        </w:rPr>
        <w:t xml:space="preserve"> </w:t>
      </w:r>
      <w:r>
        <w:rPr>
          <w:sz w:val="24"/>
          <w:szCs w:val="24"/>
        </w:rPr>
        <w:t>reclamadas,</w:t>
      </w:r>
      <w:r w:rsidRPr="00B4525E">
        <w:rPr>
          <w:sz w:val="24"/>
          <w:szCs w:val="24"/>
        </w:rPr>
        <w:t xml:space="preserve"> mantendo a decisão turmária </w:t>
      </w:r>
      <w:r>
        <w:rPr>
          <w:sz w:val="24"/>
          <w:szCs w:val="24"/>
        </w:rPr>
        <w:t xml:space="preserve">que </w:t>
      </w:r>
      <w:r w:rsidRPr="00187165">
        <w:rPr>
          <w:sz w:val="24"/>
          <w:szCs w:val="24"/>
        </w:rPr>
        <w:t>declarar</w:t>
      </w:r>
      <w:r>
        <w:rPr>
          <w:sz w:val="24"/>
          <w:szCs w:val="24"/>
        </w:rPr>
        <w:t>a</w:t>
      </w:r>
      <w:r w:rsidRPr="00187165">
        <w:rPr>
          <w:sz w:val="24"/>
          <w:szCs w:val="24"/>
        </w:rPr>
        <w:t xml:space="preserve"> que a prescrição incidente ao caso é a quinquenal.</w:t>
      </w:r>
      <w:r>
        <w:rPr>
          <w:sz w:val="24"/>
          <w:szCs w:val="24"/>
        </w:rPr>
        <w:t xml:space="preserve"> Vencidos os Ministros </w:t>
      </w:r>
      <w:r w:rsidRPr="00CA3F5B">
        <w:rPr>
          <w:sz w:val="24"/>
          <w:szCs w:val="24"/>
        </w:rPr>
        <w:t>Ives Gandra da Silva Martins Filho</w:t>
      </w:r>
      <w:r>
        <w:rPr>
          <w:sz w:val="24"/>
          <w:szCs w:val="24"/>
        </w:rPr>
        <w:t xml:space="preserve">, </w:t>
      </w:r>
      <w:r w:rsidRPr="00CA3F5B">
        <w:rPr>
          <w:sz w:val="24"/>
          <w:szCs w:val="24"/>
        </w:rPr>
        <w:t>João Oreste Dalazen</w:t>
      </w:r>
      <w:r>
        <w:rPr>
          <w:sz w:val="24"/>
          <w:szCs w:val="24"/>
        </w:rPr>
        <w:t xml:space="preserve">, </w:t>
      </w:r>
      <w:r w:rsidRPr="00CA3F5B">
        <w:rPr>
          <w:sz w:val="24"/>
          <w:szCs w:val="24"/>
        </w:rPr>
        <w:t>Renato de Lacerda Paiva</w:t>
      </w:r>
      <w:r>
        <w:rPr>
          <w:sz w:val="24"/>
          <w:szCs w:val="24"/>
        </w:rPr>
        <w:t xml:space="preserve">, </w:t>
      </w:r>
      <w:r w:rsidRPr="00CA3F5B">
        <w:rPr>
          <w:sz w:val="24"/>
          <w:szCs w:val="24"/>
        </w:rPr>
        <w:t>Guilherme Augusto Caputo Bastos</w:t>
      </w:r>
      <w:r>
        <w:rPr>
          <w:sz w:val="24"/>
          <w:szCs w:val="24"/>
        </w:rPr>
        <w:t xml:space="preserve"> e </w:t>
      </w:r>
      <w:r w:rsidRPr="00CA3F5B">
        <w:rPr>
          <w:sz w:val="24"/>
          <w:szCs w:val="24"/>
        </w:rPr>
        <w:t>Walmir Oliveira da Costa</w:t>
      </w:r>
      <w:r>
        <w:rPr>
          <w:sz w:val="24"/>
          <w:szCs w:val="24"/>
        </w:rPr>
        <w:t xml:space="preserve">. </w:t>
      </w:r>
      <w:hyperlink r:id="rId9" w:history="1">
        <w:r w:rsidRPr="00CA3F5B">
          <w:rPr>
            <w:rStyle w:val="Hyperlink"/>
            <w:sz w:val="24"/>
            <w:szCs w:val="24"/>
          </w:rPr>
          <w:t>TST-E-ED-RR-183000-24.2007.5.05.0121</w:t>
        </w:r>
      </w:hyperlink>
      <w:r w:rsidRPr="00CA3F5B">
        <w:rPr>
          <w:sz w:val="24"/>
          <w:szCs w:val="24"/>
          <w:u w:val="single"/>
        </w:rPr>
        <w:t>, SBDI-I, rel. Min. José Roberto Freire Pimenta, 4.8.2016</w:t>
      </w:r>
    </w:p>
    <w:p w:rsidR="00FE421F" w:rsidRPr="008E3CCE" w:rsidRDefault="00FE421F" w:rsidP="00C6738C"/>
    <w:p w:rsidR="00B335D5" w:rsidRPr="00CE7555" w:rsidRDefault="00B335D5" w:rsidP="00B335D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SUBSEÇÃO </w:t>
      </w:r>
      <w:r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II</w:t>
      </w: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 xml:space="preserve"> ESPECIALIZADA EM DISSÍDIOS INDIVIDUAIS</w:t>
      </w:r>
    </w:p>
    <w:p w:rsidR="008A1A58" w:rsidRPr="00FE421F" w:rsidRDefault="008A1A58" w:rsidP="00B335D5">
      <w:pPr>
        <w:pStyle w:val="Corpo"/>
        <w:spacing w:line="240" w:lineRule="auto"/>
        <w:ind w:firstLine="0"/>
        <w:rPr>
          <w:rFonts w:ascii="Times New Roman" w:hAnsi="Times New Roman"/>
          <w:sz w:val="10"/>
          <w:szCs w:val="10"/>
          <w:u w:val="single"/>
          <w:lang w:val="pt-BR"/>
        </w:rPr>
      </w:pPr>
    </w:p>
    <w:p w:rsidR="000332F1" w:rsidRPr="000332F1" w:rsidRDefault="000332F1" w:rsidP="000332F1">
      <w:pPr>
        <w:ind w:right="-1"/>
        <w:jc w:val="both"/>
        <w:rPr>
          <w:b/>
          <w:i/>
          <w:sz w:val="24"/>
          <w:szCs w:val="24"/>
        </w:rPr>
      </w:pPr>
      <w:r w:rsidRPr="000332F1">
        <w:rPr>
          <w:b/>
          <w:i/>
          <w:sz w:val="24"/>
          <w:szCs w:val="24"/>
        </w:rPr>
        <w:t>Mandado de segurança. Pedido de antecipação de tutela. Indeferimento pelo juízo de origem. Presença dos pressupostos autorizadores da tutela antecipada. Mitigação da Súmula nº 418 do TST.</w:t>
      </w:r>
    </w:p>
    <w:p w:rsidR="000332F1" w:rsidRDefault="000332F1" w:rsidP="000332F1">
      <w:pPr>
        <w:jc w:val="both"/>
        <w:rPr>
          <w:sz w:val="24"/>
          <w:szCs w:val="24"/>
          <w:u w:val="single"/>
        </w:rPr>
      </w:pPr>
      <w:r w:rsidRPr="000332F1">
        <w:rPr>
          <w:sz w:val="24"/>
          <w:szCs w:val="24"/>
        </w:rPr>
        <w:t xml:space="preserve">Há direito líquido e certo tutelável pela via do mandado de segurança na hipótese em que, embora presentes os pressupostos do art. 273 do CPC de 1973, a antecipação de tutela não foi concedida </w:t>
      </w:r>
      <w:r w:rsidRPr="000332F1">
        <w:rPr>
          <w:sz w:val="24"/>
          <w:szCs w:val="24"/>
        </w:rPr>
        <w:lastRenderedPageBreak/>
        <w:t xml:space="preserve">pelo juízo de origem. No caso, a autoridade coatora indeferiu a reintegração do impetrante ao emprego não obstante, na própria fundamentação do ato coator, tenha constado a existência de prova inequívoca da verossimilhança da alegação, qual seja, o ato oficial da Previdência Social concedendo ao trabalhador, no período de aviso prévio, auxílio doença acidentário. Ao menos em tese, portanto, a dispensa imotivada teria ofendido a estabilidade prevista no art. 118 da Lei nº 8.213/91, causando prejuízo desproporcional ao empregado despedido, revelando a plausibilidade do direito a ser resguardado. Assim, mitigando o entendimento consolidado na Súmula nº 418 do TST, a SBDI-II, por unanimidade, conheceu do recurso ordinário e, no mérito, negou-lhe provimento, mantendo a decisão proferida pelo Tribunal Regional que, concedendo a segurança pleiteada, determinou a reintegração imediata do trabalhador. </w:t>
      </w:r>
      <w:hyperlink r:id="rId10" w:history="1">
        <w:r w:rsidRPr="000332F1">
          <w:rPr>
            <w:rStyle w:val="Hyperlink"/>
            <w:sz w:val="24"/>
            <w:szCs w:val="24"/>
          </w:rPr>
          <w:t>TST-RO-578-75.2015.5.05.0000</w:t>
        </w:r>
      </w:hyperlink>
      <w:r w:rsidRPr="000332F1">
        <w:rPr>
          <w:sz w:val="24"/>
          <w:szCs w:val="24"/>
          <w:u w:val="single"/>
        </w:rPr>
        <w:t>, SBDI-II, rel. Min. Alberto Luiz Bresciani de Fontan Pereira, 2.8.2016</w:t>
      </w:r>
    </w:p>
    <w:p w:rsidR="000332F1" w:rsidRPr="000332F1" w:rsidRDefault="000332F1" w:rsidP="000332F1">
      <w:pPr>
        <w:jc w:val="both"/>
        <w:rPr>
          <w:u w:val="single"/>
        </w:rPr>
      </w:pPr>
    </w:p>
    <w:p w:rsidR="000332F1" w:rsidRPr="00F6540E" w:rsidRDefault="000332F1" w:rsidP="000332F1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Ação rescisória.</w:t>
      </w:r>
      <w:r w:rsidRPr="00F6540E">
        <w:rPr>
          <w:rFonts w:eastAsia="Calibri"/>
          <w:b/>
          <w:i/>
          <w:sz w:val="24"/>
          <w:szCs w:val="24"/>
        </w:rPr>
        <w:t xml:space="preserve"> </w:t>
      </w:r>
      <w:r>
        <w:rPr>
          <w:rFonts w:eastAsia="Calibri"/>
          <w:b/>
          <w:i/>
          <w:sz w:val="24"/>
          <w:szCs w:val="24"/>
        </w:rPr>
        <w:t>R</w:t>
      </w:r>
      <w:r w:rsidRPr="00F6540E">
        <w:rPr>
          <w:rFonts w:eastAsia="Calibri"/>
          <w:b/>
          <w:i/>
          <w:sz w:val="24"/>
          <w:szCs w:val="24"/>
        </w:rPr>
        <w:t>eintegração por acometimento de doença ocupacional e por ausência de motivação do ato de dispensa.</w:t>
      </w:r>
      <w:r>
        <w:rPr>
          <w:rFonts w:eastAsia="Calibri"/>
          <w:b/>
          <w:i/>
          <w:sz w:val="24"/>
          <w:szCs w:val="24"/>
        </w:rPr>
        <w:t xml:space="preserve"> Pretensões autônomas.</w:t>
      </w:r>
      <w:r w:rsidRPr="00F6540E">
        <w:rPr>
          <w:rFonts w:eastAsia="Calibri"/>
          <w:b/>
          <w:i/>
          <w:sz w:val="24"/>
          <w:szCs w:val="24"/>
        </w:rPr>
        <w:t xml:space="preserve"> Inexistência do óbice da O</w:t>
      </w:r>
      <w:r>
        <w:rPr>
          <w:rFonts w:eastAsia="Calibri"/>
          <w:b/>
          <w:i/>
          <w:sz w:val="24"/>
          <w:szCs w:val="24"/>
        </w:rPr>
        <w:t xml:space="preserve">rientação Jurisprudencial nº </w:t>
      </w:r>
      <w:r w:rsidRPr="00F6540E">
        <w:rPr>
          <w:rFonts w:eastAsia="Calibri"/>
          <w:b/>
          <w:i/>
          <w:sz w:val="24"/>
          <w:szCs w:val="24"/>
        </w:rPr>
        <w:t>112 da SBDI-</w:t>
      </w:r>
      <w:r>
        <w:rPr>
          <w:rFonts w:eastAsia="Calibri"/>
          <w:b/>
          <w:i/>
          <w:sz w:val="24"/>
          <w:szCs w:val="24"/>
        </w:rPr>
        <w:t xml:space="preserve">II. </w:t>
      </w:r>
    </w:p>
    <w:p w:rsidR="000332F1" w:rsidRPr="00F6540E" w:rsidRDefault="000332F1" w:rsidP="000332F1">
      <w:pPr>
        <w:jc w:val="both"/>
        <w:rPr>
          <w:rFonts w:eastAsia="Calibri"/>
          <w:color w:val="FF0000"/>
          <w:sz w:val="24"/>
          <w:szCs w:val="24"/>
        </w:rPr>
      </w:pPr>
      <w:r w:rsidRPr="000332F1">
        <w:rPr>
          <w:color w:val="000000"/>
          <w:sz w:val="24"/>
          <w:szCs w:val="24"/>
        </w:rPr>
        <w:t>A diretriz consagrada na Orientação Jurisprudencial nº 112 da SBDI-II, no sentido de ser necessário invocar causas de rescindibilidade que infirmem a fundamentação dúplice da decisão rescindenda, não se aplica ao caso em que houve o deferimento de duas pretensões autônomas.  Na hipótese, o acórdão rescindendo não adotou motivação dúplice em relação a um único direito, mas reconheceu duas pretensões distintas, quais sejam, o direito à reintegração decorrente da doença ocupacional e o direito à reintegração em virtude da ilegalidade da dispensa por ausência de motivação do ato, as quais, inclusive, geram diferentes consequências.  Assim sendo, não há qualquer obstáculo a que o autor dirija a pretensão desconstitutiva apenas contra a ilegalidade da dispensa por ausência de motivação, apontando violação dos arts. 5º, II, 7º, II e III, 37, II, 41 e 173, § 1º, II, da CF. Sob esse fundamento, a SBDI-II, por unanimidade, conheceu do recurso ordinário e, no mérito, deu-lhe provimento para determinar o retorno dos autos à origem a fim de que, afastado o óbice da Orientação Jurisprudencial nº 112 da SBDI-II, examine o pedido de corte rescisório.</w:t>
      </w:r>
      <w:r>
        <w:t xml:space="preserve"> </w:t>
      </w:r>
      <w:hyperlink r:id="rId11" w:history="1">
        <w:r w:rsidRPr="000332F1">
          <w:rPr>
            <w:rStyle w:val="Hyperlink"/>
            <w:rFonts w:eastAsia="Calibri"/>
            <w:sz w:val="24"/>
            <w:szCs w:val="24"/>
          </w:rPr>
          <w:t>TST-RO-889-94.2011.5.09.0000</w:t>
        </w:r>
      </w:hyperlink>
      <w:r w:rsidRPr="00A316BC">
        <w:rPr>
          <w:rFonts w:eastAsia="Calibri"/>
          <w:sz w:val="24"/>
          <w:szCs w:val="24"/>
          <w:u w:val="single"/>
        </w:rPr>
        <w:t xml:space="preserve">, SBDI-II, rel. </w:t>
      </w:r>
      <w:r w:rsidRPr="00F6540E">
        <w:rPr>
          <w:rFonts w:eastAsia="Calibri"/>
          <w:sz w:val="24"/>
          <w:szCs w:val="24"/>
          <w:u w:val="single"/>
        </w:rPr>
        <w:t>Min. Douglas Alencar Rodrigues, 2.8.2016</w:t>
      </w:r>
      <w:r w:rsidRPr="00F6540E">
        <w:rPr>
          <w:i/>
          <w:sz w:val="24"/>
          <w:szCs w:val="24"/>
        </w:rPr>
        <w:t xml:space="preserve"> </w:t>
      </w:r>
    </w:p>
    <w:p w:rsidR="00FE421F" w:rsidRPr="000332F1" w:rsidRDefault="00FE421F" w:rsidP="008E3CCE">
      <w:pPr>
        <w:ind w:right="-1"/>
        <w:jc w:val="both"/>
        <w:rPr>
          <w:b/>
          <w:i/>
        </w:rPr>
      </w:pPr>
    </w:p>
    <w:p w:rsidR="000332F1" w:rsidRDefault="000332F1" w:rsidP="000332F1">
      <w:pPr>
        <w:jc w:val="both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Competência da Justiça do Trabalho. Ação civil pública. Caminhoneiro. Ausência de relação de emprego ou de trabalho com a empresa que mantém terminais de carga e descarga. Questões de saúde, segurança e higiene do trabalho. Tutela de direitos trabalhistas coletivos. </w:t>
      </w:r>
    </w:p>
    <w:p w:rsidR="000332F1" w:rsidRPr="00EC4D75" w:rsidRDefault="000332F1" w:rsidP="000332F1">
      <w:pPr>
        <w:jc w:val="both"/>
        <w:rPr>
          <w:rFonts w:eastAsia="Calibri"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>Em se tratando de controvérsia envolvendo questões de saúde, segurança e higiene do trabalho, subsiste a competência da Justiça do Trabalho e o interesse de atuação do Ministério Público do Trabalho, ainda que o pedido e a causa de pedir não decorram de contrato de emprego ou de trabalho, mas envolvam a tutela de direitos trabalhistas coletivos de motoristas autônomos (caminhoneiros) que prestam serviço junto a terminais de carga e descargas de grãos mantidos por empresa de logística. Sob esse fundamento, a SBDI-II, por unanimidade, conheceu do recurso ordinário e, no mérito, negou-lhe provimento, mantendo, portanto, a decisão do TRT que julgara improcedente a ação rescisória, fundada em violação do art. 114, I, VI e IX, da CF, por meio da qual se pretendia desconstituir acordão pro</w:t>
      </w:r>
      <w:r w:rsidRPr="002C73F4">
        <w:rPr>
          <w:rFonts w:eastAsia="Calibri"/>
          <w:sz w:val="24"/>
          <w:szCs w:val="24"/>
        </w:rPr>
        <w:t>latado pela 2ª Vara do Trabalho de Rondonópolis/MT nos autos de ação civil pública.</w:t>
      </w:r>
      <w:r>
        <w:rPr>
          <w:rFonts w:eastAsia="Calibri"/>
          <w:sz w:val="24"/>
          <w:szCs w:val="24"/>
        </w:rPr>
        <w:t xml:space="preserve"> </w:t>
      </w:r>
      <w:hyperlink r:id="rId12" w:history="1">
        <w:r w:rsidRPr="000332F1">
          <w:rPr>
            <w:rStyle w:val="Hyperlink"/>
            <w:rFonts w:eastAsia="Calibri"/>
            <w:sz w:val="24"/>
            <w:szCs w:val="24"/>
          </w:rPr>
          <w:t>TST-RO-327-27.2013.5.23.0000</w:t>
        </w:r>
      </w:hyperlink>
      <w:r w:rsidRPr="00EA2BB2">
        <w:rPr>
          <w:rFonts w:eastAsia="Calibri"/>
          <w:sz w:val="24"/>
          <w:szCs w:val="24"/>
          <w:u w:val="single"/>
        </w:rPr>
        <w:t>, SBDI-</w:t>
      </w:r>
      <w:r>
        <w:rPr>
          <w:rFonts w:eastAsia="Calibri"/>
          <w:sz w:val="24"/>
          <w:szCs w:val="24"/>
          <w:u w:val="single"/>
        </w:rPr>
        <w:t>I</w:t>
      </w:r>
      <w:r w:rsidRPr="00EA2BB2">
        <w:rPr>
          <w:rFonts w:eastAsia="Calibri"/>
          <w:sz w:val="24"/>
          <w:szCs w:val="24"/>
          <w:u w:val="single"/>
        </w:rPr>
        <w:t xml:space="preserve">I, rel. Min. </w:t>
      </w:r>
      <w:r>
        <w:rPr>
          <w:rFonts w:eastAsia="Calibri"/>
          <w:sz w:val="24"/>
          <w:szCs w:val="24"/>
          <w:u w:val="single"/>
        </w:rPr>
        <w:t>Alberto Luiz Bresciani de Fontan Pereira</w:t>
      </w:r>
      <w:r w:rsidRPr="00EA2BB2">
        <w:rPr>
          <w:rFonts w:eastAsia="Calibri"/>
          <w:sz w:val="24"/>
          <w:szCs w:val="24"/>
          <w:u w:val="single"/>
        </w:rPr>
        <w:t xml:space="preserve">, </w:t>
      </w:r>
      <w:r>
        <w:rPr>
          <w:rFonts w:eastAsia="Calibri"/>
          <w:sz w:val="24"/>
          <w:szCs w:val="24"/>
          <w:u w:val="single"/>
        </w:rPr>
        <w:t>2.8</w:t>
      </w:r>
      <w:r w:rsidRPr="00EA2BB2">
        <w:rPr>
          <w:rFonts w:eastAsia="Calibri"/>
          <w:sz w:val="24"/>
          <w:szCs w:val="24"/>
          <w:u w:val="single"/>
        </w:rPr>
        <w:t>.201</w:t>
      </w:r>
      <w:r>
        <w:rPr>
          <w:rFonts w:eastAsia="Calibri"/>
          <w:sz w:val="24"/>
          <w:szCs w:val="24"/>
          <w:u w:val="single"/>
        </w:rPr>
        <w:t>6</w:t>
      </w:r>
      <w:r w:rsidRPr="003655D3">
        <w:rPr>
          <w:i/>
        </w:rPr>
        <w:t xml:space="preserve"> </w:t>
      </w:r>
    </w:p>
    <w:p w:rsidR="008A1A58" w:rsidRPr="00AC5C19" w:rsidRDefault="008A1A58" w:rsidP="00B335D5">
      <w:pPr>
        <w:pStyle w:val="Corpo"/>
        <w:spacing w:line="240" w:lineRule="auto"/>
        <w:ind w:firstLine="0"/>
        <w:rPr>
          <w:rFonts w:ascii="Times New Roman" w:hAnsi="Times New Roman" w:cs="Times New Roman"/>
          <w:lang w:val="pt-BR"/>
        </w:rPr>
      </w:pPr>
    </w:p>
    <w:p w:rsidR="00F753D1" w:rsidRDefault="00F753D1" w:rsidP="00C6738C">
      <w:pPr>
        <w:rPr>
          <w:sz w:val="10"/>
          <w:szCs w:val="10"/>
        </w:rPr>
      </w:pPr>
    </w:p>
    <w:p w:rsidR="000332F1" w:rsidRDefault="000332F1" w:rsidP="00C6738C">
      <w:pPr>
        <w:rPr>
          <w:sz w:val="10"/>
          <w:szCs w:val="10"/>
        </w:rPr>
      </w:pPr>
    </w:p>
    <w:p w:rsidR="000332F1" w:rsidRDefault="000332F1" w:rsidP="00C6738C">
      <w:pPr>
        <w:rPr>
          <w:sz w:val="10"/>
          <w:szCs w:val="10"/>
        </w:rPr>
      </w:pPr>
    </w:p>
    <w:p w:rsidR="000332F1" w:rsidRDefault="000332F1" w:rsidP="00C6738C">
      <w:pPr>
        <w:rPr>
          <w:sz w:val="10"/>
          <w:szCs w:val="10"/>
        </w:rPr>
      </w:pPr>
    </w:p>
    <w:p w:rsidR="00340D16" w:rsidRPr="001D6AC9" w:rsidRDefault="00340D16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40" w:rsidRDefault="00457A40">
      <w:r>
        <w:separator/>
      </w:r>
    </w:p>
  </w:endnote>
  <w:endnote w:type="continuationSeparator" w:id="0">
    <w:p w:rsidR="00457A40" w:rsidRDefault="0045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26E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5526ED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40" w:rsidRDefault="00457A40">
      <w:r>
        <w:separator/>
      </w:r>
    </w:p>
  </w:footnote>
  <w:footnote w:type="continuationSeparator" w:id="0">
    <w:p w:rsidR="00457A40" w:rsidRDefault="0045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C51600">
      <w:rPr>
        <w:shadow/>
        <w:sz w:val="24"/>
        <w:szCs w:val="24"/>
      </w:rPr>
      <w:t>1</w:t>
    </w:r>
    <w:r w:rsidR="008E3CCE">
      <w:rPr>
        <w:shadow/>
        <w:sz w:val="24"/>
        <w:szCs w:val="24"/>
      </w:rPr>
      <w:t>4</w:t>
    </w:r>
    <w:r w:rsidR="009B320F">
      <w:rPr>
        <w:shadow/>
        <w:sz w:val="24"/>
        <w:szCs w:val="24"/>
      </w:rPr>
      <w:t>1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494DD1">
      <w:rPr>
        <w:i/>
        <w:iCs/>
      </w:rPr>
      <w:t>Período:</w:t>
    </w:r>
    <w:r w:rsidR="009802D2">
      <w:rPr>
        <w:i/>
        <w:iCs/>
      </w:rPr>
      <w:t xml:space="preserve"> </w:t>
    </w:r>
    <w:r w:rsidR="009B320F">
      <w:rPr>
        <w:i/>
        <w:iCs/>
      </w:rPr>
      <w:t>2</w:t>
    </w:r>
    <w:r w:rsidR="008E3CCE">
      <w:rPr>
        <w:i/>
        <w:iCs/>
      </w:rPr>
      <w:t xml:space="preserve"> a 1</w:t>
    </w:r>
    <w:r w:rsidR="009B320F">
      <w:rPr>
        <w:i/>
        <w:iCs/>
      </w:rPr>
      <w:t>5</w:t>
    </w:r>
    <w:r w:rsidR="008E3CCE">
      <w:rPr>
        <w:i/>
        <w:iCs/>
      </w:rPr>
      <w:t xml:space="preserve"> de agosto </w:t>
    </w:r>
    <w:r w:rsidR="00F907EB">
      <w:rPr>
        <w:i/>
        <w:iCs/>
      </w:rPr>
      <w:t xml:space="preserve"> </w:t>
    </w:r>
    <w:r w:rsidR="000E5C57">
      <w:rPr>
        <w:i/>
        <w:iCs/>
      </w:rPr>
      <w:t>d</w:t>
    </w:r>
    <w:r w:rsidR="00971E5F">
      <w:rPr>
        <w:i/>
        <w:iCs/>
      </w:rPr>
      <w:t>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C51600">
      <w:rPr>
        <w:b/>
        <w:sz w:val="40"/>
        <w:szCs w:val="40"/>
      </w:rPr>
      <w:t>1</w:t>
    </w:r>
    <w:r w:rsidR="00393131">
      <w:rPr>
        <w:b/>
        <w:sz w:val="40"/>
        <w:szCs w:val="40"/>
      </w:rPr>
      <w:t>4</w:t>
    </w:r>
    <w:r w:rsidR="004B63FB">
      <w:rPr>
        <w:b/>
        <w:sz w:val="40"/>
        <w:szCs w:val="40"/>
      </w:rPr>
      <w:t>1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0332F1" w:rsidRPr="009B320F">
      <w:rPr>
        <w:i/>
        <w:iCs/>
      </w:rPr>
      <w:t>2</w:t>
    </w:r>
    <w:r w:rsidR="008E3CCE" w:rsidRPr="009B320F">
      <w:rPr>
        <w:i/>
        <w:iCs/>
      </w:rPr>
      <w:t xml:space="preserve"> a 1</w:t>
    </w:r>
    <w:r w:rsidR="000332F1" w:rsidRPr="009B320F">
      <w:rPr>
        <w:i/>
        <w:iCs/>
      </w:rPr>
      <w:t>5</w:t>
    </w:r>
    <w:r w:rsidR="008E3CCE" w:rsidRPr="009B320F">
      <w:rPr>
        <w:i/>
        <w:iCs/>
      </w:rPr>
      <w:t xml:space="preserve"> de agosto</w:t>
    </w:r>
    <w:r w:rsidR="000E5C57" w:rsidRPr="009B320F">
      <w:rPr>
        <w:i/>
        <w:iCs/>
      </w:rPr>
      <w:t xml:space="preserve"> </w:t>
    </w:r>
    <w:r w:rsidR="004A094C" w:rsidRPr="009B320F">
      <w:rPr>
        <w:i/>
        <w:iCs/>
      </w:rPr>
      <w:t>de 201</w:t>
    </w:r>
    <w:r w:rsidR="000E5C57" w:rsidRPr="009B320F">
      <w:rPr>
        <w:i/>
        <w:iCs/>
      </w:rPr>
      <w:t>6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1967"/>
    <w:rsid w:val="000228E6"/>
    <w:rsid w:val="000249BA"/>
    <w:rsid w:val="00024CE9"/>
    <w:rsid w:val="00032056"/>
    <w:rsid w:val="000322FB"/>
    <w:rsid w:val="000332F1"/>
    <w:rsid w:val="000425FC"/>
    <w:rsid w:val="00050E85"/>
    <w:rsid w:val="0005125E"/>
    <w:rsid w:val="00055A9D"/>
    <w:rsid w:val="00056752"/>
    <w:rsid w:val="0005765E"/>
    <w:rsid w:val="00057B87"/>
    <w:rsid w:val="0006020E"/>
    <w:rsid w:val="00064486"/>
    <w:rsid w:val="00065048"/>
    <w:rsid w:val="000733B4"/>
    <w:rsid w:val="00073880"/>
    <w:rsid w:val="00075BDB"/>
    <w:rsid w:val="00080C40"/>
    <w:rsid w:val="00080F10"/>
    <w:rsid w:val="000858FB"/>
    <w:rsid w:val="0009237D"/>
    <w:rsid w:val="00093AE9"/>
    <w:rsid w:val="00093BA8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11575C"/>
    <w:rsid w:val="0011692E"/>
    <w:rsid w:val="00122C2A"/>
    <w:rsid w:val="001257D7"/>
    <w:rsid w:val="00137564"/>
    <w:rsid w:val="00137DC1"/>
    <w:rsid w:val="00141630"/>
    <w:rsid w:val="00142C28"/>
    <w:rsid w:val="0015612D"/>
    <w:rsid w:val="00161CDE"/>
    <w:rsid w:val="00163142"/>
    <w:rsid w:val="001648F5"/>
    <w:rsid w:val="00176D15"/>
    <w:rsid w:val="00183803"/>
    <w:rsid w:val="00184590"/>
    <w:rsid w:val="00187A37"/>
    <w:rsid w:val="00187BEF"/>
    <w:rsid w:val="0019151D"/>
    <w:rsid w:val="00193208"/>
    <w:rsid w:val="001932B7"/>
    <w:rsid w:val="00197B15"/>
    <w:rsid w:val="001B2C08"/>
    <w:rsid w:val="001C04D2"/>
    <w:rsid w:val="001C21FB"/>
    <w:rsid w:val="001C271F"/>
    <w:rsid w:val="001C6C93"/>
    <w:rsid w:val="001D4CF9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45E0"/>
    <w:rsid w:val="00204C97"/>
    <w:rsid w:val="00206810"/>
    <w:rsid w:val="002168DE"/>
    <w:rsid w:val="00224AC2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074FC"/>
    <w:rsid w:val="0033397A"/>
    <w:rsid w:val="00340D16"/>
    <w:rsid w:val="00340E8D"/>
    <w:rsid w:val="00342846"/>
    <w:rsid w:val="003503FC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3131"/>
    <w:rsid w:val="00396053"/>
    <w:rsid w:val="003A1F0A"/>
    <w:rsid w:val="003A4086"/>
    <w:rsid w:val="003A5E5B"/>
    <w:rsid w:val="003B045C"/>
    <w:rsid w:val="003B0538"/>
    <w:rsid w:val="003B0A59"/>
    <w:rsid w:val="003B3EB5"/>
    <w:rsid w:val="003B4E23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4034A8"/>
    <w:rsid w:val="00416D9A"/>
    <w:rsid w:val="00423641"/>
    <w:rsid w:val="0042772A"/>
    <w:rsid w:val="004323B0"/>
    <w:rsid w:val="00444E88"/>
    <w:rsid w:val="004477EC"/>
    <w:rsid w:val="00450BAD"/>
    <w:rsid w:val="0045657C"/>
    <w:rsid w:val="00457A40"/>
    <w:rsid w:val="004655CC"/>
    <w:rsid w:val="00466DB9"/>
    <w:rsid w:val="00470EF8"/>
    <w:rsid w:val="004731B7"/>
    <w:rsid w:val="00486521"/>
    <w:rsid w:val="00486DFC"/>
    <w:rsid w:val="004922D6"/>
    <w:rsid w:val="00494DD1"/>
    <w:rsid w:val="004A094C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415"/>
    <w:rsid w:val="004D71E8"/>
    <w:rsid w:val="004E393E"/>
    <w:rsid w:val="004E4507"/>
    <w:rsid w:val="004E4619"/>
    <w:rsid w:val="004F0A7D"/>
    <w:rsid w:val="004F5040"/>
    <w:rsid w:val="00513789"/>
    <w:rsid w:val="0051538E"/>
    <w:rsid w:val="00517E01"/>
    <w:rsid w:val="00521EEC"/>
    <w:rsid w:val="00543B94"/>
    <w:rsid w:val="005460BD"/>
    <w:rsid w:val="005521C8"/>
    <w:rsid w:val="005526ED"/>
    <w:rsid w:val="00553197"/>
    <w:rsid w:val="0055409E"/>
    <w:rsid w:val="00554139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2CE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2202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E1A9C"/>
    <w:rsid w:val="006F6C15"/>
    <w:rsid w:val="00700B1B"/>
    <w:rsid w:val="007029CF"/>
    <w:rsid w:val="0070727E"/>
    <w:rsid w:val="00710D3A"/>
    <w:rsid w:val="0071315F"/>
    <w:rsid w:val="00720057"/>
    <w:rsid w:val="00721942"/>
    <w:rsid w:val="00722BE7"/>
    <w:rsid w:val="00732DF2"/>
    <w:rsid w:val="007403B3"/>
    <w:rsid w:val="007614F1"/>
    <w:rsid w:val="007618C5"/>
    <w:rsid w:val="00764066"/>
    <w:rsid w:val="00766B7B"/>
    <w:rsid w:val="0077600F"/>
    <w:rsid w:val="00776118"/>
    <w:rsid w:val="00781C77"/>
    <w:rsid w:val="00796745"/>
    <w:rsid w:val="007B0F83"/>
    <w:rsid w:val="007C0A4F"/>
    <w:rsid w:val="007D29A1"/>
    <w:rsid w:val="007D2EE9"/>
    <w:rsid w:val="007D469A"/>
    <w:rsid w:val="007E094E"/>
    <w:rsid w:val="007E0EA7"/>
    <w:rsid w:val="007E3F23"/>
    <w:rsid w:val="007F142E"/>
    <w:rsid w:val="007F66BC"/>
    <w:rsid w:val="007F7B5E"/>
    <w:rsid w:val="00800B97"/>
    <w:rsid w:val="00801246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319F"/>
    <w:rsid w:val="00844374"/>
    <w:rsid w:val="00845559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842D0"/>
    <w:rsid w:val="00884AC4"/>
    <w:rsid w:val="0088579D"/>
    <w:rsid w:val="008A1A58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2AE5"/>
    <w:rsid w:val="008E3CCE"/>
    <w:rsid w:val="008E3F89"/>
    <w:rsid w:val="008F26CB"/>
    <w:rsid w:val="008F6509"/>
    <w:rsid w:val="008F79D9"/>
    <w:rsid w:val="009027C8"/>
    <w:rsid w:val="00922D1B"/>
    <w:rsid w:val="0093467A"/>
    <w:rsid w:val="009353F1"/>
    <w:rsid w:val="0094155C"/>
    <w:rsid w:val="00951531"/>
    <w:rsid w:val="00953B29"/>
    <w:rsid w:val="00960A3B"/>
    <w:rsid w:val="0096375C"/>
    <w:rsid w:val="00967DE0"/>
    <w:rsid w:val="00971E07"/>
    <w:rsid w:val="00971E5F"/>
    <w:rsid w:val="009802D2"/>
    <w:rsid w:val="00980944"/>
    <w:rsid w:val="00986D77"/>
    <w:rsid w:val="00993A6E"/>
    <w:rsid w:val="009943EC"/>
    <w:rsid w:val="009A32D5"/>
    <w:rsid w:val="009A5D37"/>
    <w:rsid w:val="009B320F"/>
    <w:rsid w:val="009B6012"/>
    <w:rsid w:val="009C102D"/>
    <w:rsid w:val="009C2A4F"/>
    <w:rsid w:val="009D4C59"/>
    <w:rsid w:val="009D7F91"/>
    <w:rsid w:val="009E20EF"/>
    <w:rsid w:val="009E26EE"/>
    <w:rsid w:val="009F1C7B"/>
    <w:rsid w:val="009F21A2"/>
    <w:rsid w:val="00A00D70"/>
    <w:rsid w:val="00A00DEE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2081"/>
    <w:rsid w:val="00A8557E"/>
    <w:rsid w:val="00A903E4"/>
    <w:rsid w:val="00A91181"/>
    <w:rsid w:val="00A935AC"/>
    <w:rsid w:val="00AA3DE0"/>
    <w:rsid w:val="00AB299E"/>
    <w:rsid w:val="00AB507C"/>
    <w:rsid w:val="00AC096E"/>
    <w:rsid w:val="00AD6E76"/>
    <w:rsid w:val="00AE3EAA"/>
    <w:rsid w:val="00AE5EDF"/>
    <w:rsid w:val="00AE758A"/>
    <w:rsid w:val="00B06261"/>
    <w:rsid w:val="00B108BA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6FE"/>
    <w:rsid w:val="00B60670"/>
    <w:rsid w:val="00B73FFA"/>
    <w:rsid w:val="00B74A6E"/>
    <w:rsid w:val="00B82CC4"/>
    <w:rsid w:val="00B838C3"/>
    <w:rsid w:val="00B874F1"/>
    <w:rsid w:val="00BC1DE7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C028BC"/>
    <w:rsid w:val="00C070DE"/>
    <w:rsid w:val="00C232C2"/>
    <w:rsid w:val="00C26DFB"/>
    <w:rsid w:val="00C273FA"/>
    <w:rsid w:val="00C30D06"/>
    <w:rsid w:val="00C42067"/>
    <w:rsid w:val="00C432D0"/>
    <w:rsid w:val="00C4398E"/>
    <w:rsid w:val="00C44218"/>
    <w:rsid w:val="00C51600"/>
    <w:rsid w:val="00C54185"/>
    <w:rsid w:val="00C57E92"/>
    <w:rsid w:val="00C60B4A"/>
    <w:rsid w:val="00C65BDB"/>
    <w:rsid w:val="00C66C95"/>
    <w:rsid w:val="00C6738C"/>
    <w:rsid w:val="00C71A3B"/>
    <w:rsid w:val="00C76CFA"/>
    <w:rsid w:val="00C819C8"/>
    <w:rsid w:val="00C8747B"/>
    <w:rsid w:val="00C87D5B"/>
    <w:rsid w:val="00C94FF6"/>
    <w:rsid w:val="00C963F8"/>
    <w:rsid w:val="00C96BB1"/>
    <w:rsid w:val="00CA2F80"/>
    <w:rsid w:val="00CA3ECF"/>
    <w:rsid w:val="00CB0C2A"/>
    <w:rsid w:val="00CB3B98"/>
    <w:rsid w:val="00CC4B2B"/>
    <w:rsid w:val="00CC579C"/>
    <w:rsid w:val="00CC5F5F"/>
    <w:rsid w:val="00CC6BEC"/>
    <w:rsid w:val="00CC743B"/>
    <w:rsid w:val="00CD3460"/>
    <w:rsid w:val="00CD44C9"/>
    <w:rsid w:val="00CD4B61"/>
    <w:rsid w:val="00CD5043"/>
    <w:rsid w:val="00CE066A"/>
    <w:rsid w:val="00CE2928"/>
    <w:rsid w:val="00CE314A"/>
    <w:rsid w:val="00CE5865"/>
    <w:rsid w:val="00CE7555"/>
    <w:rsid w:val="00CF3D9D"/>
    <w:rsid w:val="00CF6B77"/>
    <w:rsid w:val="00D00018"/>
    <w:rsid w:val="00D01C50"/>
    <w:rsid w:val="00D11B24"/>
    <w:rsid w:val="00D11C18"/>
    <w:rsid w:val="00D133C8"/>
    <w:rsid w:val="00D14DB8"/>
    <w:rsid w:val="00D17339"/>
    <w:rsid w:val="00D244D5"/>
    <w:rsid w:val="00D2776A"/>
    <w:rsid w:val="00D4021B"/>
    <w:rsid w:val="00D413DB"/>
    <w:rsid w:val="00D420E2"/>
    <w:rsid w:val="00D4459D"/>
    <w:rsid w:val="00D44B24"/>
    <w:rsid w:val="00D573F9"/>
    <w:rsid w:val="00D6058B"/>
    <w:rsid w:val="00D608E5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87489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451"/>
    <w:rsid w:val="00DC50EB"/>
    <w:rsid w:val="00DC7F71"/>
    <w:rsid w:val="00DD19F4"/>
    <w:rsid w:val="00DD3FA0"/>
    <w:rsid w:val="00DE5B2D"/>
    <w:rsid w:val="00DE5CE9"/>
    <w:rsid w:val="00DF45BB"/>
    <w:rsid w:val="00E006DC"/>
    <w:rsid w:val="00E03064"/>
    <w:rsid w:val="00E04BD5"/>
    <w:rsid w:val="00E070D2"/>
    <w:rsid w:val="00E100F5"/>
    <w:rsid w:val="00E1139A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32CC"/>
    <w:rsid w:val="00E47FF2"/>
    <w:rsid w:val="00E50711"/>
    <w:rsid w:val="00E52522"/>
    <w:rsid w:val="00E531C9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C7E0B"/>
    <w:rsid w:val="00ED661C"/>
    <w:rsid w:val="00EE41B5"/>
    <w:rsid w:val="00EE66C9"/>
    <w:rsid w:val="00EF11A9"/>
    <w:rsid w:val="00EF38E1"/>
    <w:rsid w:val="00EF749A"/>
    <w:rsid w:val="00EF771E"/>
    <w:rsid w:val="00F02565"/>
    <w:rsid w:val="00F026EC"/>
    <w:rsid w:val="00F05542"/>
    <w:rsid w:val="00F06855"/>
    <w:rsid w:val="00F17A2C"/>
    <w:rsid w:val="00F21A70"/>
    <w:rsid w:val="00F26708"/>
    <w:rsid w:val="00F30FF2"/>
    <w:rsid w:val="00F37F29"/>
    <w:rsid w:val="00F42243"/>
    <w:rsid w:val="00F45608"/>
    <w:rsid w:val="00F511EE"/>
    <w:rsid w:val="00F55574"/>
    <w:rsid w:val="00F558E7"/>
    <w:rsid w:val="00F62016"/>
    <w:rsid w:val="00F63F44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72B6"/>
    <w:rsid w:val="00FE00AD"/>
    <w:rsid w:val="00FE206E"/>
    <w:rsid w:val="00FE421F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0782&amp;digitoTst=38&amp;anoTst=2015&amp;orgaoTst=5&amp;tribunalTst=03&amp;varaTst=00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327&amp;digitoTst=27&amp;anoTst=2013&amp;orgaoTst=5&amp;tribunalTst=23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889&amp;digitoTst=94&amp;anoTst=2011&amp;orgaoTst=5&amp;tribunalTst=09&amp;varaTst=0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578&amp;digitoTst=75&amp;anoTst=2015&amp;orgaoTst=5&amp;tribunalTst=05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resumoForm.do?consulta=1&amp;numeroInt=148006&amp;anoInt=201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E26E-8EBD-49BF-93A0-63340683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8347</CharactersWithSpaces>
  <SharedDoc>false</SharedDoc>
  <HLinks>
    <vt:vector size="30" baseType="variant"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http://aplicacao4.tst.jus.br/consultaProcessual/consultaTstNumUnica.do?consulta=Consultar&amp;conscsjt=&amp;numeroTst=327&amp;digitoTst=27&amp;anoTst=2013&amp;orgaoTst=5&amp;tribunalTst=23&amp;varaTst=0000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http://aplicacao4.tst.jus.br/consultaProcessual/consultaTstNumUnica.do?consulta=Consultar&amp;conscsjt=&amp;numeroTst=889&amp;digitoTst=94&amp;anoTst=2011&amp;orgaoTst=5&amp;tribunalTst=09&amp;varaTst=0000</vt:lpwstr>
      </vt:variant>
      <vt:variant>
        <vt:lpwstr/>
      </vt:variant>
      <vt:variant>
        <vt:i4>6094853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http://aplicacao4.tst.jus.br/consultaProcessual/consultaTstNumUnica.do?consulta=Consultar&amp;conscsjt=&amp;numeroTst=578&amp;digitoTst=75&amp;anoTst=2015&amp;orgaoTst=5&amp;tribunalTst=05&amp;varaTst=0000</vt:lpwstr>
      </vt:variant>
      <vt:variant>
        <vt:lpwstr/>
      </vt:variant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http://aplicacao4.tst.jus.br/consultaProcessual/resumoForm.do?consulta=1&amp;numeroInt=148006&amp;anoInt=2012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http://aplicacao4.tst.jus.br/consultaProcessual/consultaTstNumUnica.do?consulta=Consultar&amp;conscsjt=&amp;numeroTst=10782&amp;digitoTst=38&amp;anoTst=2015&amp;orgaoTst=5&amp;tribunalTst=03&amp;varaTst=0000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2016-08-19T19:13:00Z</cp:lastPrinted>
  <dcterms:created xsi:type="dcterms:W3CDTF">2017-05-18T23:09:00Z</dcterms:created>
  <dcterms:modified xsi:type="dcterms:W3CDTF">2017-05-18T23:09:00Z</dcterms:modified>
</cp:coreProperties>
</file>