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CE7555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bookmarkStart w:id="0" w:name="_GoBack"/>
            <w:bookmarkEnd w:id="0"/>
            <w:r w:rsidRPr="00CE7555">
              <w:t>Este Informativo, elaborado a partir de notas tomadas nas sessões de julgamentos, contém resumos não</w:t>
            </w:r>
            <w:r w:rsidR="00DC50EB" w:rsidRPr="00CE7555">
              <w:t xml:space="preserve"> </w:t>
            </w:r>
            <w:r w:rsidRPr="00CE7555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CE7555">
              <w:t xml:space="preserve"> Eletrônico </w:t>
            </w:r>
            <w:r w:rsidRPr="00CE7555">
              <w:t>da Justiça</w:t>
            </w:r>
            <w:r w:rsidR="00980944" w:rsidRPr="00CE7555">
              <w:t xml:space="preserve"> do Trabalho</w:t>
            </w:r>
            <w:r w:rsidRPr="00CE7555">
              <w:t>.</w:t>
            </w:r>
          </w:p>
          <w:p w:rsidR="00E531C9" w:rsidRPr="00E531C9" w:rsidRDefault="00E531C9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F753D1" w:rsidRPr="00CE7555" w:rsidRDefault="00F753D1" w:rsidP="00F753D1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 xml:space="preserve">SUBSEÇÃO </w:t>
      </w:r>
      <w:r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I</w:t>
      </w: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 xml:space="preserve"> ESPECIALIZADA EM DISSÍDIOS INDIVIDUAIS</w:t>
      </w:r>
    </w:p>
    <w:p w:rsidR="00855623" w:rsidRDefault="00855623" w:rsidP="00855623">
      <w:pPr>
        <w:ind w:right="-1"/>
        <w:rPr>
          <w:b/>
          <w:i/>
          <w:sz w:val="24"/>
          <w:szCs w:val="24"/>
        </w:rPr>
      </w:pPr>
    </w:p>
    <w:p w:rsidR="00855623" w:rsidRPr="00124DCA" w:rsidRDefault="00855623" w:rsidP="00855623">
      <w:pPr>
        <w:ind w:right="-1"/>
        <w:rPr>
          <w:b/>
          <w:i/>
          <w:sz w:val="24"/>
          <w:szCs w:val="24"/>
        </w:rPr>
      </w:pPr>
      <w:r w:rsidRPr="00124DCA">
        <w:rPr>
          <w:b/>
          <w:i/>
          <w:sz w:val="24"/>
          <w:szCs w:val="24"/>
        </w:rPr>
        <w:t xml:space="preserve">Anotação do vínculo de emprego na CTPS. Ausência. Inexistência de prejuízo. Dano </w:t>
      </w:r>
      <w:r>
        <w:rPr>
          <w:b/>
          <w:i/>
          <w:sz w:val="24"/>
          <w:szCs w:val="24"/>
        </w:rPr>
        <w:t>m</w:t>
      </w:r>
      <w:r w:rsidRPr="00124DCA">
        <w:rPr>
          <w:b/>
          <w:i/>
          <w:sz w:val="24"/>
          <w:szCs w:val="24"/>
        </w:rPr>
        <w:t>oral não caracterizado.</w:t>
      </w:r>
    </w:p>
    <w:p w:rsidR="00855623" w:rsidRPr="00AC5C19" w:rsidRDefault="00855623" w:rsidP="00855623">
      <w:pPr>
        <w:pStyle w:val="Corpo"/>
        <w:spacing w:line="240" w:lineRule="auto"/>
        <w:ind w:firstLine="0"/>
        <w:rPr>
          <w:rFonts w:ascii="Times New Roman" w:hAnsi="Times New Roman" w:cs="Times New Roman"/>
          <w:lang w:val="pt-BR"/>
        </w:rPr>
      </w:pPr>
      <w:r w:rsidRPr="00124DCA">
        <w:rPr>
          <w:rFonts w:ascii="Times New Roman" w:eastAsia="Calibri" w:hAnsi="Times New Roman" w:cs="Times New Roman"/>
          <w:color w:val="auto"/>
          <w:lang w:val="pt-BR" w:eastAsia="en-US"/>
        </w:rPr>
        <w:t>Conforme preceitua o art. 29 da CLT, a anotação do vínculo de emprego na CTPS te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m</w:t>
      </w:r>
      <w:r w:rsidRPr="00124DCA">
        <w:rPr>
          <w:rFonts w:ascii="Times New Roman" w:eastAsia="Calibri" w:hAnsi="Times New Roman" w:cs="Times New Roman"/>
          <w:color w:val="auto"/>
          <w:lang w:val="pt-BR" w:eastAsia="en-US"/>
        </w:rPr>
        <w:t xml:space="preserve"> caráter cogente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. Todavia, a</w:t>
      </w:r>
      <w:r w:rsidRPr="00124DCA">
        <w:rPr>
          <w:rFonts w:ascii="Times New Roman" w:eastAsia="Calibri" w:hAnsi="Times New Roman" w:cs="Times New Roman"/>
          <w:color w:val="auto"/>
          <w:lang w:val="pt-BR" w:eastAsia="en-US"/>
        </w:rPr>
        <w:t xml:space="preserve"> ausência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de registro</w:t>
      </w:r>
      <w:r w:rsidRPr="00124DCA">
        <w:rPr>
          <w:rFonts w:ascii="Times New Roman" w:eastAsia="Calibri" w:hAnsi="Times New Roman" w:cs="Times New Roman"/>
          <w:color w:val="auto"/>
          <w:lang w:val="pt-BR" w:eastAsia="en-US"/>
        </w:rPr>
        <w:t xml:space="preserve">, por si só, não gera automaticamente dano moral ao empregado, mormente quando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não há</w:t>
      </w:r>
      <w:r w:rsidRPr="00124DCA">
        <w:rPr>
          <w:rFonts w:ascii="Times New Roman" w:eastAsia="Calibri" w:hAnsi="Times New Roman" w:cs="Times New Roman"/>
          <w:color w:val="auto"/>
          <w:lang w:val="pt-BR" w:eastAsia="en-US"/>
        </w:rPr>
        <w:t xml:space="preserve"> prova de prejuízo. No caso concreto, não houve prova efetiva de dano algum que pudesse abalar a intimidade, a vida privada, a honra ou a imagem do autor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. Ademais, ressaltou-se que a inexistência de anotação de vínculo empregatício na CTPS configura mera irregularidade administrativa que pode ser sanada por determinação judicial ou pela própria secretaria da vara do trabalho (art. 39, § 1º, da CLT).</w:t>
      </w:r>
      <w:r w:rsidRPr="00124DCA">
        <w:rPr>
          <w:rFonts w:ascii="Times New Roman" w:eastAsia="Calibri" w:hAnsi="Times New Roman" w:cs="Times New Roman"/>
          <w:color w:val="auto"/>
          <w:lang w:val="pt-BR" w:eastAsia="en-US"/>
        </w:rPr>
        <w:t xml:space="preserve"> Assim, a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SBDI-I,</w:t>
      </w:r>
      <w:r w:rsidRPr="00124DCA">
        <w:rPr>
          <w:rFonts w:ascii="Times New Roman" w:eastAsia="Calibri" w:hAnsi="Times New Roman" w:cs="Times New Roman"/>
          <w:color w:val="auto"/>
          <w:lang w:val="pt-BR" w:eastAsia="en-US"/>
        </w:rPr>
        <w:t xml:space="preserve"> por unanimidade, conheceu do recurso de embargos, por divergência jurisprudencial, e, no mérito, negou-lhe provimento. </w:t>
      </w:r>
      <w:hyperlink r:id="rId8" w:history="1">
        <w:r w:rsidRPr="00855623">
          <w:rPr>
            <w:rStyle w:val="Hyperlink"/>
            <w:rFonts w:ascii="Times New Roman" w:hAnsi="Times New Roman" w:cs="Courier New"/>
            <w:lang w:val="pt-BR"/>
          </w:rPr>
          <w:t>TST-E-ED-RR-3323-58.2010.5.02.0203</w:t>
        </w:r>
      </w:hyperlink>
      <w:r w:rsidRPr="00AC5C19">
        <w:rPr>
          <w:rFonts w:ascii="Times New Roman" w:hAnsi="Times New Roman"/>
          <w:u w:val="single"/>
          <w:lang w:val="pt-BR"/>
        </w:rPr>
        <w:t>, SBDI-</w:t>
      </w:r>
      <w:r>
        <w:rPr>
          <w:rFonts w:ascii="Times New Roman" w:hAnsi="Times New Roman"/>
          <w:u w:val="single"/>
          <w:lang w:val="pt-BR"/>
        </w:rPr>
        <w:t>I</w:t>
      </w:r>
      <w:r w:rsidRPr="00AC5C19">
        <w:rPr>
          <w:rFonts w:ascii="Times New Roman" w:hAnsi="Times New Roman"/>
          <w:u w:val="single"/>
          <w:lang w:val="pt-BR"/>
        </w:rPr>
        <w:t>, rel. Min</w:t>
      </w:r>
      <w:r>
        <w:rPr>
          <w:rFonts w:ascii="Times New Roman" w:hAnsi="Times New Roman"/>
          <w:u w:val="single"/>
          <w:lang w:val="pt-BR"/>
        </w:rPr>
        <w:t>.</w:t>
      </w:r>
      <w:r w:rsidRPr="00AC5C19">
        <w:rPr>
          <w:rFonts w:ascii="Times New Roman" w:hAnsi="Times New Roman"/>
          <w:u w:val="single"/>
          <w:lang w:val="pt-BR"/>
        </w:rPr>
        <w:t xml:space="preserve"> Cláudio Mascarenhas Brandão, 2.6.2016</w:t>
      </w:r>
    </w:p>
    <w:p w:rsidR="00E4188A" w:rsidRPr="00855623" w:rsidRDefault="00E4188A" w:rsidP="00C6738C">
      <w:pPr>
        <w:rPr>
          <w:sz w:val="24"/>
          <w:szCs w:val="24"/>
        </w:rPr>
      </w:pPr>
    </w:p>
    <w:p w:rsidR="00855623" w:rsidRDefault="00855623" w:rsidP="00855623">
      <w:pPr>
        <w:jc w:val="both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 xml:space="preserve">Terceirização ilícita. Atividade fim. Ente público. Créditos trabalhistas. Responsabilidade solidária.  </w:t>
      </w:r>
    </w:p>
    <w:p w:rsidR="00855623" w:rsidRPr="00FF135B" w:rsidRDefault="00855623" w:rsidP="0085562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Na hipótese em que a terceirização é manifestamente ilícita, porque realizada na atividade fim do ente público tomador dos serviços, há fraude contra a legislação do trabalho. Assim, nos termos dos arts. 927 e 942 do Código Civil, há responsabilidade solidária do tomador dos serviços pelos créditos devidos ao trabalhador. </w:t>
      </w:r>
      <w:r w:rsidRPr="00B43B0C">
        <w:rPr>
          <w:rFonts w:eastAsia="Calibri"/>
          <w:sz w:val="24"/>
          <w:szCs w:val="24"/>
        </w:rPr>
        <w:t xml:space="preserve">Sob esse fundamento, a SBDI-I, por unanimidade, conheceu dos </w:t>
      </w:r>
      <w:r>
        <w:rPr>
          <w:rFonts w:eastAsia="Calibri"/>
          <w:sz w:val="24"/>
          <w:szCs w:val="24"/>
        </w:rPr>
        <w:t>embargos,</w:t>
      </w:r>
      <w:r w:rsidRPr="00B43B0C">
        <w:rPr>
          <w:rFonts w:eastAsia="Calibri"/>
          <w:sz w:val="24"/>
          <w:szCs w:val="24"/>
        </w:rPr>
        <w:t xml:space="preserve"> por divergência jurisprudencial</w:t>
      </w:r>
      <w:r>
        <w:rPr>
          <w:rFonts w:eastAsia="Calibri"/>
          <w:sz w:val="24"/>
          <w:szCs w:val="24"/>
        </w:rPr>
        <w:t>,</w:t>
      </w:r>
      <w:r w:rsidRPr="00B43B0C">
        <w:rPr>
          <w:rFonts w:eastAsia="Calibri"/>
          <w:sz w:val="24"/>
          <w:szCs w:val="24"/>
        </w:rPr>
        <w:t xml:space="preserve"> e, no mérito, por maioria, </w:t>
      </w:r>
      <w:r>
        <w:rPr>
          <w:rFonts w:eastAsia="Calibri"/>
          <w:sz w:val="24"/>
          <w:szCs w:val="24"/>
        </w:rPr>
        <w:t>nego</w:t>
      </w:r>
      <w:r w:rsidRPr="00B43B0C">
        <w:rPr>
          <w:rFonts w:eastAsia="Calibri"/>
          <w:sz w:val="24"/>
          <w:szCs w:val="24"/>
        </w:rPr>
        <w:t>u-lhe</w:t>
      </w:r>
      <w:r>
        <w:rPr>
          <w:rFonts w:eastAsia="Calibri"/>
          <w:sz w:val="24"/>
          <w:szCs w:val="24"/>
        </w:rPr>
        <w:t>s provimento. V</w:t>
      </w:r>
      <w:r w:rsidRPr="00B43B0C">
        <w:rPr>
          <w:rFonts w:eastAsia="Calibri"/>
          <w:sz w:val="24"/>
          <w:szCs w:val="24"/>
        </w:rPr>
        <w:t xml:space="preserve">encidos os Ministros </w:t>
      </w:r>
      <w:r>
        <w:rPr>
          <w:rFonts w:eastAsia="Calibri"/>
          <w:sz w:val="24"/>
          <w:szCs w:val="24"/>
        </w:rPr>
        <w:t>Aloysio Corrêa da Veiga, relator, e Brito Pereira</w:t>
      </w:r>
      <w:r w:rsidRPr="00B43B0C">
        <w:rPr>
          <w:rFonts w:eastAsia="Calibri"/>
          <w:sz w:val="24"/>
          <w:szCs w:val="24"/>
        </w:rPr>
        <w:t xml:space="preserve">. </w:t>
      </w:r>
      <w:hyperlink r:id="rId9" w:history="1">
        <w:r w:rsidRPr="00855623">
          <w:rPr>
            <w:rStyle w:val="Hyperlink"/>
            <w:rFonts w:eastAsia="Calibri"/>
            <w:sz w:val="24"/>
            <w:szCs w:val="24"/>
          </w:rPr>
          <w:t>TST-E-RR-79000-86.2009.5.03.0111</w:t>
        </w:r>
      </w:hyperlink>
      <w:r w:rsidRPr="008F371F">
        <w:rPr>
          <w:rFonts w:eastAsia="Calibri"/>
          <w:sz w:val="24"/>
          <w:szCs w:val="24"/>
          <w:u w:val="single"/>
        </w:rPr>
        <w:t>, SBDI-I, rel. Mi</w:t>
      </w:r>
      <w:r>
        <w:rPr>
          <w:rFonts w:eastAsia="Calibri"/>
          <w:sz w:val="24"/>
          <w:szCs w:val="24"/>
          <w:u w:val="single"/>
        </w:rPr>
        <w:t>n. Aloysio Corrêa da Veiga, red. p/ acórdão Min. José Roberto Freire Pimenta, 2.6</w:t>
      </w:r>
      <w:r w:rsidRPr="008F371F">
        <w:rPr>
          <w:rFonts w:eastAsia="Calibri"/>
          <w:sz w:val="24"/>
          <w:szCs w:val="24"/>
          <w:u w:val="single"/>
        </w:rPr>
        <w:t>.2016</w:t>
      </w:r>
    </w:p>
    <w:p w:rsidR="00E4188A" w:rsidRPr="00855623" w:rsidRDefault="00E4188A" w:rsidP="00C6738C">
      <w:pPr>
        <w:rPr>
          <w:sz w:val="24"/>
          <w:szCs w:val="24"/>
        </w:rPr>
      </w:pPr>
    </w:p>
    <w:p w:rsidR="00855623" w:rsidRDefault="00855623" w:rsidP="00855623">
      <w:pPr>
        <w:jc w:val="both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 xml:space="preserve">Revelia. Caracterização. Atraso de 37 minutos. Orientação Jurisprudencial nº 245 da SBDI-I. Incidência. </w:t>
      </w:r>
    </w:p>
    <w:p w:rsidR="00855623" w:rsidRDefault="00855623" w:rsidP="00855623">
      <w:pPr>
        <w:jc w:val="both"/>
        <w:rPr>
          <w:rFonts w:eastAsia="Calibri"/>
          <w:b/>
          <w:i/>
          <w:sz w:val="24"/>
          <w:szCs w:val="24"/>
        </w:rPr>
      </w:pPr>
      <w:r w:rsidRPr="007B27AC">
        <w:rPr>
          <w:rFonts w:eastAsia="Calibri"/>
          <w:sz w:val="24"/>
          <w:szCs w:val="24"/>
        </w:rPr>
        <w:t xml:space="preserve">Na hipótese em que </w:t>
      </w:r>
      <w:r>
        <w:rPr>
          <w:rFonts w:eastAsia="Calibri"/>
          <w:sz w:val="24"/>
          <w:szCs w:val="24"/>
        </w:rPr>
        <w:t xml:space="preserve">a reclamada somente se fez presente, por meio de seu preposto, 37 minutos após o início da audiência, e em momento posterior à tomada do depoimento do reclamante, não é possível, ainda que excepcionalmente, afastar a incidência da Orientação Jurisprudencial nº 245 da SBDI-I. No caso concreto, o Juízo de 1º grau, no início da audiência, às 15 horas, registrou a ausência da primeira reclamada e declarou-a revel e confessa. Em seguida, no entanto, ficou registrado o comparecimento da patrona da primeira reclamada às 15h15, ainda na fase conciliatória, motivo pelo qual a juíza reconsiderou a declaração de sua revelia, sob os protestos do reclamante. Após recebidas as defesas das reclamadas e colhido o depoimento pessoal do autor, às 15h37, houve o registro do comparecimento do preposto da primeira reclamada, encerrando-se a instrução processual após a coleta de seu depoimento pessoal. Ressalte-se que o comparecimento da advogada da reclamada com quinze minutos de atraso não é suficiente para afastar a revelia, de modo que a empregadora somente cumpriu os requisitos para a regular representação processual no momento em que seu preposto se fez presente, ou seja, após 37 minutos do início da audiência. Ademais, o fato de o atraso dever-se à presença da reclamada em outra audiência trabalhista não é motivo justificador para a sua ausência no horário marcado, cabendo aos reclamados o cuidado de </w:t>
      </w:r>
      <w:r>
        <w:rPr>
          <w:rFonts w:eastAsia="Calibri"/>
          <w:sz w:val="24"/>
          <w:szCs w:val="24"/>
        </w:rPr>
        <w:lastRenderedPageBreak/>
        <w:t>designar quantos prepostos forem necessários para o acompanhamento das audiências. Assim, a SBDI-I, por unanimidade, conheceu do recurso de embargos, por divergência jurisprudencial e, no mérito, por maioria, deu-lhe provimento para, anulando a sentença, declarar a revelia da primeira reclamada e os seus efeitos materiais e processuais inerentes, mormente quanto à sua confissão ficta sobre a matéria de fato, e determinar o retorno dos autos à Vara do Trabalho de origem para prolação de nova decisão de mérito, como entender de direito, sem reabertura de nova instrução processual, ante o que preconiza o item II da Súmula nº 74 do TST. Vencido o Ministro Márcio Eurico Vitral Amaro.</w:t>
      </w:r>
      <w:r w:rsidRPr="00855623">
        <w:rPr>
          <w:rFonts w:eastAsia="Calibri"/>
          <w:sz w:val="24"/>
          <w:szCs w:val="24"/>
        </w:rPr>
        <w:t xml:space="preserve"> </w:t>
      </w:r>
      <w:hyperlink r:id="rId10" w:history="1">
        <w:r w:rsidRPr="00855623">
          <w:rPr>
            <w:rStyle w:val="Hyperlink"/>
            <w:rFonts w:eastAsia="Calibri"/>
            <w:sz w:val="24"/>
            <w:szCs w:val="24"/>
          </w:rPr>
          <w:t>TST-E-ED-RR-265500-36.2005.5.02.0046</w:t>
        </w:r>
      </w:hyperlink>
      <w:r w:rsidRPr="008F371F">
        <w:rPr>
          <w:rFonts w:eastAsia="Calibri"/>
          <w:sz w:val="24"/>
          <w:szCs w:val="24"/>
          <w:u w:val="single"/>
        </w:rPr>
        <w:t>, SBDI-I, rel. Mi</w:t>
      </w:r>
      <w:r>
        <w:rPr>
          <w:rFonts w:eastAsia="Calibri"/>
          <w:sz w:val="24"/>
          <w:szCs w:val="24"/>
          <w:u w:val="single"/>
        </w:rPr>
        <w:t>n. José Roberto Freire Pimenta, 2.6</w:t>
      </w:r>
      <w:r w:rsidRPr="008F371F">
        <w:rPr>
          <w:rFonts w:eastAsia="Calibri"/>
          <w:sz w:val="24"/>
          <w:szCs w:val="24"/>
          <w:u w:val="single"/>
        </w:rPr>
        <w:t>.2016</w:t>
      </w:r>
    </w:p>
    <w:p w:rsidR="00855623" w:rsidRPr="00855623" w:rsidRDefault="00855623" w:rsidP="00C6738C">
      <w:pPr>
        <w:rPr>
          <w:sz w:val="24"/>
          <w:szCs w:val="24"/>
        </w:rPr>
      </w:pPr>
    </w:p>
    <w:p w:rsidR="00855623" w:rsidRPr="00967FC5" w:rsidRDefault="00855623" w:rsidP="00855623">
      <w:pPr>
        <w:jc w:val="both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Petrobras. Curso de f</w:t>
      </w:r>
      <w:r w:rsidRPr="00967FC5">
        <w:rPr>
          <w:rFonts w:eastAsia="Calibri"/>
          <w:b/>
          <w:i/>
          <w:sz w:val="24"/>
          <w:szCs w:val="24"/>
        </w:rPr>
        <w:t xml:space="preserve">ormação. </w:t>
      </w:r>
      <w:r>
        <w:rPr>
          <w:rFonts w:eastAsia="Calibri"/>
          <w:b/>
          <w:i/>
          <w:sz w:val="24"/>
          <w:szCs w:val="24"/>
        </w:rPr>
        <w:t>Vínculo de emprego. Caracterização.</w:t>
      </w:r>
      <w:r w:rsidRPr="00967FC5">
        <w:rPr>
          <w:rFonts w:eastAsia="Calibri"/>
          <w:b/>
          <w:i/>
          <w:sz w:val="24"/>
          <w:szCs w:val="24"/>
        </w:rPr>
        <w:t xml:space="preserve"> </w:t>
      </w:r>
      <w:r>
        <w:rPr>
          <w:rFonts w:eastAsia="Calibri"/>
          <w:b/>
          <w:i/>
          <w:sz w:val="24"/>
          <w:szCs w:val="24"/>
        </w:rPr>
        <w:t>Cômputo como tempo de serviço. Art. 14, § 2º, da Lei nº 9.624/98. Aplicação analógica.</w:t>
      </w:r>
    </w:p>
    <w:p w:rsidR="00855623" w:rsidRPr="000F2EDD" w:rsidRDefault="00855623" w:rsidP="0085562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Ainda que o edital do concurso para ingresso no cargo de “Operador I” da Petrobras não permita a </w:t>
      </w:r>
      <w:r w:rsidRPr="000F2EDD">
        <w:rPr>
          <w:rFonts w:eastAsia="Calibri"/>
          <w:sz w:val="24"/>
          <w:szCs w:val="24"/>
        </w:rPr>
        <w:t xml:space="preserve">integração do período relativo ao </w:t>
      </w:r>
      <w:r>
        <w:rPr>
          <w:rFonts w:eastAsia="Calibri"/>
          <w:sz w:val="24"/>
          <w:szCs w:val="24"/>
        </w:rPr>
        <w:t xml:space="preserve">denominado </w:t>
      </w:r>
      <w:r w:rsidRPr="000F2EDD">
        <w:rPr>
          <w:rFonts w:eastAsia="Calibri"/>
          <w:sz w:val="24"/>
          <w:szCs w:val="24"/>
        </w:rPr>
        <w:t xml:space="preserve">Curso de Formação </w:t>
      </w:r>
      <w:r>
        <w:rPr>
          <w:rFonts w:eastAsia="Calibri"/>
          <w:sz w:val="24"/>
          <w:szCs w:val="24"/>
        </w:rPr>
        <w:t xml:space="preserve">Educacional Complementar </w:t>
      </w:r>
      <w:r w:rsidRPr="000F2EDD">
        <w:rPr>
          <w:rFonts w:eastAsia="Calibri"/>
          <w:sz w:val="24"/>
          <w:szCs w:val="24"/>
        </w:rPr>
        <w:t xml:space="preserve">no contrato de trabalho, não há como </w:t>
      </w:r>
      <w:r>
        <w:rPr>
          <w:rFonts w:eastAsia="Calibri"/>
          <w:sz w:val="24"/>
          <w:szCs w:val="24"/>
        </w:rPr>
        <w:t>afastar</w:t>
      </w:r>
      <w:r w:rsidRPr="000F2EDD">
        <w:rPr>
          <w:rFonts w:eastAsia="Calibri"/>
          <w:sz w:val="24"/>
          <w:szCs w:val="24"/>
        </w:rPr>
        <w:t xml:space="preserve"> a caracterização do vínculo empregatíci</w:t>
      </w:r>
      <w:r>
        <w:rPr>
          <w:rFonts w:eastAsia="Calibri"/>
          <w:sz w:val="24"/>
          <w:szCs w:val="24"/>
        </w:rPr>
        <w:t>o nesse período, uma vez que o referido c</w:t>
      </w:r>
      <w:r w:rsidRPr="000F2EDD">
        <w:rPr>
          <w:rFonts w:eastAsia="Calibri"/>
          <w:sz w:val="24"/>
          <w:szCs w:val="24"/>
        </w:rPr>
        <w:t xml:space="preserve">urso não estava voltado para simples formação educacional ordinária, mas detinha finalidade específica de qualificação para o </w:t>
      </w:r>
      <w:r>
        <w:rPr>
          <w:rFonts w:eastAsia="Calibri"/>
          <w:sz w:val="24"/>
          <w:szCs w:val="24"/>
        </w:rPr>
        <w:t>desempenho do cargo, além de</w:t>
      </w:r>
      <w:r w:rsidR="008652A2">
        <w:rPr>
          <w:rFonts w:eastAsia="Calibri"/>
          <w:sz w:val="24"/>
          <w:szCs w:val="24"/>
        </w:rPr>
        <w:t xml:space="preserve"> ostentar</w:t>
      </w:r>
      <w:r>
        <w:rPr>
          <w:rFonts w:eastAsia="Calibri"/>
          <w:sz w:val="24"/>
          <w:szCs w:val="24"/>
        </w:rPr>
        <w:t xml:space="preserve"> cunho obrigatório, presentes a subordinação, a não eventualidade, a pessoalidade e a onerosidade (bolsa), próprias da relação de emprego, nos termos dos arts. 2º e 3º da CLT. Aplicação analógica do art. 14, § 2º, da Lei nº 9.624/98, para fins de cômputo do período do curso de formação como tempo de serviço. Sob esse entendimento, a SBDI-I, por unanimidade, conheceu dos embargos, por divergência jurisprudencial, e, no mérito, por maioria, negou-lhes provimento mantendo a decisão turmária que restabeleceu a sentença proferida em sede de ação civil pública, a qual condenara a Petrobras na obrigação de retificar as carteiras de trabalho dos empregados nominados na petição inicial, relativamente à data de admissão. Vencidos os Ministros João Oreste Dalazen, relator, Ives Gandra Martins Filho, Brito Pereira e Márcio Eurico Vitral Amaro. </w:t>
      </w:r>
      <w:hyperlink r:id="rId11" w:history="1">
        <w:r w:rsidRPr="00855623">
          <w:rPr>
            <w:rStyle w:val="Hyperlink"/>
            <w:rFonts w:eastAsia="Calibri"/>
            <w:sz w:val="24"/>
            <w:szCs w:val="24"/>
          </w:rPr>
          <w:t>TST-E-ED-RR-213000-10.2004.5.01.0481</w:t>
        </w:r>
      </w:hyperlink>
      <w:r w:rsidRPr="008F371F">
        <w:rPr>
          <w:rFonts w:eastAsia="Calibri"/>
          <w:sz w:val="24"/>
          <w:szCs w:val="24"/>
          <w:u w:val="single"/>
        </w:rPr>
        <w:t xml:space="preserve">, SBDI-I, </w:t>
      </w:r>
      <w:r>
        <w:rPr>
          <w:rFonts w:eastAsia="Calibri"/>
          <w:sz w:val="24"/>
          <w:szCs w:val="24"/>
          <w:u w:val="single"/>
        </w:rPr>
        <w:t xml:space="preserve">rel. Min. João Oreste Dalazen, red. p/ acórdão </w:t>
      </w:r>
      <w:r w:rsidRPr="008F371F">
        <w:rPr>
          <w:rFonts w:eastAsia="Calibri"/>
          <w:sz w:val="24"/>
          <w:szCs w:val="24"/>
          <w:u w:val="single"/>
        </w:rPr>
        <w:t>Mi</w:t>
      </w:r>
      <w:r>
        <w:rPr>
          <w:rFonts w:eastAsia="Calibri"/>
          <w:sz w:val="24"/>
          <w:szCs w:val="24"/>
          <w:u w:val="single"/>
        </w:rPr>
        <w:t>n. Aloysio Corrêa da Veiga, 2.6.2016</w:t>
      </w:r>
    </w:p>
    <w:p w:rsidR="00855623" w:rsidRDefault="00855623" w:rsidP="00C6738C">
      <w:pPr>
        <w:rPr>
          <w:sz w:val="10"/>
          <w:szCs w:val="10"/>
        </w:rPr>
      </w:pPr>
    </w:p>
    <w:p w:rsidR="00340D16" w:rsidRDefault="00340D16" w:rsidP="00C6738C">
      <w:pPr>
        <w:rPr>
          <w:sz w:val="10"/>
          <w:szCs w:val="10"/>
        </w:rPr>
      </w:pPr>
    </w:p>
    <w:p w:rsidR="00F753D1" w:rsidRDefault="00F753D1" w:rsidP="00C6738C">
      <w:pPr>
        <w:rPr>
          <w:sz w:val="10"/>
          <w:szCs w:val="10"/>
        </w:rPr>
      </w:pPr>
    </w:p>
    <w:p w:rsidR="00F753D1" w:rsidRDefault="00F753D1" w:rsidP="00C6738C">
      <w:pPr>
        <w:rPr>
          <w:sz w:val="10"/>
          <w:szCs w:val="10"/>
        </w:rPr>
      </w:pPr>
    </w:p>
    <w:p w:rsidR="00F753D1" w:rsidRDefault="00F753D1" w:rsidP="00C6738C">
      <w:pPr>
        <w:rPr>
          <w:sz w:val="10"/>
          <w:szCs w:val="10"/>
        </w:rPr>
      </w:pPr>
    </w:p>
    <w:p w:rsidR="00340D16" w:rsidRPr="001D6AC9" w:rsidRDefault="00340D16" w:rsidP="00C6738C">
      <w:pPr>
        <w:rPr>
          <w:sz w:val="10"/>
          <w:szCs w:val="10"/>
        </w:rPr>
      </w:pP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Informações/Sugestões/Críticas: (61)3043</w:t>
      </w:r>
      <w:r w:rsidR="00352B27" w:rsidRPr="00CE7555">
        <w:rPr>
          <w:snapToGrid w:val="0"/>
          <w:sz w:val="25"/>
          <w:szCs w:val="25"/>
        </w:rPr>
        <w:t>-</w:t>
      </w:r>
      <w:r w:rsidRPr="00CE7555">
        <w:rPr>
          <w:snapToGrid w:val="0"/>
          <w:sz w:val="25"/>
          <w:szCs w:val="25"/>
        </w:rPr>
        <w:t>4</w:t>
      </w:r>
      <w:r w:rsidR="00D72C05" w:rsidRPr="00CE7555">
        <w:rPr>
          <w:snapToGrid w:val="0"/>
          <w:sz w:val="25"/>
          <w:szCs w:val="25"/>
        </w:rPr>
        <w:t>417</w:t>
      </w:r>
    </w:p>
    <w:p w:rsidR="007614F1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cjur@tst.jus.br</w:t>
      </w:r>
    </w:p>
    <w:sectPr w:rsidR="007614F1" w:rsidRPr="00CE7555" w:rsidSect="00D11B2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39" w:rsidRDefault="00554139">
      <w:r>
        <w:separator/>
      </w:r>
    </w:p>
  </w:endnote>
  <w:endnote w:type="continuationSeparator" w:id="0">
    <w:p w:rsidR="00554139" w:rsidRDefault="0055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62C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E262CF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39" w:rsidRDefault="00554139">
      <w:r>
        <w:separator/>
      </w:r>
    </w:p>
  </w:footnote>
  <w:footnote w:type="continuationSeparator" w:id="0">
    <w:p w:rsidR="00554139" w:rsidRDefault="00554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C51600">
      <w:rPr>
        <w:shadow/>
        <w:sz w:val="24"/>
        <w:szCs w:val="24"/>
      </w:rPr>
      <w:t>1</w:t>
    </w:r>
    <w:r w:rsidR="00DC7F71">
      <w:rPr>
        <w:shadow/>
        <w:sz w:val="24"/>
        <w:szCs w:val="24"/>
      </w:rPr>
      <w:t>3</w:t>
    </w:r>
    <w:r w:rsidR="00855623">
      <w:rPr>
        <w:shadow/>
        <w:sz w:val="24"/>
        <w:szCs w:val="24"/>
      </w:rPr>
      <w:t>8</w:t>
    </w:r>
  </w:p>
  <w:p w:rsidR="00CE7555" w:rsidRPr="005D1DE4" w:rsidRDefault="00187A37" w:rsidP="00CE7555">
    <w:pPr>
      <w:pStyle w:val="Cabealho"/>
      <w:jc w:val="right"/>
    </w:pPr>
    <w:r w:rsidRPr="003C0554"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DB0223" w:rsidRPr="003C0554">
      <w:rPr>
        <w:iCs/>
      </w:rPr>
      <w:t xml:space="preserve"> </w:t>
    </w:r>
    <w:r w:rsidR="00494DD1">
      <w:rPr>
        <w:i/>
        <w:iCs/>
      </w:rPr>
      <w:t xml:space="preserve">Período: </w:t>
    </w:r>
    <w:r w:rsidR="00260B37">
      <w:rPr>
        <w:i/>
        <w:iCs/>
      </w:rPr>
      <w:t>3</w:t>
    </w:r>
    <w:r w:rsidR="00855623">
      <w:rPr>
        <w:i/>
        <w:iCs/>
      </w:rPr>
      <w:t>1</w:t>
    </w:r>
    <w:r w:rsidR="00260B37">
      <w:rPr>
        <w:i/>
        <w:iCs/>
      </w:rPr>
      <w:t xml:space="preserve"> </w:t>
    </w:r>
    <w:r w:rsidR="00C232C2">
      <w:rPr>
        <w:i/>
        <w:iCs/>
      </w:rPr>
      <w:t>de maio</w:t>
    </w:r>
    <w:r w:rsidR="00855623">
      <w:rPr>
        <w:i/>
        <w:iCs/>
      </w:rPr>
      <w:t xml:space="preserve"> a 6 de junho</w:t>
    </w:r>
    <w:r w:rsidR="00F907EB">
      <w:rPr>
        <w:i/>
        <w:iCs/>
      </w:rPr>
      <w:t xml:space="preserve"> </w:t>
    </w:r>
    <w:r w:rsidR="000E5C57">
      <w:rPr>
        <w:i/>
        <w:iCs/>
      </w:rPr>
      <w:t>d</w:t>
    </w:r>
    <w:r w:rsidR="00971E5F">
      <w:rPr>
        <w:i/>
        <w:iCs/>
      </w:rPr>
      <w:t>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C51600">
      <w:rPr>
        <w:b/>
        <w:sz w:val="40"/>
        <w:szCs w:val="40"/>
      </w:rPr>
      <w:t>1</w:t>
    </w:r>
    <w:r w:rsidR="00F907EB">
      <w:rPr>
        <w:b/>
        <w:sz w:val="40"/>
        <w:szCs w:val="40"/>
      </w:rPr>
      <w:t>3</w:t>
    </w:r>
    <w:r w:rsidR="00855623">
      <w:rPr>
        <w:b/>
        <w:sz w:val="40"/>
        <w:szCs w:val="40"/>
      </w:rPr>
      <w:t>8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260B37">
      <w:rPr>
        <w:i/>
        <w:iCs/>
      </w:rPr>
      <w:t>3</w:t>
    </w:r>
    <w:r w:rsidR="00855623">
      <w:rPr>
        <w:i/>
        <w:iCs/>
      </w:rPr>
      <w:t>1</w:t>
    </w:r>
    <w:r w:rsidR="00C232C2">
      <w:rPr>
        <w:i/>
        <w:iCs/>
      </w:rPr>
      <w:t xml:space="preserve"> de maio</w:t>
    </w:r>
    <w:r w:rsidR="00855623">
      <w:rPr>
        <w:i/>
        <w:iCs/>
      </w:rPr>
      <w:t xml:space="preserve"> a 6</w:t>
    </w:r>
    <w:r w:rsidR="008652A2">
      <w:rPr>
        <w:i/>
        <w:iCs/>
      </w:rPr>
      <w:t xml:space="preserve"> </w:t>
    </w:r>
    <w:r w:rsidR="00855623">
      <w:rPr>
        <w:i/>
        <w:iCs/>
      </w:rPr>
      <w:t xml:space="preserve">de junho </w:t>
    </w:r>
    <w:r w:rsidR="000E5C57">
      <w:rPr>
        <w:i/>
        <w:iCs/>
      </w:rPr>
      <w:t xml:space="preserve"> </w:t>
    </w:r>
    <w:r w:rsidR="004A094C">
      <w:rPr>
        <w:i/>
        <w:iCs/>
      </w:rPr>
      <w:t>de 201</w:t>
    </w:r>
    <w:r w:rsidR="000E5C57">
      <w:rPr>
        <w:i/>
        <w:iCs/>
      </w:rPr>
      <w:t>6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249BA"/>
    <w:rsid w:val="00024CE9"/>
    <w:rsid w:val="00032056"/>
    <w:rsid w:val="000322FB"/>
    <w:rsid w:val="000425FC"/>
    <w:rsid w:val="00050E85"/>
    <w:rsid w:val="0005125E"/>
    <w:rsid w:val="00056752"/>
    <w:rsid w:val="0005765E"/>
    <w:rsid w:val="00057B87"/>
    <w:rsid w:val="0006020E"/>
    <w:rsid w:val="00064486"/>
    <w:rsid w:val="00065048"/>
    <w:rsid w:val="000733B4"/>
    <w:rsid w:val="00073880"/>
    <w:rsid w:val="00075BDB"/>
    <w:rsid w:val="00080F10"/>
    <w:rsid w:val="000858FB"/>
    <w:rsid w:val="0009237D"/>
    <w:rsid w:val="00093AE9"/>
    <w:rsid w:val="00093BA8"/>
    <w:rsid w:val="00095471"/>
    <w:rsid w:val="000A04E6"/>
    <w:rsid w:val="000A4C94"/>
    <w:rsid w:val="000B2973"/>
    <w:rsid w:val="000B4D41"/>
    <w:rsid w:val="000B67DF"/>
    <w:rsid w:val="000B7CDE"/>
    <w:rsid w:val="000C3022"/>
    <w:rsid w:val="000C38FA"/>
    <w:rsid w:val="000C58F4"/>
    <w:rsid w:val="000C5AC6"/>
    <w:rsid w:val="000C672B"/>
    <w:rsid w:val="000E0A91"/>
    <w:rsid w:val="000E1DC1"/>
    <w:rsid w:val="000E5C57"/>
    <w:rsid w:val="000E7CBE"/>
    <w:rsid w:val="0011575C"/>
    <w:rsid w:val="0011692E"/>
    <w:rsid w:val="001257D7"/>
    <w:rsid w:val="00137564"/>
    <w:rsid w:val="00137DC1"/>
    <w:rsid w:val="00141630"/>
    <w:rsid w:val="00142C28"/>
    <w:rsid w:val="0015612D"/>
    <w:rsid w:val="00161CDE"/>
    <w:rsid w:val="00163142"/>
    <w:rsid w:val="001648F5"/>
    <w:rsid w:val="00176D15"/>
    <w:rsid w:val="00183803"/>
    <w:rsid w:val="00184590"/>
    <w:rsid w:val="00187A37"/>
    <w:rsid w:val="00187BEF"/>
    <w:rsid w:val="0019151D"/>
    <w:rsid w:val="00193208"/>
    <w:rsid w:val="00197B15"/>
    <w:rsid w:val="001C04D2"/>
    <w:rsid w:val="001C21FB"/>
    <w:rsid w:val="001C271F"/>
    <w:rsid w:val="001C6C93"/>
    <w:rsid w:val="001D4CF9"/>
    <w:rsid w:val="001D5AB0"/>
    <w:rsid w:val="001D6AC9"/>
    <w:rsid w:val="001D757D"/>
    <w:rsid w:val="001E14A9"/>
    <w:rsid w:val="001E14BB"/>
    <w:rsid w:val="001E4B57"/>
    <w:rsid w:val="001E5BD1"/>
    <w:rsid w:val="001E713B"/>
    <w:rsid w:val="001E79B4"/>
    <w:rsid w:val="001F030F"/>
    <w:rsid w:val="001F45E0"/>
    <w:rsid w:val="00204C97"/>
    <w:rsid w:val="00206810"/>
    <w:rsid w:val="002168DE"/>
    <w:rsid w:val="00224AC2"/>
    <w:rsid w:val="0023559D"/>
    <w:rsid w:val="002402B0"/>
    <w:rsid w:val="002449F9"/>
    <w:rsid w:val="00255732"/>
    <w:rsid w:val="00257B4A"/>
    <w:rsid w:val="00260B37"/>
    <w:rsid w:val="002635ED"/>
    <w:rsid w:val="002662BA"/>
    <w:rsid w:val="00266D49"/>
    <w:rsid w:val="00271C5C"/>
    <w:rsid w:val="00271E67"/>
    <w:rsid w:val="002730B5"/>
    <w:rsid w:val="002766D5"/>
    <w:rsid w:val="00276EA0"/>
    <w:rsid w:val="00280594"/>
    <w:rsid w:val="00285064"/>
    <w:rsid w:val="002A219D"/>
    <w:rsid w:val="002A521A"/>
    <w:rsid w:val="002A546D"/>
    <w:rsid w:val="002B4738"/>
    <w:rsid w:val="002B6377"/>
    <w:rsid w:val="002C2904"/>
    <w:rsid w:val="002E78CB"/>
    <w:rsid w:val="002F28E5"/>
    <w:rsid w:val="003074FC"/>
    <w:rsid w:val="0033397A"/>
    <w:rsid w:val="00340D16"/>
    <w:rsid w:val="00340E8D"/>
    <w:rsid w:val="00342846"/>
    <w:rsid w:val="003503FC"/>
    <w:rsid w:val="00352B27"/>
    <w:rsid w:val="0035374D"/>
    <w:rsid w:val="00363255"/>
    <w:rsid w:val="0036325E"/>
    <w:rsid w:val="003671FE"/>
    <w:rsid w:val="003708FD"/>
    <w:rsid w:val="003745DE"/>
    <w:rsid w:val="0037667D"/>
    <w:rsid w:val="00380212"/>
    <w:rsid w:val="00383A89"/>
    <w:rsid w:val="00384075"/>
    <w:rsid w:val="003908C5"/>
    <w:rsid w:val="00396053"/>
    <w:rsid w:val="003A1F0A"/>
    <w:rsid w:val="003A4086"/>
    <w:rsid w:val="003A5E5B"/>
    <w:rsid w:val="003B045C"/>
    <w:rsid w:val="003B0538"/>
    <w:rsid w:val="003B0A59"/>
    <w:rsid w:val="003B3EB5"/>
    <w:rsid w:val="003B4E23"/>
    <w:rsid w:val="003B767E"/>
    <w:rsid w:val="003C01E8"/>
    <w:rsid w:val="003C0554"/>
    <w:rsid w:val="003C1AB7"/>
    <w:rsid w:val="003C6FE7"/>
    <w:rsid w:val="003D032E"/>
    <w:rsid w:val="003D4205"/>
    <w:rsid w:val="003E1C53"/>
    <w:rsid w:val="003F2078"/>
    <w:rsid w:val="004034A8"/>
    <w:rsid w:val="00416D9A"/>
    <w:rsid w:val="0042772A"/>
    <w:rsid w:val="004323B0"/>
    <w:rsid w:val="00444E88"/>
    <w:rsid w:val="004477EC"/>
    <w:rsid w:val="00450BAD"/>
    <w:rsid w:val="0045657C"/>
    <w:rsid w:val="004655CC"/>
    <w:rsid w:val="00466DB9"/>
    <w:rsid w:val="00470EF8"/>
    <w:rsid w:val="004731B7"/>
    <w:rsid w:val="00486521"/>
    <w:rsid w:val="00486DFC"/>
    <w:rsid w:val="004922D6"/>
    <w:rsid w:val="00494DD1"/>
    <w:rsid w:val="004A094C"/>
    <w:rsid w:val="004A14FC"/>
    <w:rsid w:val="004A5264"/>
    <w:rsid w:val="004A5908"/>
    <w:rsid w:val="004A7C59"/>
    <w:rsid w:val="004B21AD"/>
    <w:rsid w:val="004C011C"/>
    <w:rsid w:val="004C14EA"/>
    <w:rsid w:val="004C2118"/>
    <w:rsid w:val="004C2612"/>
    <w:rsid w:val="004C759F"/>
    <w:rsid w:val="004D6000"/>
    <w:rsid w:val="004D6415"/>
    <w:rsid w:val="004D71E8"/>
    <w:rsid w:val="004E393E"/>
    <w:rsid w:val="004E4507"/>
    <w:rsid w:val="004E4619"/>
    <w:rsid w:val="004F0A7D"/>
    <w:rsid w:val="004F5040"/>
    <w:rsid w:val="00513789"/>
    <w:rsid w:val="0051538E"/>
    <w:rsid w:val="00517E01"/>
    <w:rsid w:val="00521EEC"/>
    <w:rsid w:val="00543B94"/>
    <w:rsid w:val="005460BD"/>
    <w:rsid w:val="005521C8"/>
    <w:rsid w:val="00553197"/>
    <w:rsid w:val="0055409E"/>
    <w:rsid w:val="00554139"/>
    <w:rsid w:val="00556367"/>
    <w:rsid w:val="00556B35"/>
    <w:rsid w:val="00573E13"/>
    <w:rsid w:val="005811A4"/>
    <w:rsid w:val="00584F82"/>
    <w:rsid w:val="00591DFA"/>
    <w:rsid w:val="005A30AA"/>
    <w:rsid w:val="005A5695"/>
    <w:rsid w:val="005B0A1C"/>
    <w:rsid w:val="005B22CE"/>
    <w:rsid w:val="005B2F00"/>
    <w:rsid w:val="005B3792"/>
    <w:rsid w:val="005B57DE"/>
    <w:rsid w:val="005C1886"/>
    <w:rsid w:val="005C761E"/>
    <w:rsid w:val="005D0E5F"/>
    <w:rsid w:val="005D1DE4"/>
    <w:rsid w:val="005E35BD"/>
    <w:rsid w:val="005E3D4D"/>
    <w:rsid w:val="005E7FD1"/>
    <w:rsid w:val="005F0545"/>
    <w:rsid w:val="005F2858"/>
    <w:rsid w:val="006002E3"/>
    <w:rsid w:val="006145AC"/>
    <w:rsid w:val="00615F98"/>
    <w:rsid w:val="006207F5"/>
    <w:rsid w:val="00621F9C"/>
    <w:rsid w:val="00631166"/>
    <w:rsid w:val="00631F1C"/>
    <w:rsid w:val="006366A4"/>
    <w:rsid w:val="00643B60"/>
    <w:rsid w:val="006456B1"/>
    <w:rsid w:val="006564EC"/>
    <w:rsid w:val="0066084C"/>
    <w:rsid w:val="00661B23"/>
    <w:rsid w:val="00672CF9"/>
    <w:rsid w:val="00672E11"/>
    <w:rsid w:val="0068273B"/>
    <w:rsid w:val="00691234"/>
    <w:rsid w:val="00692202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E1A9C"/>
    <w:rsid w:val="006F6C15"/>
    <w:rsid w:val="00700B1B"/>
    <w:rsid w:val="0070727E"/>
    <w:rsid w:val="00710D3A"/>
    <w:rsid w:val="0071315F"/>
    <w:rsid w:val="00721942"/>
    <w:rsid w:val="00722BE7"/>
    <w:rsid w:val="00732DF2"/>
    <w:rsid w:val="007403B3"/>
    <w:rsid w:val="007614F1"/>
    <w:rsid w:val="007618C5"/>
    <w:rsid w:val="00764066"/>
    <w:rsid w:val="00766B7B"/>
    <w:rsid w:val="0077600F"/>
    <w:rsid w:val="00776118"/>
    <w:rsid w:val="00781C77"/>
    <w:rsid w:val="00796745"/>
    <w:rsid w:val="007B0F83"/>
    <w:rsid w:val="007C0A4F"/>
    <w:rsid w:val="007D29A1"/>
    <w:rsid w:val="007D469A"/>
    <w:rsid w:val="007E0EA7"/>
    <w:rsid w:val="007E3F23"/>
    <w:rsid w:val="007F142E"/>
    <w:rsid w:val="007F66BC"/>
    <w:rsid w:val="007F7B5E"/>
    <w:rsid w:val="00800B97"/>
    <w:rsid w:val="00801246"/>
    <w:rsid w:val="00802B1A"/>
    <w:rsid w:val="00805CD2"/>
    <w:rsid w:val="0080615C"/>
    <w:rsid w:val="0081027F"/>
    <w:rsid w:val="0081742D"/>
    <w:rsid w:val="00817AB1"/>
    <w:rsid w:val="00821F4D"/>
    <w:rsid w:val="00823906"/>
    <w:rsid w:val="008409D3"/>
    <w:rsid w:val="00844374"/>
    <w:rsid w:val="00845559"/>
    <w:rsid w:val="00854DB8"/>
    <w:rsid w:val="00854EF2"/>
    <w:rsid w:val="00855623"/>
    <w:rsid w:val="00855D99"/>
    <w:rsid w:val="008622CF"/>
    <w:rsid w:val="008627C6"/>
    <w:rsid w:val="00863B86"/>
    <w:rsid w:val="008652A2"/>
    <w:rsid w:val="00871F69"/>
    <w:rsid w:val="008842D0"/>
    <w:rsid w:val="00884AC4"/>
    <w:rsid w:val="0088579D"/>
    <w:rsid w:val="008A4AFF"/>
    <w:rsid w:val="008A5FA7"/>
    <w:rsid w:val="008A68E7"/>
    <w:rsid w:val="008A7953"/>
    <w:rsid w:val="008B1828"/>
    <w:rsid w:val="008B3081"/>
    <w:rsid w:val="008B32D4"/>
    <w:rsid w:val="008C7AD0"/>
    <w:rsid w:val="008D0020"/>
    <w:rsid w:val="008D3C38"/>
    <w:rsid w:val="008D3C4B"/>
    <w:rsid w:val="008D6A05"/>
    <w:rsid w:val="008E2AE5"/>
    <w:rsid w:val="008E3F89"/>
    <w:rsid w:val="008F26CB"/>
    <w:rsid w:val="008F6509"/>
    <w:rsid w:val="008F79D9"/>
    <w:rsid w:val="009027C8"/>
    <w:rsid w:val="00922D1B"/>
    <w:rsid w:val="0093467A"/>
    <w:rsid w:val="009353F1"/>
    <w:rsid w:val="0094155C"/>
    <w:rsid w:val="00951531"/>
    <w:rsid w:val="00960A3B"/>
    <w:rsid w:val="0096375C"/>
    <w:rsid w:val="00967DE0"/>
    <w:rsid w:val="00971E07"/>
    <w:rsid w:val="00971E5F"/>
    <w:rsid w:val="00980944"/>
    <w:rsid w:val="00986D77"/>
    <w:rsid w:val="00993A6E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1C7B"/>
    <w:rsid w:val="009F21A2"/>
    <w:rsid w:val="00A00D70"/>
    <w:rsid w:val="00A00DEE"/>
    <w:rsid w:val="00A32FBF"/>
    <w:rsid w:val="00A407EA"/>
    <w:rsid w:val="00A51749"/>
    <w:rsid w:val="00A521B6"/>
    <w:rsid w:val="00A56962"/>
    <w:rsid w:val="00A6382F"/>
    <w:rsid w:val="00A6412C"/>
    <w:rsid w:val="00A75419"/>
    <w:rsid w:val="00A76661"/>
    <w:rsid w:val="00A76D2A"/>
    <w:rsid w:val="00A82081"/>
    <w:rsid w:val="00A8557E"/>
    <w:rsid w:val="00A903E4"/>
    <w:rsid w:val="00A91181"/>
    <w:rsid w:val="00A935AC"/>
    <w:rsid w:val="00AA3DE0"/>
    <w:rsid w:val="00AB299E"/>
    <w:rsid w:val="00AB507C"/>
    <w:rsid w:val="00AC096E"/>
    <w:rsid w:val="00AD6E76"/>
    <w:rsid w:val="00AE3EAA"/>
    <w:rsid w:val="00AE5EDF"/>
    <w:rsid w:val="00AE758A"/>
    <w:rsid w:val="00B06261"/>
    <w:rsid w:val="00B12273"/>
    <w:rsid w:val="00B14F7F"/>
    <w:rsid w:val="00B16EB9"/>
    <w:rsid w:val="00B22F24"/>
    <w:rsid w:val="00B22F53"/>
    <w:rsid w:val="00B24DBE"/>
    <w:rsid w:val="00B34EB2"/>
    <w:rsid w:val="00B4728A"/>
    <w:rsid w:val="00B517C3"/>
    <w:rsid w:val="00B518B2"/>
    <w:rsid w:val="00B526EA"/>
    <w:rsid w:val="00B536FE"/>
    <w:rsid w:val="00B60670"/>
    <w:rsid w:val="00B73FFA"/>
    <w:rsid w:val="00B74A6E"/>
    <w:rsid w:val="00B82CC4"/>
    <w:rsid w:val="00B838C3"/>
    <w:rsid w:val="00B874F1"/>
    <w:rsid w:val="00BC1DE7"/>
    <w:rsid w:val="00BC209E"/>
    <w:rsid w:val="00BC2C67"/>
    <w:rsid w:val="00BC54BC"/>
    <w:rsid w:val="00BC5AEE"/>
    <w:rsid w:val="00BD2A95"/>
    <w:rsid w:val="00BD2CA9"/>
    <w:rsid w:val="00BD6029"/>
    <w:rsid w:val="00BE0541"/>
    <w:rsid w:val="00BE1ADB"/>
    <w:rsid w:val="00BE3152"/>
    <w:rsid w:val="00BF0693"/>
    <w:rsid w:val="00C070DE"/>
    <w:rsid w:val="00C232C2"/>
    <w:rsid w:val="00C26DFB"/>
    <w:rsid w:val="00C273FA"/>
    <w:rsid w:val="00C30D06"/>
    <w:rsid w:val="00C42067"/>
    <w:rsid w:val="00C432D0"/>
    <w:rsid w:val="00C4398E"/>
    <w:rsid w:val="00C44218"/>
    <w:rsid w:val="00C51600"/>
    <w:rsid w:val="00C54185"/>
    <w:rsid w:val="00C57E92"/>
    <w:rsid w:val="00C60B4A"/>
    <w:rsid w:val="00C65BDB"/>
    <w:rsid w:val="00C66C95"/>
    <w:rsid w:val="00C6738C"/>
    <w:rsid w:val="00C71A3B"/>
    <w:rsid w:val="00C76CFA"/>
    <w:rsid w:val="00C819C8"/>
    <w:rsid w:val="00C8747B"/>
    <w:rsid w:val="00C87D5B"/>
    <w:rsid w:val="00C94FF6"/>
    <w:rsid w:val="00C963F8"/>
    <w:rsid w:val="00C96BB1"/>
    <w:rsid w:val="00CA2F80"/>
    <w:rsid w:val="00CA3ECF"/>
    <w:rsid w:val="00CB0C2A"/>
    <w:rsid w:val="00CB3B98"/>
    <w:rsid w:val="00CC4B2B"/>
    <w:rsid w:val="00CC579C"/>
    <w:rsid w:val="00CC5F5F"/>
    <w:rsid w:val="00CC6BEC"/>
    <w:rsid w:val="00CC743B"/>
    <w:rsid w:val="00CD3460"/>
    <w:rsid w:val="00CD44C9"/>
    <w:rsid w:val="00CD4B61"/>
    <w:rsid w:val="00CD5043"/>
    <w:rsid w:val="00CE066A"/>
    <w:rsid w:val="00CE2928"/>
    <w:rsid w:val="00CE314A"/>
    <w:rsid w:val="00CE5865"/>
    <w:rsid w:val="00CE7555"/>
    <w:rsid w:val="00CF3D9D"/>
    <w:rsid w:val="00CF6B77"/>
    <w:rsid w:val="00D00018"/>
    <w:rsid w:val="00D01C50"/>
    <w:rsid w:val="00D11B24"/>
    <w:rsid w:val="00D11C18"/>
    <w:rsid w:val="00D133C8"/>
    <w:rsid w:val="00D14DB8"/>
    <w:rsid w:val="00D17339"/>
    <w:rsid w:val="00D244D5"/>
    <w:rsid w:val="00D2776A"/>
    <w:rsid w:val="00D4021B"/>
    <w:rsid w:val="00D413DB"/>
    <w:rsid w:val="00D420E2"/>
    <w:rsid w:val="00D4459D"/>
    <w:rsid w:val="00D573F9"/>
    <w:rsid w:val="00D6058B"/>
    <w:rsid w:val="00D608E5"/>
    <w:rsid w:val="00D62D9E"/>
    <w:rsid w:val="00D63EC5"/>
    <w:rsid w:val="00D64BC3"/>
    <w:rsid w:val="00D72C05"/>
    <w:rsid w:val="00D73575"/>
    <w:rsid w:val="00D735BF"/>
    <w:rsid w:val="00D77672"/>
    <w:rsid w:val="00D80222"/>
    <w:rsid w:val="00D847CF"/>
    <w:rsid w:val="00D87489"/>
    <w:rsid w:val="00DA0A99"/>
    <w:rsid w:val="00DA0A9D"/>
    <w:rsid w:val="00DA54D4"/>
    <w:rsid w:val="00DA7603"/>
    <w:rsid w:val="00DA7E39"/>
    <w:rsid w:val="00DA7EDE"/>
    <w:rsid w:val="00DB0223"/>
    <w:rsid w:val="00DB047C"/>
    <w:rsid w:val="00DC0AB5"/>
    <w:rsid w:val="00DC3451"/>
    <w:rsid w:val="00DC50EB"/>
    <w:rsid w:val="00DC7F71"/>
    <w:rsid w:val="00DD19F4"/>
    <w:rsid w:val="00DD3FA0"/>
    <w:rsid w:val="00DE5B2D"/>
    <w:rsid w:val="00DE5CE9"/>
    <w:rsid w:val="00DF45BB"/>
    <w:rsid w:val="00E006DC"/>
    <w:rsid w:val="00E03064"/>
    <w:rsid w:val="00E04BD5"/>
    <w:rsid w:val="00E070D2"/>
    <w:rsid w:val="00E100F5"/>
    <w:rsid w:val="00E1139A"/>
    <w:rsid w:val="00E1539C"/>
    <w:rsid w:val="00E162B6"/>
    <w:rsid w:val="00E16E01"/>
    <w:rsid w:val="00E20FC8"/>
    <w:rsid w:val="00E24A50"/>
    <w:rsid w:val="00E262CF"/>
    <w:rsid w:val="00E31469"/>
    <w:rsid w:val="00E3296A"/>
    <w:rsid w:val="00E35639"/>
    <w:rsid w:val="00E4188A"/>
    <w:rsid w:val="00E432CC"/>
    <w:rsid w:val="00E47FF2"/>
    <w:rsid w:val="00E50711"/>
    <w:rsid w:val="00E52522"/>
    <w:rsid w:val="00E531C9"/>
    <w:rsid w:val="00E60AD3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6C1B"/>
    <w:rsid w:val="00EB7A09"/>
    <w:rsid w:val="00EC0EDC"/>
    <w:rsid w:val="00EC5AF4"/>
    <w:rsid w:val="00EC7E0B"/>
    <w:rsid w:val="00ED661C"/>
    <w:rsid w:val="00EE41B5"/>
    <w:rsid w:val="00EE66C9"/>
    <w:rsid w:val="00EF11A9"/>
    <w:rsid w:val="00EF38E1"/>
    <w:rsid w:val="00EF749A"/>
    <w:rsid w:val="00EF771E"/>
    <w:rsid w:val="00F02565"/>
    <w:rsid w:val="00F026EC"/>
    <w:rsid w:val="00F05542"/>
    <w:rsid w:val="00F06855"/>
    <w:rsid w:val="00F17A2C"/>
    <w:rsid w:val="00F21A70"/>
    <w:rsid w:val="00F26708"/>
    <w:rsid w:val="00F30FF2"/>
    <w:rsid w:val="00F37F29"/>
    <w:rsid w:val="00F45608"/>
    <w:rsid w:val="00F511EE"/>
    <w:rsid w:val="00F55574"/>
    <w:rsid w:val="00F558E7"/>
    <w:rsid w:val="00F62016"/>
    <w:rsid w:val="00F63F44"/>
    <w:rsid w:val="00F6746D"/>
    <w:rsid w:val="00F753D1"/>
    <w:rsid w:val="00F7766D"/>
    <w:rsid w:val="00F811CD"/>
    <w:rsid w:val="00F82D8F"/>
    <w:rsid w:val="00F83F62"/>
    <w:rsid w:val="00F907EB"/>
    <w:rsid w:val="00F9711D"/>
    <w:rsid w:val="00FA011F"/>
    <w:rsid w:val="00FA7544"/>
    <w:rsid w:val="00FA75E0"/>
    <w:rsid w:val="00FA7771"/>
    <w:rsid w:val="00FB0DC9"/>
    <w:rsid w:val="00FB20B1"/>
    <w:rsid w:val="00FB3AB4"/>
    <w:rsid w:val="00FB6188"/>
    <w:rsid w:val="00FC35EC"/>
    <w:rsid w:val="00FC56A4"/>
    <w:rsid w:val="00FD029A"/>
    <w:rsid w:val="00FD3D06"/>
    <w:rsid w:val="00FD5662"/>
    <w:rsid w:val="00FD72B6"/>
    <w:rsid w:val="00FE00AD"/>
    <w:rsid w:val="00FE206E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3323&amp;digitoTst=58&amp;anoTst=2010&amp;orgaoTst=5&amp;tribunalTst=02&amp;varaTst=020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icacao4.tst.jus.br/consultaProcessual/consultaTstNumUnica.do?consulta=Consultar&amp;conscsjt=&amp;numeroTst=213000&amp;digitoTst=10&amp;anoTst=2004&amp;orgaoTst=5&amp;tribunalTst=01&amp;varaTst=048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aplicacao4.tst.jus.br/consultaProcessual/consultaTstNumUnica.do?consulta=Consultar&amp;conscsjt=&amp;numeroTst=265500&amp;digitoTst=36&amp;anoTst=2005&amp;orgaoTst=5&amp;tribunalTst=02&amp;varaTst=0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79000&amp;digitoTst=86&amp;anoTst=2009&amp;orgaoTst=5&amp;tribunalTst=03&amp;varaTst=0111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D6B38-CCFC-4341-9521-43DB70A1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1093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6987</CharactersWithSpaces>
  <SharedDoc>false</SharedDoc>
  <HLinks>
    <vt:vector size="24" baseType="variant">
      <vt:variant>
        <vt:i4>1441870</vt:i4>
      </vt:variant>
      <vt:variant>
        <vt:i4>9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http://aplicacao4.tst.jus.br/consultaProcessual/consultaTstNumUnica.do?consulta=Consultar&amp;conscsjt=&amp;numeroTst=213000&amp;digitoTst=10&amp;anoTst=2004&amp;orgaoTst=5&amp;tribunalTst=01&amp;varaTst=0481</vt:lpwstr>
      </vt:variant>
      <vt:variant>
        <vt:lpwstr/>
      </vt:variant>
      <vt:variant>
        <vt:i4>1376320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http://aplicacao4.tst.jus.br/consultaProcessual/consultaTstNumUnica.do?consulta=Consultar&amp;conscsjt=&amp;numeroTst=265500&amp;digitoTst=36&amp;anoTst=2005&amp;orgaoTst=5&amp;tribunalTst=02&amp;varaTst=0046</vt:lpwstr>
      </vt:variant>
      <vt:variant>
        <vt:lpwstr/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http://aplicacao4.tst.jus.br/consultaProcessual/consultaTstNumUnica.do?consulta=Consultar&amp;conscsjt=&amp;numeroTst=79000&amp;digitoTst=86&amp;anoTst=2009&amp;orgaoTst=5&amp;tribunalTst=03&amp;varaTst=0111</vt:lpwstr>
      </vt:variant>
      <vt:variant>
        <vt:lpwstr/>
      </vt:variant>
      <vt:variant>
        <vt:i4>2490489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http://aplicacao4.tst.jus.br/consultaProcessual/consultaTstNumUnica.do?consulta=Consultar&amp;conscsjt=&amp;numeroTst=3323&amp;digitoTst=58&amp;anoTst=2010&amp;orgaoTst=5&amp;tribunalTst=02&amp;varaTst=0203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2016-05-09T16:14:00Z</cp:lastPrinted>
  <dcterms:created xsi:type="dcterms:W3CDTF">2017-05-18T23:09:00Z</dcterms:created>
  <dcterms:modified xsi:type="dcterms:W3CDTF">2017-05-18T23:09:00Z</dcterms:modified>
</cp:coreProperties>
</file>