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92" w:type="dxa"/>
        <w:tblInd w:w="70" w:type="dxa"/>
        <w:tblLayout w:type="fixed"/>
        <w:tblCellMar>
          <w:left w:w="70" w:type="dxa"/>
          <w:right w:w="70" w:type="dxa"/>
        </w:tblCellMar>
        <w:tblLook w:val="0000" w:firstRow="0" w:lastRow="0" w:firstColumn="0" w:lastColumn="0" w:noHBand="0" w:noVBand="0"/>
      </w:tblPr>
      <w:tblGrid>
        <w:gridCol w:w="9592"/>
      </w:tblGrid>
      <w:tr w:rsidR="00C26DFB" w:rsidRPr="00187A37" w:rsidTr="006A6905">
        <w:tblPrEx>
          <w:tblCellMar>
            <w:top w:w="0" w:type="dxa"/>
            <w:bottom w:w="0" w:type="dxa"/>
          </w:tblCellMar>
        </w:tblPrEx>
        <w:trPr>
          <w:trHeight w:val="564"/>
        </w:trPr>
        <w:tc>
          <w:tcPr>
            <w:tcW w:w="9592"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631F1C" w:rsidRPr="008E081F" w:rsidRDefault="00631F1C" w:rsidP="00631F1C">
      <w:pPr>
        <w:pStyle w:val="Corpo"/>
        <w:spacing w:line="240" w:lineRule="auto"/>
        <w:ind w:firstLine="0"/>
        <w:jc w:val="center"/>
        <w:rPr>
          <w:rFonts w:ascii="Times New Roman" w:hAnsi="Times New Roman" w:cs="Times New Roman"/>
          <w:b/>
          <w:bCs/>
          <w:shadow/>
          <w:color w:val="auto"/>
          <w:sz w:val="10"/>
          <w:szCs w:val="1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C71A3B" w:rsidRPr="005D1DE4" w:rsidRDefault="00C71A3B" w:rsidP="00F82D8F">
      <w:pPr>
        <w:pStyle w:val="Corpo"/>
        <w:spacing w:line="240" w:lineRule="auto"/>
        <w:ind w:firstLine="0"/>
        <w:rPr>
          <w:rFonts w:ascii="Times New Roman" w:hAnsi="Times New Roman" w:cs="Times New Roman"/>
          <w:b/>
          <w:bCs/>
          <w:i/>
          <w:iCs/>
          <w:sz w:val="10"/>
          <w:szCs w:val="10"/>
          <w:lang w:val="pt-BR"/>
        </w:rPr>
      </w:pPr>
    </w:p>
    <w:p w:rsidR="005933AA" w:rsidRPr="000F619C" w:rsidRDefault="005933AA" w:rsidP="007D0795">
      <w:pPr>
        <w:jc w:val="both"/>
        <w:rPr>
          <w:b/>
          <w:i/>
          <w:sz w:val="24"/>
          <w:szCs w:val="24"/>
        </w:rPr>
      </w:pPr>
      <w:r w:rsidRPr="000F619C">
        <w:rPr>
          <w:b/>
          <w:i/>
          <w:sz w:val="24"/>
          <w:szCs w:val="24"/>
        </w:rPr>
        <w:t>Contribuição patronal. Melhoria dos serviços médico e odontológico prestado</w:t>
      </w:r>
      <w:r>
        <w:rPr>
          <w:b/>
          <w:i/>
          <w:sz w:val="24"/>
          <w:szCs w:val="24"/>
        </w:rPr>
        <w:t>s</w:t>
      </w:r>
      <w:r w:rsidRPr="000F619C">
        <w:rPr>
          <w:b/>
          <w:i/>
          <w:sz w:val="24"/>
          <w:szCs w:val="24"/>
        </w:rPr>
        <w:t xml:space="preserve"> pelo sindicato profissional. </w:t>
      </w:r>
      <w:r>
        <w:rPr>
          <w:b/>
          <w:i/>
          <w:sz w:val="24"/>
          <w:szCs w:val="24"/>
        </w:rPr>
        <w:t>Afronta ao art. 2º da Convenção nº 98 da OIT. Não configuração</w:t>
      </w:r>
      <w:r w:rsidRPr="000F619C">
        <w:rPr>
          <w:b/>
          <w:i/>
          <w:sz w:val="24"/>
          <w:szCs w:val="24"/>
        </w:rPr>
        <w:t xml:space="preserve">. </w:t>
      </w:r>
    </w:p>
    <w:p w:rsidR="005933AA" w:rsidRPr="000F619C" w:rsidRDefault="005933AA" w:rsidP="007D0795">
      <w:pPr>
        <w:jc w:val="both"/>
        <w:rPr>
          <w:i/>
          <w:sz w:val="24"/>
          <w:szCs w:val="24"/>
        </w:rPr>
      </w:pPr>
      <w:r w:rsidRPr="00877439">
        <w:rPr>
          <w:sz w:val="24"/>
          <w:szCs w:val="24"/>
        </w:rPr>
        <w:t xml:space="preserve">É válida </w:t>
      </w:r>
      <w:r>
        <w:rPr>
          <w:sz w:val="24"/>
          <w:szCs w:val="24"/>
        </w:rPr>
        <w:t xml:space="preserve">a cláusula que cria contribuição da categoria patronal visando à melhoria dos serviços médico e odontológico prestados aos trabalhadores pelo sindicato profissional. Na hipótese, não há falar em afronta ao art. 2º da Convenção nº 98 da OIT, ratificada pelo Brasil em 18.11.1952, porquanto o recurso financeiro oriundo das empresas não se destina a manter a organização sindical dos empregados, nem implica sujeição do sindicato ao controle da categoria patronal, em prejuízo à liberdade sindical. Ao contrário, traduz a cooperação do segmento patronal para o avanço das condições de saúde de seus empregados, em consonância com o disposto no art. 7º, </w:t>
      </w:r>
      <w:r w:rsidRPr="00B242B2">
        <w:rPr>
          <w:i/>
          <w:sz w:val="24"/>
          <w:szCs w:val="24"/>
        </w:rPr>
        <w:t>caput</w:t>
      </w:r>
      <w:r>
        <w:rPr>
          <w:sz w:val="24"/>
          <w:szCs w:val="24"/>
        </w:rPr>
        <w:t>, da CF. Com esse fundamento, a SDC, por maioria, deu provimento ao recurso ordinário para declarar a validade da “Cláusula Trigésima Terceira – Contribuição Assistencial – Empresas”. Vencido, no tópico, o Ministro Fernando Eizo Ono.</w:t>
      </w:r>
      <w:r w:rsidRPr="00B242B2">
        <w:rPr>
          <w:i/>
          <w:sz w:val="24"/>
          <w:szCs w:val="24"/>
        </w:rPr>
        <w:t xml:space="preserve"> </w:t>
      </w:r>
      <w:hyperlink r:id="rId8" w:history="1">
        <w:r w:rsidRPr="00023A32">
          <w:rPr>
            <w:rStyle w:val="Hyperlink"/>
            <w:sz w:val="24"/>
            <w:szCs w:val="24"/>
          </w:rPr>
          <w:t>TST-RO-36500-57.2009.5.17.0000</w:t>
        </w:r>
      </w:hyperlink>
      <w:r w:rsidRPr="00B242B2">
        <w:rPr>
          <w:sz w:val="24"/>
          <w:szCs w:val="24"/>
          <w:u w:val="single"/>
        </w:rPr>
        <w:t xml:space="preserve">, </w:t>
      </w:r>
      <w:r>
        <w:rPr>
          <w:sz w:val="24"/>
          <w:szCs w:val="24"/>
          <w:u w:val="single"/>
        </w:rPr>
        <w:t xml:space="preserve">SDC, </w:t>
      </w:r>
      <w:r w:rsidRPr="00B242B2">
        <w:rPr>
          <w:sz w:val="24"/>
          <w:szCs w:val="24"/>
          <w:u w:val="single"/>
        </w:rPr>
        <w:t>rel. Min. Walmir Oliveira da Costa</w:t>
      </w:r>
      <w:r>
        <w:rPr>
          <w:sz w:val="24"/>
          <w:szCs w:val="24"/>
          <w:u w:val="single"/>
        </w:rPr>
        <w:t xml:space="preserve">, </w:t>
      </w:r>
      <w:r w:rsidRPr="00B242B2">
        <w:rPr>
          <w:sz w:val="24"/>
          <w:szCs w:val="24"/>
          <w:u w:val="single"/>
        </w:rPr>
        <w:t>11.6.2012.</w:t>
      </w:r>
    </w:p>
    <w:p w:rsidR="00C71A3B" w:rsidRPr="007D0795" w:rsidRDefault="00C71A3B" w:rsidP="00F82D8F">
      <w:pPr>
        <w:pStyle w:val="Corpo"/>
        <w:spacing w:line="240" w:lineRule="auto"/>
        <w:ind w:firstLine="0"/>
        <w:rPr>
          <w:rFonts w:ascii="Times New Roman" w:hAnsi="Times New Roman" w:cs="Times New Roman"/>
          <w:b/>
          <w:bCs/>
          <w:shadow/>
          <w:color w:val="auto"/>
          <w:sz w:val="10"/>
          <w:szCs w:val="1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AD7956" w:rsidRPr="00166F0F" w:rsidRDefault="00AD7956" w:rsidP="006A6905">
      <w:pPr>
        <w:jc w:val="both"/>
        <w:rPr>
          <w:b/>
          <w:i/>
          <w:sz w:val="24"/>
          <w:szCs w:val="24"/>
        </w:rPr>
      </w:pPr>
      <w:r>
        <w:rPr>
          <w:b/>
          <w:i/>
          <w:sz w:val="24"/>
          <w:szCs w:val="24"/>
        </w:rPr>
        <w:t xml:space="preserve">Execução. Prescrição intercorrente. Incidência. Afronta ao art. 5º, XXXVI, da CF. Configuração. </w:t>
      </w:r>
    </w:p>
    <w:p w:rsidR="00AD7956" w:rsidRPr="006510D7" w:rsidRDefault="00AD7956" w:rsidP="006A6905">
      <w:pPr>
        <w:jc w:val="both"/>
        <w:rPr>
          <w:sz w:val="24"/>
          <w:szCs w:val="24"/>
        </w:rPr>
      </w:pPr>
      <w:r>
        <w:rPr>
          <w:sz w:val="24"/>
          <w:szCs w:val="24"/>
        </w:rPr>
        <w:t>A decisão que extingue a execução, com resolução de mérito, em virtude da incidência da prescrição intercorrente, afronta a literalidade do art. 5º, XXXVI, da CF, porquanto impede a produção dos efeitos materiais da coisa julgada, tornando sem efeito concreto o título judicial transitado em julgado. Com base nessa premissa, a SBDI-I, por unanimidade, conheceu do recurso de embargos, por divergência jurisprudencial, e, no mérito, deu-lhe provimento para, afastada a prescrição intercorrente decretada, não admitida pela Súmula</w:t>
      </w:r>
      <w:r w:rsidR="008E081F">
        <w:rPr>
          <w:sz w:val="24"/>
          <w:szCs w:val="24"/>
        </w:rPr>
        <w:t xml:space="preserve"> n.º</w:t>
      </w:r>
      <w:r>
        <w:rPr>
          <w:sz w:val="24"/>
          <w:szCs w:val="24"/>
        </w:rPr>
        <w:t xml:space="preserve"> 114 do TST, determinar o retorno dos autos à Vara do Trabalho de origem, a fim de que prossiga na execução do feito, como entender de direito</w:t>
      </w:r>
      <w:r w:rsidRPr="00166F0F">
        <w:rPr>
          <w:sz w:val="24"/>
          <w:szCs w:val="24"/>
        </w:rPr>
        <w:t>.</w:t>
      </w:r>
      <w:r>
        <w:rPr>
          <w:rFonts w:ascii="Courier New" w:hAnsi="Courier New" w:cs="Courier New"/>
          <w:sz w:val="24"/>
          <w:szCs w:val="24"/>
        </w:rPr>
        <w:t xml:space="preserve"> </w:t>
      </w:r>
      <w:hyperlink r:id="rId9" w:history="1">
        <w:r w:rsidRPr="00932673">
          <w:rPr>
            <w:rStyle w:val="Hyperlink"/>
            <w:sz w:val="24"/>
            <w:szCs w:val="24"/>
          </w:rPr>
          <w:t>TST-E-RR-4900-08.1989.5.10.0002</w:t>
        </w:r>
      </w:hyperlink>
      <w:r w:rsidRPr="006510D7">
        <w:rPr>
          <w:sz w:val="24"/>
          <w:szCs w:val="24"/>
          <w:u w:val="single"/>
        </w:rPr>
        <w:t>, SBDI-</w:t>
      </w:r>
      <w:r>
        <w:rPr>
          <w:sz w:val="24"/>
          <w:szCs w:val="24"/>
          <w:u w:val="single"/>
        </w:rPr>
        <w:t>I</w:t>
      </w:r>
      <w:r w:rsidRPr="006510D7">
        <w:rPr>
          <w:sz w:val="24"/>
          <w:szCs w:val="24"/>
          <w:u w:val="single"/>
        </w:rPr>
        <w:t>, rel. Min. L</w:t>
      </w:r>
      <w:r>
        <w:rPr>
          <w:sz w:val="24"/>
          <w:szCs w:val="24"/>
          <w:u w:val="single"/>
        </w:rPr>
        <w:t>e</w:t>
      </w:r>
      <w:r w:rsidRPr="006510D7">
        <w:rPr>
          <w:sz w:val="24"/>
          <w:szCs w:val="24"/>
          <w:u w:val="single"/>
        </w:rPr>
        <w:t>lio Bentes Corrêa</w:t>
      </w:r>
      <w:r>
        <w:rPr>
          <w:sz w:val="24"/>
          <w:szCs w:val="24"/>
          <w:u w:val="single"/>
        </w:rPr>
        <w:t>, 14.6.2012</w:t>
      </w:r>
      <w:r w:rsidRPr="006510D7">
        <w:rPr>
          <w:sz w:val="24"/>
          <w:szCs w:val="24"/>
          <w:u w:val="single"/>
        </w:rPr>
        <w:t>.</w:t>
      </w:r>
    </w:p>
    <w:p w:rsidR="002C2904" w:rsidRPr="005D1DE4" w:rsidRDefault="002C2904" w:rsidP="002C2904">
      <w:pPr>
        <w:ind w:right="-567"/>
        <w:jc w:val="both"/>
        <w:rPr>
          <w:sz w:val="10"/>
          <w:szCs w:val="10"/>
        </w:rPr>
      </w:pPr>
    </w:p>
    <w:p w:rsidR="00B06672" w:rsidRDefault="00B06672" w:rsidP="00023A32">
      <w:pPr>
        <w:jc w:val="both"/>
        <w:rPr>
          <w:sz w:val="24"/>
          <w:szCs w:val="24"/>
        </w:rPr>
      </w:pPr>
      <w:r>
        <w:rPr>
          <w:b/>
          <w:i/>
          <w:sz w:val="24"/>
          <w:szCs w:val="24"/>
        </w:rPr>
        <w:t xml:space="preserve">Pressupostos de admissibilidade </w:t>
      </w:r>
      <w:r w:rsidRPr="00F544E6">
        <w:rPr>
          <w:b/>
          <w:i/>
          <w:sz w:val="24"/>
          <w:szCs w:val="24"/>
        </w:rPr>
        <w:t xml:space="preserve">dos embargos de declaração. </w:t>
      </w:r>
      <w:r>
        <w:rPr>
          <w:b/>
          <w:i/>
          <w:sz w:val="24"/>
          <w:szCs w:val="24"/>
        </w:rPr>
        <w:t>A</w:t>
      </w:r>
      <w:r w:rsidRPr="00F544E6">
        <w:rPr>
          <w:b/>
          <w:i/>
          <w:sz w:val="24"/>
          <w:szCs w:val="24"/>
        </w:rPr>
        <w:t xml:space="preserve">nálise pela </w:t>
      </w:r>
      <w:r>
        <w:rPr>
          <w:b/>
          <w:i/>
          <w:sz w:val="24"/>
          <w:szCs w:val="24"/>
        </w:rPr>
        <w:t>T</w:t>
      </w:r>
      <w:r w:rsidRPr="00F544E6">
        <w:rPr>
          <w:b/>
          <w:i/>
          <w:sz w:val="24"/>
          <w:szCs w:val="24"/>
        </w:rPr>
        <w:t>urma</w:t>
      </w:r>
      <w:r>
        <w:rPr>
          <w:b/>
          <w:i/>
          <w:sz w:val="24"/>
          <w:szCs w:val="24"/>
        </w:rPr>
        <w:t xml:space="preserve"> apenas</w:t>
      </w:r>
      <w:r w:rsidRPr="00F544E6">
        <w:rPr>
          <w:b/>
          <w:i/>
          <w:sz w:val="24"/>
          <w:szCs w:val="24"/>
        </w:rPr>
        <w:t xml:space="preserve"> ao enfrentar novos embargos de declaração opostos </w:t>
      </w:r>
      <w:r>
        <w:rPr>
          <w:b/>
          <w:i/>
          <w:sz w:val="24"/>
          <w:szCs w:val="24"/>
        </w:rPr>
        <w:t xml:space="preserve">em relação aos declaratórios da parte contrária. </w:t>
      </w:r>
      <w:r w:rsidRPr="00F544E6">
        <w:rPr>
          <w:b/>
          <w:i/>
          <w:sz w:val="24"/>
          <w:szCs w:val="24"/>
        </w:rPr>
        <w:t xml:space="preserve">Preclusão </w:t>
      </w:r>
      <w:r w:rsidRPr="00F544E6">
        <w:rPr>
          <w:i/>
          <w:sz w:val="24"/>
          <w:szCs w:val="24"/>
        </w:rPr>
        <w:t>pro iudicato.</w:t>
      </w:r>
      <w:r>
        <w:rPr>
          <w:b/>
          <w:i/>
          <w:sz w:val="24"/>
          <w:szCs w:val="24"/>
        </w:rPr>
        <w:t xml:space="preserve"> Não configuração. </w:t>
      </w:r>
    </w:p>
    <w:p w:rsidR="00B06672" w:rsidRDefault="00B06672" w:rsidP="00023A32">
      <w:pPr>
        <w:jc w:val="both"/>
        <w:rPr>
          <w:sz w:val="24"/>
          <w:szCs w:val="24"/>
          <w:u w:val="single"/>
        </w:rPr>
      </w:pPr>
      <w:r>
        <w:rPr>
          <w:sz w:val="24"/>
          <w:szCs w:val="24"/>
        </w:rPr>
        <w:t xml:space="preserve">No caso em que se discute a irregularidade de representação do subscritor dos embargos de declaração opostos pelo reclamante em recurso de revista, arguida pela reclamada apenas em embargos de declaração opostos da decisão nos declaratórios do empregado, não há falar em preclusão </w:t>
      </w:r>
      <w:r>
        <w:rPr>
          <w:i/>
          <w:sz w:val="24"/>
          <w:szCs w:val="24"/>
        </w:rPr>
        <w:t>pro iudicato</w:t>
      </w:r>
      <w:r>
        <w:rPr>
          <w:sz w:val="24"/>
          <w:szCs w:val="24"/>
        </w:rPr>
        <w:t xml:space="preserve">, porquanto a </w:t>
      </w:r>
      <w:r w:rsidRPr="008F7FF2">
        <w:rPr>
          <w:sz w:val="24"/>
          <w:szCs w:val="24"/>
        </w:rPr>
        <w:t xml:space="preserve">matéria concernente aos pressupostos de admissibilidade </w:t>
      </w:r>
      <w:r>
        <w:rPr>
          <w:sz w:val="24"/>
          <w:szCs w:val="24"/>
        </w:rPr>
        <w:t xml:space="preserve">do recurso </w:t>
      </w:r>
      <w:r w:rsidRPr="008F7FF2">
        <w:rPr>
          <w:sz w:val="24"/>
          <w:szCs w:val="24"/>
        </w:rPr>
        <w:t>é de ordem pública e deve ser observada pelo julgador de ofício, independentemente de provocação das partes ou da inexistência de prejuízo</w:t>
      </w:r>
      <w:r>
        <w:rPr>
          <w:sz w:val="24"/>
          <w:szCs w:val="24"/>
        </w:rPr>
        <w:t xml:space="preserve">. Firmada nessa premissa, a SBDI-I, afastando a preclusão declarada pela Turma, por unanimidade, conheceu dos embargos, por divergência jurisprudencial, e, no mérito, por maioria, deu-lhes provimento para não conhecer dos embargos de declaração do reclamante e restabelecer, em consequência, a decisão da Sétima Turma que dera provimento ao recurso de revista da reclamada. Vencidos os Ministros </w:t>
      </w:r>
      <w:r w:rsidRPr="008F7FF2">
        <w:rPr>
          <w:sz w:val="24"/>
          <w:szCs w:val="24"/>
        </w:rPr>
        <w:t>Augusto César</w:t>
      </w:r>
      <w:r>
        <w:rPr>
          <w:sz w:val="24"/>
          <w:szCs w:val="24"/>
        </w:rPr>
        <w:t xml:space="preserve"> Leite</w:t>
      </w:r>
      <w:r w:rsidRPr="008F7FF2">
        <w:rPr>
          <w:sz w:val="24"/>
          <w:szCs w:val="24"/>
        </w:rPr>
        <w:t xml:space="preserve"> de Carvalho e Delaíde Miranda Arantes</w:t>
      </w:r>
      <w:r>
        <w:rPr>
          <w:sz w:val="24"/>
          <w:szCs w:val="24"/>
        </w:rPr>
        <w:t>.</w:t>
      </w:r>
      <w:r w:rsidRPr="008F7FF2">
        <w:rPr>
          <w:sz w:val="24"/>
          <w:szCs w:val="24"/>
        </w:rPr>
        <w:t xml:space="preserve"> </w:t>
      </w:r>
      <w:hyperlink r:id="rId10" w:history="1">
        <w:r w:rsidRPr="008F7FF2">
          <w:rPr>
            <w:rStyle w:val="Hyperlink"/>
            <w:sz w:val="24"/>
            <w:szCs w:val="24"/>
          </w:rPr>
          <w:t>TST-E-ED-RR-133240-06.2001.5.04.0102</w:t>
        </w:r>
      </w:hyperlink>
      <w:r w:rsidRPr="008F7FF2">
        <w:rPr>
          <w:sz w:val="24"/>
          <w:szCs w:val="24"/>
          <w:u w:val="single"/>
        </w:rPr>
        <w:t>, SBDI-I, rel. Min. J</w:t>
      </w:r>
      <w:r>
        <w:rPr>
          <w:sz w:val="24"/>
          <w:szCs w:val="24"/>
          <w:u w:val="single"/>
        </w:rPr>
        <w:t>osé Roberto Freire Pimenta, 14.</w:t>
      </w:r>
      <w:r w:rsidRPr="008F7FF2">
        <w:rPr>
          <w:sz w:val="24"/>
          <w:szCs w:val="24"/>
          <w:u w:val="single"/>
        </w:rPr>
        <w:t>6.2012.</w:t>
      </w:r>
    </w:p>
    <w:p w:rsidR="00023A32" w:rsidRPr="00023A32" w:rsidRDefault="00023A32" w:rsidP="00023A32">
      <w:pPr>
        <w:jc w:val="both"/>
        <w:rPr>
          <w:b/>
          <w:i/>
          <w:sz w:val="10"/>
          <w:szCs w:val="10"/>
        </w:rPr>
      </w:pPr>
    </w:p>
    <w:p w:rsidR="00023A32" w:rsidRDefault="00023A32" w:rsidP="00023A32">
      <w:pPr>
        <w:jc w:val="both"/>
        <w:rPr>
          <w:b/>
          <w:i/>
          <w:sz w:val="24"/>
          <w:szCs w:val="24"/>
        </w:rPr>
      </w:pPr>
      <w:r>
        <w:rPr>
          <w:b/>
          <w:i/>
          <w:sz w:val="24"/>
          <w:szCs w:val="24"/>
        </w:rPr>
        <w:lastRenderedPageBreak/>
        <w:t>Prescrição. Interrupção. Reclamação trabalhista arquivada. Marco inicial para o reinício da contagem do prazo prescricional bienal e quinquenal.</w:t>
      </w:r>
    </w:p>
    <w:p w:rsidR="00023A32" w:rsidRPr="008F7FF2" w:rsidRDefault="00023A32" w:rsidP="00023A32">
      <w:pPr>
        <w:jc w:val="both"/>
        <w:rPr>
          <w:sz w:val="24"/>
          <w:szCs w:val="24"/>
          <w:u w:val="single"/>
        </w:rPr>
      </w:pPr>
      <w:r>
        <w:rPr>
          <w:sz w:val="24"/>
          <w:szCs w:val="24"/>
        </w:rPr>
        <w:t>O ajuizamento anterior de reclamação trabalhista, ainda que arquivada, interrompe a prescrição bienal e quinquenal, para pedidos idênticos, sendo que o cômputo do biênio é reiniciado a partir do trânsito em julgado da decisão proferida na ação anteriormente ajuizada, enquanto que a prescrição quinquenal conta-se da data da propositura dessa primeira reclamação trabalhista (art. 219, § 1º, do CPC c/c art. 202, parágrafo único, do CC).</w:t>
      </w:r>
      <w:r w:rsidRPr="008F7FF2">
        <w:rPr>
          <w:sz w:val="24"/>
          <w:szCs w:val="24"/>
        </w:rPr>
        <w:t xml:space="preserve"> C</w:t>
      </w:r>
      <w:r>
        <w:rPr>
          <w:sz w:val="24"/>
          <w:szCs w:val="24"/>
        </w:rPr>
        <w:t>om esse entendimento, a SBDI-I</w:t>
      </w:r>
      <w:r w:rsidRPr="008F7FF2">
        <w:rPr>
          <w:sz w:val="24"/>
          <w:szCs w:val="24"/>
        </w:rPr>
        <w:t>, por</w:t>
      </w:r>
      <w:r>
        <w:rPr>
          <w:sz w:val="24"/>
          <w:szCs w:val="24"/>
        </w:rPr>
        <w:t xml:space="preserve"> unanimidade, conheceu dos embargos por divergência jurisprudencial e, no mérito, por</w:t>
      </w:r>
      <w:r w:rsidRPr="008F7FF2">
        <w:rPr>
          <w:sz w:val="24"/>
          <w:szCs w:val="24"/>
        </w:rPr>
        <w:t xml:space="preserve"> maioria, </w:t>
      </w:r>
      <w:r>
        <w:rPr>
          <w:sz w:val="24"/>
          <w:szCs w:val="24"/>
        </w:rPr>
        <w:t>negou-lhes provimento. Vencido o Ministro Ives Gandra Martins Filho.</w:t>
      </w:r>
      <w:r w:rsidRPr="008F7FF2">
        <w:rPr>
          <w:sz w:val="24"/>
          <w:szCs w:val="24"/>
        </w:rPr>
        <w:t xml:space="preserve"> </w:t>
      </w:r>
      <w:hyperlink r:id="rId11" w:history="1">
        <w:r w:rsidRPr="00932673">
          <w:rPr>
            <w:rStyle w:val="Hyperlink"/>
            <w:sz w:val="24"/>
            <w:szCs w:val="24"/>
          </w:rPr>
          <w:t>TST-E-ED-RR19800-17.2004.5.05.0161</w:t>
        </w:r>
      </w:hyperlink>
      <w:r w:rsidRPr="00510188">
        <w:rPr>
          <w:sz w:val="24"/>
          <w:szCs w:val="24"/>
          <w:u w:val="single"/>
        </w:rPr>
        <w:t>,</w:t>
      </w:r>
      <w:r w:rsidRPr="008F7FF2">
        <w:rPr>
          <w:sz w:val="24"/>
          <w:szCs w:val="24"/>
          <w:u w:val="single"/>
        </w:rPr>
        <w:t xml:space="preserve"> SBDI-I, rel. Min. </w:t>
      </w:r>
      <w:r>
        <w:rPr>
          <w:sz w:val="24"/>
          <w:szCs w:val="24"/>
          <w:u w:val="single"/>
        </w:rPr>
        <w:t>Renato de Lacerda Paiva, 14.</w:t>
      </w:r>
      <w:r w:rsidRPr="008F7FF2">
        <w:rPr>
          <w:sz w:val="24"/>
          <w:szCs w:val="24"/>
          <w:u w:val="single"/>
        </w:rPr>
        <w:t>6.2012.</w:t>
      </w:r>
    </w:p>
    <w:p w:rsidR="00023A32" w:rsidRPr="00023A32" w:rsidRDefault="00023A32" w:rsidP="00B06672">
      <w:pPr>
        <w:ind w:right="-567"/>
        <w:jc w:val="both"/>
        <w:rPr>
          <w:sz w:val="10"/>
          <w:szCs w:val="10"/>
          <w:u w:val="single"/>
        </w:rPr>
      </w:pPr>
    </w:p>
    <w:p w:rsidR="00023A32" w:rsidRPr="00444C50" w:rsidRDefault="00023A32" w:rsidP="00023A32">
      <w:pPr>
        <w:jc w:val="both"/>
        <w:rPr>
          <w:b/>
          <w:i/>
          <w:color w:val="000000"/>
          <w:sz w:val="24"/>
          <w:szCs w:val="24"/>
        </w:rPr>
      </w:pPr>
      <w:r w:rsidRPr="00444C50">
        <w:rPr>
          <w:b/>
          <w:i/>
          <w:color w:val="000000"/>
          <w:sz w:val="24"/>
          <w:szCs w:val="24"/>
        </w:rPr>
        <w:t>Certidão de interdição. Documento novo. Incapacidade absoluta</w:t>
      </w:r>
      <w:r>
        <w:rPr>
          <w:b/>
          <w:i/>
          <w:color w:val="000000"/>
          <w:sz w:val="24"/>
          <w:szCs w:val="24"/>
        </w:rPr>
        <w:t>.</w:t>
      </w:r>
      <w:r w:rsidRPr="00444C50">
        <w:rPr>
          <w:b/>
          <w:i/>
          <w:color w:val="000000"/>
          <w:sz w:val="24"/>
          <w:szCs w:val="24"/>
        </w:rPr>
        <w:t xml:space="preserve"> </w:t>
      </w:r>
      <w:r>
        <w:rPr>
          <w:b/>
          <w:i/>
          <w:color w:val="000000"/>
          <w:sz w:val="24"/>
          <w:szCs w:val="24"/>
        </w:rPr>
        <w:t>Prescrição</w:t>
      </w:r>
      <w:r w:rsidRPr="00444C50">
        <w:rPr>
          <w:b/>
          <w:i/>
          <w:color w:val="000000"/>
          <w:sz w:val="24"/>
          <w:szCs w:val="24"/>
        </w:rPr>
        <w:t xml:space="preserve">. </w:t>
      </w:r>
      <w:r>
        <w:rPr>
          <w:b/>
          <w:i/>
          <w:color w:val="000000"/>
          <w:sz w:val="24"/>
          <w:szCs w:val="24"/>
        </w:rPr>
        <w:t>Efeitos impeditivos.</w:t>
      </w:r>
    </w:p>
    <w:p w:rsidR="00023A32" w:rsidRDefault="00023A32" w:rsidP="00023A32">
      <w:pPr>
        <w:jc w:val="both"/>
        <w:rPr>
          <w:color w:val="000000"/>
          <w:sz w:val="24"/>
          <w:szCs w:val="24"/>
        </w:rPr>
      </w:pPr>
      <w:r w:rsidRPr="00444C50">
        <w:rPr>
          <w:color w:val="000000"/>
          <w:sz w:val="24"/>
          <w:szCs w:val="24"/>
        </w:rPr>
        <w:t>Ao entendimento de que configura documento novo</w:t>
      </w:r>
      <w:r>
        <w:rPr>
          <w:color w:val="000000"/>
          <w:sz w:val="24"/>
          <w:szCs w:val="24"/>
        </w:rPr>
        <w:t xml:space="preserve"> </w:t>
      </w:r>
      <w:r w:rsidRPr="00444C50">
        <w:rPr>
          <w:color w:val="000000"/>
          <w:sz w:val="24"/>
          <w:szCs w:val="24"/>
        </w:rPr>
        <w:t>(art. 462 do CPC) a certidão de interdição do reclamante para os atos da vida civil juntada aos autos em data posterior à prolação do acórdão do Regional</w:t>
      </w:r>
      <w:r>
        <w:rPr>
          <w:color w:val="000000"/>
          <w:sz w:val="24"/>
          <w:szCs w:val="24"/>
        </w:rPr>
        <w:t>,</w:t>
      </w:r>
      <w:r w:rsidRPr="00444C50">
        <w:rPr>
          <w:color w:val="000000"/>
          <w:sz w:val="24"/>
          <w:szCs w:val="24"/>
        </w:rPr>
        <w:t xml:space="preserve"> </w:t>
      </w:r>
      <w:r>
        <w:rPr>
          <w:color w:val="000000"/>
          <w:sz w:val="24"/>
          <w:szCs w:val="24"/>
        </w:rPr>
        <w:t xml:space="preserve">e de que a incapacidade absoluta do trabalhador foi devidamente prequestionada, visto que a decisão prolatada em embargos de declaração em recurso de revista, apesar de se reportar ao consignado pelo TRT, no sentido de que não houve comprovação da definitividade da interdição do empregado, em momento algum negou reconhecimento à própria interdição, a SBDI-I, por maioria, conheceu dos embargos por divergência jurisprudencial, vencido o Ministro Renato de Lacerda Paiva, relator. No mérito, tendo em conta que a </w:t>
      </w:r>
      <w:r w:rsidRPr="00444C50">
        <w:rPr>
          <w:color w:val="000000"/>
          <w:sz w:val="24"/>
          <w:szCs w:val="24"/>
        </w:rPr>
        <w:t xml:space="preserve">sentença de interdição </w:t>
      </w:r>
      <w:r>
        <w:rPr>
          <w:color w:val="000000"/>
          <w:sz w:val="24"/>
          <w:szCs w:val="24"/>
        </w:rPr>
        <w:t xml:space="preserve">tem </w:t>
      </w:r>
      <w:r w:rsidRPr="00444C50">
        <w:rPr>
          <w:color w:val="000000"/>
          <w:sz w:val="24"/>
          <w:szCs w:val="24"/>
        </w:rPr>
        <w:t xml:space="preserve">natureza declaratória e efeitos </w:t>
      </w:r>
      <w:r w:rsidRPr="00C849F1">
        <w:rPr>
          <w:i/>
          <w:color w:val="000000"/>
          <w:sz w:val="24"/>
          <w:szCs w:val="24"/>
        </w:rPr>
        <w:t>ex tunc</w:t>
      </w:r>
      <w:r w:rsidRPr="00444C50">
        <w:rPr>
          <w:color w:val="000000"/>
          <w:sz w:val="24"/>
          <w:szCs w:val="24"/>
        </w:rPr>
        <w:t xml:space="preserve">, </w:t>
      </w:r>
      <w:r>
        <w:rPr>
          <w:color w:val="000000"/>
          <w:sz w:val="24"/>
          <w:szCs w:val="24"/>
        </w:rPr>
        <w:t xml:space="preserve">ou seja, impede </w:t>
      </w:r>
      <w:r w:rsidRPr="00444C50">
        <w:rPr>
          <w:color w:val="000000"/>
          <w:sz w:val="24"/>
          <w:szCs w:val="24"/>
        </w:rPr>
        <w:t>o fluxo</w:t>
      </w:r>
      <w:r>
        <w:rPr>
          <w:color w:val="000000"/>
          <w:sz w:val="24"/>
          <w:szCs w:val="24"/>
        </w:rPr>
        <w:t xml:space="preserve"> do prazo</w:t>
      </w:r>
      <w:r w:rsidRPr="00444C50">
        <w:rPr>
          <w:color w:val="000000"/>
          <w:sz w:val="24"/>
          <w:szCs w:val="24"/>
        </w:rPr>
        <w:t xml:space="preserve"> prescricional </w:t>
      </w:r>
      <w:r>
        <w:rPr>
          <w:color w:val="000000"/>
          <w:sz w:val="24"/>
          <w:szCs w:val="24"/>
        </w:rPr>
        <w:t xml:space="preserve">desde a </w:t>
      </w:r>
      <w:r w:rsidRPr="00444C50">
        <w:rPr>
          <w:color w:val="000000"/>
          <w:sz w:val="24"/>
          <w:szCs w:val="24"/>
        </w:rPr>
        <w:t xml:space="preserve">data do </w:t>
      </w:r>
      <w:r>
        <w:rPr>
          <w:color w:val="000000"/>
          <w:sz w:val="24"/>
          <w:szCs w:val="24"/>
        </w:rPr>
        <w:t>su</w:t>
      </w:r>
      <w:r w:rsidRPr="00444C50">
        <w:rPr>
          <w:color w:val="000000"/>
          <w:sz w:val="24"/>
          <w:szCs w:val="24"/>
        </w:rPr>
        <w:t>rgimento da doença incapacitante para os atos da vida civil</w:t>
      </w:r>
      <w:r>
        <w:rPr>
          <w:color w:val="000000"/>
          <w:sz w:val="24"/>
          <w:szCs w:val="24"/>
        </w:rPr>
        <w:t xml:space="preserve">, a Subseção deu provimento ao recurso para, reformando o acórdão </w:t>
      </w:r>
      <w:r w:rsidRPr="00444C50">
        <w:rPr>
          <w:color w:val="000000"/>
          <w:sz w:val="24"/>
          <w:szCs w:val="24"/>
        </w:rPr>
        <w:t xml:space="preserve">embargado, determinar o retorno dos autos à </w:t>
      </w:r>
      <w:r>
        <w:rPr>
          <w:color w:val="000000"/>
          <w:sz w:val="24"/>
          <w:szCs w:val="24"/>
        </w:rPr>
        <w:t xml:space="preserve">Quinta </w:t>
      </w:r>
      <w:r w:rsidRPr="00444C50">
        <w:rPr>
          <w:color w:val="000000"/>
          <w:sz w:val="24"/>
          <w:szCs w:val="24"/>
        </w:rPr>
        <w:t>Turma a fim de que, afastada a prescrição decretada, prossiga no julgamento dos demais tópicos do recurso de revista do reclamado, como entender de direito</w:t>
      </w:r>
      <w:r>
        <w:rPr>
          <w:color w:val="000000"/>
          <w:sz w:val="24"/>
          <w:szCs w:val="24"/>
        </w:rPr>
        <w:t xml:space="preserve">. </w:t>
      </w:r>
      <w:hyperlink r:id="rId12" w:history="1">
        <w:r w:rsidRPr="00932673">
          <w:rPr>
            <w:rStyle w:val="Hyperlink"/>
            <w:sz w:val="24"/>
            <w:szCs w:val="24"/>
          </w:rPr>
          <w:t>TST-E-ED-RR-1520-88.2010.5.12.0000</w:t>
        </w:r>
      </w:hyperlink>
      <w:r>
        <w:rPr>
          <w:sz w:val="24"/>
          <w:szCs w:val="24"/>
          <w:u w:val="single"/>
        </w:rPr>
        <w:t>, SBDI-I</w:t>
      </w:r>
      <w:r w:rsidRPr="00444C50">
        <w:rPr>
          <w:sz w:val="24"/>
          <w:szCs w:val="24"/>
          <w:u w:val="single"/>
        </w:rPr>
        <w:t xml:space="preserve">, rel. Min. </w:t>
      </w:r>
      <w:r w:rsidRPr="00444C50">
        <w:rPr>
          <w:color w:val="000000"/>
          <w:sz w:val="24"/>
          <w:szCs w:val="24"/>
          <w:u w:val="single"/>
        </w:rPr>
        <w:t>Renato de Lacerda Paiva</w:t>
      </w:r>
      <w:r w:rsidRPr="00444C50">
        <w:rPr>
          <w:sz w:val="24"/>
          <w:szCs w:val="24"/>
          <w:u w:val="single"/>
        </w:rPr>
        <w:t>, red. p/ acórdão Min. Maria Cristina Irigoyen Peduzzi, 14.6.2012</w:t>
      </w:r>
    </w:p>
    <w:p w:rsidR="00023A32" w:rsidRPr="00023A32" w:rsidRDefault="00023A32" w:rsidP="00B06672">
      <w:pPr>
        <w:ind w:right="-567"/>
        <w:jc w:val="both"/>
        <w:rPr>
          <w:sz w:val="10"/>
          <w:szCs w:val="10"/>
          <w:u w:val="single"/>
        </w:rPr>
      </w:pPr>
    </w:p>
    <w:p w:rsidR="00023A32" w:rsidRPr="00024805" w:rsidRDefault="00023A32" w:rsidP="00023A32">
      <w:pPr>
        <w:pStyle w:val="a0"/>
        <w:spacing w:before="0" w:beforeAutospacing="0" w:after="0" w:afterAutospacing="0"/>
        <w:rPr>
          <w:rFonts w:eastAsia="Calibri"/>
          <w:b/>
          <w:i/>
          <w:lang w:eastAsia="en-US"/>
        </w:rPr>
      </w:pPr>
      <w:r w:rsidRPr="00024805">
        <w:rPr>
          <w:rFonts w:eastAsia="Calibri"/>
          <w:b/>
          <w:i/>
          <w:lang w:eastAsia="en-US"/>
        </w:rPr>
        <w:t xml:space="preserve">Prescrição suscitada em contestação e não analisada em sentença. </w:t>
      </w:r>
      <w:r>
        <w:rPr>
          <w:rFonts w:eastAsia="Calibri"/>
          <w:b/>
          <w:i/>
          <w:lang w:eastAsia="en-US"/>
        </w:rPr>
        <w:t>Exame em sede de recurso ordinário do reclamante. Não arguição em contrarrazões. Possibilidade.</w:t>
      </w:r>
      <w:r w:rsidRPr="00024805">
        <w:rPr>
          <w:rFonts w:eastAsia="Calibri"/>
          <w:b/>
          <w:i/>
          <w:lang w:eastAsia="en-US"/>
        </w:rPr>
        <w:t xml:space="preserve"> Princípio da ampla devolutividade.</w:t>
      </w:r>
    </w:p>
    <w:p w:rsidR="00023A32" w:rsidRDefault="00023A32" w:rsidP="00023A32">
      <w:pPr>
        <w:pStyle w:val="a0"/>
        <w:spacing w:before="0" w:beforeAutospacing="0" w:after="0" w:afterAutospacing="0"/>
        <w:rPr>
          <w:rStyle w:val="f21"/>
        </w:rPr>
      </w:pPr>
      <w:r>
        <w:rPr>
          <w:rFonts w:eastAsia="Calibri"/>
          <w:lang w:eastAsia="en-US"/>
        </w:rPr>
        <w:t>Em face do princípio da ampla devolutividade, a</w:t>
      </w:r>
      <w:r w:rsidRPr="00024805">
        <w:rPr>
          <w:rFonts w:eastAsia="Calibri"/>
          <w:lang w:eastAsia="en-US"/>
        </w:rPr>
        <w:t xml:space="preserve"> prejudicial de prescrição arguida em contestação e não examinada em sentença que julgou improcedente a reclamação trabalhista é automaticamente devolvida ao exame do colegiado</w:t>
      </w:r>
      <w:r>
        <w:rPr>
          <w:rFonts w:eastAsia="Calibri"/>
          <w:lang w:eastAsia="en-US"/>
        </w:rPr>
        <w:t xml:space="preserve"> quando do julgamento do</w:t>
      </w:r>
      <w:r w:rsidRPr="00024805">
        <w:rPr>
          <w:rFonts w:eastAsia="Calibri"/>
          <w:lang w:eastAsia="en-US"/>
        </w:rPr>
        <w:t xml:space="preserve"> recurso ordinário</w:t>
      </w:r>
      <w:r>
        <w:rPr>
          <w:rFonts w:eastAsia="Calibri"/>
          <w:lang w:eastAsia="en-US"/>
        </w:rPr>
        <w:t xml:space="preserve"> do reclamante</w:t>
      </w:r>
      <w:r w:rsidRPr="00024805">
        <w:rPr>
          <w:rFonts w:eastAsia="Calibri"/>
          <w:lang w:eastAsia="en-US"/>
        </w:rPr>
        <w:t>, mesmo que não suscitada em contrarrazões</w:t>
      </w:r>
      <w:r>
        <w:rPr>
          <w:rFonts w:eastAsia="Calibri"/>
          <w:lang w:eastAsia="en-US"/>
        </w:rPr>
        <w:t xml:space="preserve">. </w:t>
      </w:r>
      <w:r w:rsidRPr="00024805">
        <w:rPr>
          <w:rFonts w:eastAsia="Calibri"/>
          <w:lang w:eastAsia="en-US"/>
        </w:rPr>
        <w:t>C</w:t>
      </w:r>
      <w:r>
        <w:rPr>
          <w:rFonts w:eastAsia="Calibri"/>
          <w:lang w:eastAsia="en-US"/>
        </w:rPr>
        <w:t>om esse posicionamento, a SBDI-I</w:t>
      </w:r>
      <w:r w:rsidRPr="00024805">
        <w:rPr>
          <w:rFonts w:eastAsia="Calibri"/>
          <w:lang w:eastAsia="en-US"/>
        </w:rPr>
        <w:t>, à unanimidade, conheceu dos embargos</w:t>
      </w:r>
      <w:r>
        <w:rPr>
          <w:rFonts w:eastAsia="Calibri"/>
          <w:lang w:eastAsia="en-US"/>
        </w:rPr>
        <w:t>, por divergência jurisprudencial,</w:t>
      </w:r>
      <w:r w:rsidRPr="00024805">
        <w:rPr>
          <w:rFonts w:eastAsia="Calibri"/>
          <w:lang w:eastAsia="en-US"/>
        </w:rPr>
        <w:t xml:space="preserve"> e, no mérito, por maioria, vencido o Ministro Ives Gandra Martins Filho, deu-lhes provimento para determinar o retorno dos autos ao Tribunal Regional de origem a fim de que, julgando novamente os embargos de declaração, aprecie o fundamento da defesa relativo à prescrição bienal, ficando excluída, por consequência lógica, a multa nele aplicada com base no art</w:t>
      </w:r>
      <w:r>
        <w:rPr>
          <w:rFonts w:eastAsia="Calibri"/>
          <w:lang w:eastAsia="en-US"/>
        </w:rPr>
        <w:t>.</w:t>
      </w:r>
      <w:r w:rsidRPr="00024805">
        <w:rPr>
          <w:rFonts w:eastAsia="Calibri"/>
          <w:lang w:eastAsia="en-US"/>
        </w:rPr>
        <w:t xml:space="preserve"> 538, parágrafo único, do C</w:t>
      </w:r>
      <w:r>
        <w:rPr>
          <w:rFonts w:eastAsia="Calibri"/>
          <w:lang w:eastAsia="en-US"/>
        </w:rPr>
        <w:t>PC</w:t>
      </w:r>
      <w:r w:rsidRPr="00024805">
        <w:rPr>
          <w:rFonts w:eastAsia="Calibri"/>
          <w:lang w:eastAsia="en-US"/>
        </w:rPr>
        <w:t>.</w:t>
      </w:r>
      <w:r>
        <w:rPr>
          <w:rStyle w:val="f21"/>
        </w:rPr>
        <w:t xml:space="preserve"> </w:t>
      </w:r>
      <w:hyperlink r:id="rId13" w:history="1">
        <w:r w:rsidRPr="00932673">
          <w:rPr>
            <w:rStyle w:val="Hyperlink"/>
            <w:rFonts w:eastAsia="Calibri"/>
            <w:lang w:eastAsia="en-US"/>
          </w:rPr>
          <w:t>TST-E-RR-589200-82.2006.5.12.0036</w:t>
        </w:r>
      </w:hyperlink>
      <w:r w:rsidRPr="00024805">
        <w:rPr>
          <w:rFonts w:eastAsia="Calibri"/>
          <w:u w:val="single"/>
          <w:lang w:eastAsia="en-US"/>
        </w:rPr>
        <w:t>, SBDI-</w:t>
      </w:r>
      <w:r>
        <w:rPr>
          <w:rFonts w:eastAsia="Calibri"/>
          <w:u w:val="single"/>
          <w:lang w:eastAsia="en-US"/>
        </w:rPr>
        <w:t>I</w:t>
      </w:r>
      <w:r w:rsidRPr="00024805">
        <w:rPr>
          <w:rFonts w:eastAsia="Calibri"/>
          <w:u w:val="single"/>
          <w:lang w:eastAsia="en-US"/>
        </w:rPr>
        <w:t xml:space="preserve">, rel. Min. Renato de Lacerda Paiva, 14.6.12. </w:t>
      </w:r>
    </w:p>
    <w:p w:rsidR="006456B1" w:rsidRDefault="006456B1" w:rsidP="004C2612">
      <w:pPr>
        <w:pStyle w:val="EXPLICAO"/>
        <w:ind w:left="0"/>
        <w:rPr>
          <w:rFonts w:ascii="Times New Roman" w:hAnsi="Times New Roman" w:cs="Times New Roman"/>
          <w:b/>
          <w:color w:val="auto"/>
        </w:rPr>
      </w:pPr>
    </w:p>
    <w:p w:rsidR="00023A32" w:rsidRPr="005D1DE4" w:rsidRDefault="00023A32"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D1" w:rsidRDefault="005259D1">
      <w:r>
        <w:separator/>
      </w:r>
    </w:p>
  </w:endnote>
  <w:endnote w:type="continuationSeparator" w:id="0">
    <w:p w:rsidR="005259D1" w:rsidRDefault="0052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05" w:rsidRDefault="006A690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26FB">
      <w:rPr>
        <w:rStyle w:val="Nmerodepgina"/>
        <w:noProof/>
      </w:rPr>
      <w:t>2</w:t>
    </w:r>
    <w:r>
      <w:rPr>
        <w:rStyle w:val="Nmerodepgina"/>
      </w:rPr>
      <w:fldChar w:fldCharType="end"/>
    </w:r>
  </w:p>
  <w:p w:rsidR="006A6905" w:rsidRDefault="006A6905">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05" w:rsidRDefault="006A6905">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9D7BC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D1" w:rsidRDefault="005259D1">
      <w:r>
        <w:separator/>
      </w:r>
    </w:p>
  </w:footnote>
  <w:footnote w:type="continuationSeparator" w:id="0">
    <w:p w:rsidR="005259D1" w:rsidRDefault="0052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05" w:rsidRPr="00971E07" w:rsidRDefault="006A6905">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º 1</w:t>
    </w:r>
    <w:r>
      <w:rPr>
        <w:shadow/>
        <w:sz w:val="24"/>
        <w:szCs w:val="24"/>
      </w:rPr>
      <w:t>3</w:t>
    </w:r>
  </w:p>
  <w:p w:rsidR="006A6905" w:rsidRPr="00971E07" w:rsidRDefault="006A6905">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14 a 20</w:t>
    </w:r>
    <w:r w:rsidRPr="00971E07">
      <w:rPr>
        <w:sz w:val="20"/>
        <w:szCs w:val="20"/>
      </w:rPr>
      <w:t xml:space="preserve"> de </w:t>
    </w:r>
    <w:r>
      <w:rPr>
        <w:sz w:val="20"/>
        <w:szCs w:val="20"/>
      </w:rPr>
      <w:t>junho</w:t>
    </w:r>
    <w:r w:rsidRPr="00971E07">
      <w:rPr>
        <w:sz w:val="20"/>
        <w:szCs w:val="20"/>
      </w:rPr>
      <w:t xml:space="preserve">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05" w:rsidRDefault="006A690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6A6905" w:rsidRPr="002168DE" w:rsidRDefault="006A6905"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Nº 1</w:t>
    </w:r>
    <w:r>
      <w:rPr>
        <w:b/>
        <w:sz w:val="40"/>
        <w:szCs w:val="40"/>
      </w:rPr>
      <w:t>3</w:t>
    </w:r>
  </w:p>
  <w:p w:rsidR="006A6905" w:rsidRPr="005D1DE4" w:rsidRDefault="006A6905">
    <w:pPr>
      <w:pStyle w:val="Cabealho"/>
      <w:jc w:val="right"/>
      <w:rPr>
        <w:i/>
        <w:iCs/>
        <w:sz w:val="10"/>
        <w:szCs w:val="10"/>
      </w:rPr>
    </w:pPr>
  </w:p>
  <w:p w:rsidR="006A6905" w:rsidRPr="005D1DE4" w:rsidRDefault="006A6905">
    <w:pPr>
      <w:pStyle w:val="Cabealho"/>
      <w:jc w:val="right"/>
    </w:pPr>
    <w:r>
      <w:rPr>
        <w:i/>
        <w:iCs/>
      </w:rPr>
      <w:t>Período:</w:t>
    </w:r>
    <w:r w:rsidRPr="005D1DE4">
      <w:rPr>
        <w:i/>
        <w:iCs/>
      </w:rPr>
      <w:t xml:space="preserve"> </w:t>
    </w:r>
    <w:r>
      <w:rPr>
        <w:i/>
        <w:iCs/>
      </w:rPr>
      <w:t>14 a 20</w:t>
    </w:r>
    <w:r w:rsidRPr="005D1DE4">
      <w:rPr>
        <w:i/>
        <w:iCs/>
      </w:rPr>
      <w:t xml:space="preserve"> de </w:t>
    </w:r>
    <w:r>
      <w:rPr>
        <w:i/>
        <w:iCs/>
      </w:rPr>
      <w:t>junho</w:t>
    </w:r>
    <w:r w:rsidRPr="005D1DE4">
      <w:rPr>
        <w:i/>
        <w:iCs/>
      </w:rPr>
      <w:t xml:space="preserve"> de 2012</w:t>
    </w:r>
  </w:p>
  <w:p w:rsidR="006A6905" w:rsidRDefault="006A6905"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3A32"/>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3B91"/>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259D1"/>
    <w:rsid w:val="005460BD"/>
    <w:rsid w:val="00553197"/>
    <w:rsid w:val="0055409E"/>
    <w:rsid w:val="00556367"/>
    <w:rsid w:val="00556B35"/>
    <w:rsid w:val="00573E13"/>
    <w:rsid w:val="00584F82"/>
    <w:rsid w:val="00591DFA"/>
    <w:rsid w:val="005933A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A6905"/>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0795"/>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081F"/>
    <w:rsid w:val="008E2AE5"/>
    <w:rsid w:val="008E3F89"/>
    <w:rsid w:val="008F26CB"/>
    <w:rsid w:val="008F6509"/>
    <w:rsid w:val="008F79D9"/>
    <w:rsid w:val="009027C8"/>
    <w:rsid w:val="00921F3B"/>
    <w:rsid w:val="00932673"/>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BCA"/>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05A"/>
    <w:rsid w:val="00A8557E"/>
    <w:rsid w:val="00A91181"/>
    <w:rsid w:val="00A935AC"/>
    <w:rsid w:val="00AB299E"/>
    <w:rsid w:val="00AB507C"/>
    <w:rsid w:val="00AD6E76"/>
    <w:rsid w:val="00AD7956"/>
    <w:rsid w:val="00AE3EAA"/>
    <w:rsid w:val="00AE5EDF"/>
    <w:rsid w:val="00B06672"/>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22D"/>
    <w:rsid w:val="00EB7A09"/>
    <w:rsid w:val="00EC5AF4"/>
    <w:rsid w:val="00ED26FB"/>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 w:type="paragraph" w:customStyle="1" w:styleId="a0">
    <w:name w:val="a0"/>
    <w:basedOn w:val="Normal"/>
    <w:rsid w:val="00023A32"/>
    <w:pPr>
      <w:autoSpaceDE/>
      <w:autoSpaceDN/>
      <w:spacing w:before="100" w:beforeAutospacing="1" w:after="100" w:afterAutospacing="1"/>
      <w:jc w:val="both"/>
    </w:pPr>
    <w:rPr>
      <w:sz w:val="24"/>
      <w:szCs w:val="24"/>
    </w:rPr>
  </w:style>
  <w:style w:type="character" w:customStyle="1" w:styleId="f21">
    <w:name w:val="f21"/>
    <w:basedOn w:val="Fontepargpadro"/>
    <w:rsid w:val="00023A32"/>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18946&amp;ano_int=2012&amp;qtd_acesso=925377&amp;novoportal=1" TargetMode="External"/><Relationship Id="rId13" Type="http://schemas.openxmlformats.org/officeDocument/2006/relationships/hyperlink" Target="http://ext02.tst.jus.br/pls/ap01/ap_red100.resumo?num_int=521913&amp;ano_int=2008&amp;qtd_acesso=7136677&amp;novoportal=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02.tst.jus.br/pls/ap01/ap_red100.resumo?num_int=123581&amp;ano_int=2010&amp;qtd_acesso=2356709&amp;novoportal=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808691&amp;ano_int=2009&amp;qtd_acesso=10578021&amp;novoportal=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xt02.tst.jus.br/pls/ap01/ap_red100.resumo?num_int=72764&amp;ano_int=2003&amp;qtd_acesso=1491121&amp;novoportal=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xt02.tst.jus.br/pls/ap01/ap_red100.resumo?num_int=191033&amp;ano_int=2006&amp;qtd_acesso=3166101&amp;novoportal=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9A43-3947-4CFB-938C-F235234E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1257</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8032</CharactersWithSpaces>
  <SharedDoc>false</SharedDoc>
  <HLinks>
    <vt:vector size="36" baseType="variant">
      <vt:variant>
        <vt:i4>3539000</vt:i4>
      </vt:variant>
      <vt:variant>
        <vt:i4>15</vt:i4>
      </vt:variant>
      <vt:variant>
        <vt:i4>0</vt:i4>
      </vt:variant>
      <vt:variant>
        <vt:i4>5</vt:i4>
      </vt:variant>
      <vt:variant>
        <vt:lpwstr>http://ext02.tst.jus.br/pls/ap01/ap_red100.resumo?num_int=521913&amp;ano_int=2008&amp;qtd_acesso=7136677&amp;novoportal=1</vt:lpwstr>
      </vt:variant>
      <vt:variant>
        <vt:lpwstr/>
      </vt:variant>
      <vt:variant>
        <vt:i4>3473466</vt:i4>
      </vt:variant>
      <vt:variant>
        <vt:i4>12</vt:i4>
      </vt:variant>
      <vt:variant>
        <vt:i4>0</vt:i4>
      </vt:variant>
      <vt:variant>
        <vt:i4>5</vt:i4>
      </vt:variant>
      <vt:variant>
        <vt:lpwstr>http://ext02.tst.jus.br/pls/ap01/ap_red100.resumo?num_int=123581&amp;ano_int=2010&amp;qtd_acesso=2356709&amp;novoportal=1</vt:lpwstr>
      </vt:variant>
      <vt:variant>
        <vt:lpwstr/>
      </vt:variant>
      <vt:variant>
        <vt:i4>1310740</vt:i4>
      </vt:variant>
      <vt:variant>
        <vt:i4>9</vt:i4>
      </vt:variant>
      <vt:variant>
        <vt:i4>0</vt:i4>
      </vt:variant>
      <vt:variant>
        <vt:i4>5</vt:i4>
      </vt:variant>
      <vt:variant>
        <vt:lpwstr>http://ext02.tst.jus.br/pls/ap01/ap_red100.resumo?num_int=808691&amp;ano_int=2009&amp;qtd_acesso=10578021&amp;novoportal=1</vt:lpwstr>
      </vt:variant>
      <vt:variant>
        <vt:lpwstr/>
      </vt:variant>
      <vt:variant>
        <vt:i4>6619238</vt:i4>
      </vt:variant>
      <vt:variant>
        <vt:i4>6</vt:i4>
      </vt:variant>
      <vt:variant>
        <vt:i4>0</vt:i4>
      </vt:variant>
      <vt:variant>
        <vt:i4>5</vt:i4>
      </vt:variant>
      <vt:variant>
        <vt:lpwstr>http://ext02.tst.jus.br/pls/ap01/ap_red100.resumo?num_int=72764&amp;ano_int=2003&amp;qtd_acesso=1491121&amp;novoportal=1</vt:lpwstr>
      </vt:variant>
      <vt:variant>
        <vt:lpwstr/>
      </vt:variant>
      <vt:variant>
        <vt:i4>3407927</vt:i4>
      </vt:variant>
      <vt:variant>
        <vt:i4>3</vt:i4>
      </vt:variant>
      <vt:variant>
        <vt:i4>0</vt:i4>
      </vt:variant>
      <vt:variant>
        <vt:i4>5</vt:i4>
      </vt:variant>
      <vt:variant>
        <vt:lpwstr>http://ext02.tst.jus.br/pls/ap01/ap_red100.resumo?num_int=191033&amp;ano_int=2006&amp;qtd_acesso=3166101&amp;novoportal=1</vt:lpwstr>
      </vt:variant>
      <vt:variant>
        <vt:lpwstr/>
      </vt:variant>
      <vt:variant>
        <vt:i4>4915273</vt:i4>
      </vt:variant>
      <vt:variant>
        <vt:i4>0</vt:i4>
      </vt:variant>
      <vt:variant>
        <vt:i4>0</vt:i4>
      </vt:variant>
      <vt:variant>
        <vt:i4>5</vt:i4>
      </vt:variant>
      <vt:variant>
        <vt:lpwstr>http://ext02.tst.jus.br/pls/ap01/ap_red100.resumo?num_int=18946&amp;ano_int=2012&amp;qtd_acesso=925377&amp;novoportal=1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2012-06-20T20:05:00Z</cp:lastPrinted>
  <dcterms:created xsi:type="dcterms:W3CDTF">2018-06-27T22:30:00Z</dcterms:created>
  <dcterms:modified xsi:type="dcterms:W3CDTF">2018-06-27T22:30:00Z</dcterms:modified>
</cp:coreProperties>
</file>