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0B1" w:rsidRPr="00CE7555" w:rsidRDefault="00FB20B1">
      <w:pPr>
        <w:rPr>
          <w:sz w:val="25"/>
          <w:szCs w:val="25"/>
        </w:rPr>
      </w:pPr>
      <w:bookmarkStart w:id="0" w:name="_GoBack"/>
      <w:bookmarkEnd w:id="0"/>
    </w:p>
    <w:tbl>
      <w:tblPr>
        <w:tblW w:w="9538" w:type="dxa"/>
        <w:tblInd w:w="70" w:type="dxa"/>
        <w:tblLayout w:type="fixed"/>
        <w:tblCellMar>
          <w:left w:w="70" w:type="dxa"/>
          <w:right w:w="70" w:type="dxa"/>
        </w:tblCellMar>
        <w:tblLook w:val="0000" w:firstRow="0" w:lastRow="0" w:firstColumn="0" w:lastColumn="0" w:noHBand="0" w:noVBand="0"/>
      </w:tblPr>
      <w:tblGrid>
        <w:gridCol w:w="9538"/>
      </w:tblGrid>
      <w:tr w:rsidR="00C26DFB" w:rsidRPr="00CE7555" w:rsidTr="00FB20B1">
        <w:tblPrEx>
          <w:tblCellMar>
            <w:top w:w="0" w:type="dxa"/>
            <w:bottom w:w="0" w:type="dxa"/>
          </w:tblCellMar>
        </w:tblPrEx>
        <w:trPr>
          <w:trHeight w:val="537"/>
        </w:trPr>
        <w:tc>
          <w:tcPr>
            <w:tcW w:w="9538" w:type="dxa"/>
          </w:tcPr>
          <w:p w:rsidR="00C26DFB" w:rsidRPr="00CE7555" w:rsidRDefault="00C26DFB" w:rsidP="00DC50EB">
            <w:pPr>
              <w:pStyle w:val="Cabealho"/>
              <w:tabs>
                <w:tab w:val="clear" w:pos="4419"/>
                <w:tab w:val="clear" w:pos="8838"/>
              </w:tabs>
              <w:jc w:val="both"/>
            </w:pPr>
            <w:r w:rsidRPr="00CE7555">
              <w:t>Este Informativo, elaborado a partir de notas tomadas nas sessões de julgamentos, contém resumos não</w:t>
            </w:r>
            <w:r w:rsidR="00DC50EB" w:rsidRPr="00CE7555">
              <w:t xml:space="preserve"> </w:t>
            </w:r>
            <w:r w:rsidRPr="00CE7555">
              <w:t>oficiais de decisões proferidas pelo Tribunal. A fidelidade dos resumos ao conteúdo efetivo das decisões, embora seja uma das metas perseguidas neste trabalho, somente poderá ser aferida após a sua publicação no Diário</w:t>
            </w:r>
            <w:r w:rsidR="00980944" w:rsidRPr="00CE7555">
              <w:t xml:space="preserve"> Eletrônico </w:t>
            </w:r>
            <w:r w:rsidRPr="00CE7555">
              <w:t>da Justiça</w:t>
            </w:r>
            <w:r w:rsidR="00980944" w:rsidRPr="00CE7555">
              <w:t xml:space="preserve"> do Trabalho</w:t>
            </w:r>
            <w:r w:rsidRPr="00CE7555">
              <w:t>.</w:t>
            </w:r>
          </w:p>
        </w:tc>
      </w:tr>
    </w:tbl>
    <w:p w:rsidR="00B838C3" w:rsidRPr="00CE7555" w:rsidRDefault="00B838C3" w:rsidP="00BC54BC">
      <w:pPr>
        <w:pStyle w:val="Corpo"/>
        <w:spacing w:line="240" w:lineRule="auto"/>
        <w:ind w:firstLine="0"/>
        <w:rPr>
          <w:rFonts w:ascii="Times New Roman" w:hAnsi="Times New Roman"/>
          <w:sz w:val="25"/>
          <w:szCs w:val="25"/>
          <w:u w:val="single"/>
          <w:lang w:val="pt-BR"/>
        </w:rPr>
      </w:pPr>
    </w:p>
    <w:p w:rsidR="00A00DEE" w:rsidRPr="00CE7555" w:rsidRDefault="00A00DEE" w:rsidP="00A00DEE">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shadow/>
          <w:color w:val="auto"/>
          <w:sz w:val="25"/>
          <w:szCs w:val="25"/>
          <w:lang w:val="pt-BR"/>
        </w:rPr>
      </w:pPr>
      <w:r w:rsidRPr="00CE7555">
        <w:rPr>
          <w:rFonts w:ascii="Times New Roman" w:hAnsi="Times New Roman" w:cs="Times New Roman"/>
          <w:b/>
          <w:bCs/>
          <w:shadow/>
          <w:color w:val="auto"/>
          <w:sz w:val="25"/>
          <w:szCs w:val="25"/>
          <w:lang w:val="pt-BR"/>
        </w:rPr>
        <w:t>SUBSEÇÃO I ESPECIALIZADA EM DISSÍDIOS INDIVIDUAIS</w:t>
      </w:r>
    </w:p>
    <w:p w:rsidR="00CE7555" w:rsidRPr="00CE7555" w:rsidRDefault="00CE7555" w:rsidP="007D469A">
      <w:pPr>
        <w:pStyle w:val="Corpo"/>
        <w:spacing w:line="240" w:lineRule="auto"/>
        <w:ind w:firstLine="0"/>
        <w:rPr>
          <w:rFonts w:ascii="Times New Roman" w:hAnsi="Times New Roman"/>
          <w:sz w:val="25"/>
          <w:szCs w:val="25"/>
          <w:u w:val="single"/>
          <w:lang w:val="pt-BR"/>
        </w:rPr>
      </w:pPr>
    </w:p>
    <w:p w:rsidR="00EF454B" w:rsidRDefault="00EF454B" w:rsidP="00EF454B">
      <w:pPr>
        <w:jc w:val="both"/>
        <w:rPr>
          <w:b/>
          <w:i/>
          <w:sz w:val="24"/>
          <w:szCs w:val="24"/>
        </w:rPr>
      </w:pPr>
      <w:r>
        <w:rPr>
          <w:b/>
          <w:i/>
          <w:sz w:val="24"/>
          <w:szCs w:val="24"/>
        </w:rPr>
        <w:t>Dano moral. Indenização. Revista pessoal de controle. Apalpamento de partes do corpo do empregado. Toques na cintura.</w:t>
      </w:r>
    </w:p>
    <w:p w:rsidR="00EF454B" w:rsidRDefault="00EF454B" w:rsidP="00EF454B">
      <w:pPr>
        <w:pStyle w:val="Corpo"/>
        <w:spacing w:line="240" w:lineRule="auto"/>
        <w:ind w:firstLine="0"/>
        <w:rPr>
          <w:rFonts w:ascii="Times New Roman" w:eastAsia="Calibri" w:hAnsi="Times New Roman" w:cs="Times New Roman"/>
          <w:color w:val="auto"/>
          <w:lang w:val="pt-BR" w:eastAsia="en-US"/>
        </w:rPr>
      </w:pPr>
      <w:r>
        <w:rPr>
          <w:rFonts w:ascii="Times New Roman" w:hAnsi="Times New Roman" w:cs="Times New Roman"/>
          <w:szCs w:val="28"/>
          <w:lang w:val="pt-BR"/>
        </w:rPr>
        <w:t xml:space="preserve">O controle exercido pelo empregador com o intuito de fiscalizar o seu patrimônio deve observar os ditames do ordenamento jurídico, dentre os quais figura como essencial a estabilidade nas relações laborais e o respeito à intimidade e à dignidade do trabalhador. </w:t>
      </w:r>
      <w:r w:rsidRPr="00382568">
        <w:rPr>
          <w:rFonts w:ascii="Times New Roman" w:hAnsi="Times New Roman" w:cs="Times New Roman"/>
          <w:szCs w:val="28"/>
          <w:lang w:val="pt-BR"/>
        </w:rPr>
        <w:t>Caracteriza revista pessoal de controle e, portanto, ofende o direito à intimidade e à dignidade do empregado</w:t>
      </w:r>
      <w:r>
        <w:rPr>
          <w:rFonts w:ascii="Times New Roman" w:hAnsi="Times New Roman" w:cs="Times New Roman"/>
          <w:szCs w:val="28"/>
          <w:lang w:val="pt-BR"/>
        </w:rPr>
        <w:t>,</w:t>
      </w:r>
      <w:r w:rsidRPr="00382568">
        <w:rPr>
          <w:rFonts w:ascii="Times New Roman" w:hAnsi="Times New Roman" w:cs="Times New Roman"/>
          <w:szCs w:val="28"/>
          <w:lang w:val="pt-BR"/>
        </w:rPr>
        <w:t xml:space="preserve"> a conduta do empregador que, excedendo os limites do poder diretivo e fiscalizador, impõe a realização de vistoria íntima consistente no </w:t>
      </w:r>
      <w:r w:rsidRPr="00382568">
        <w:rPr>
          <w:rFonts w:ascii="Times New Roman" w:hAnsi="Times New Roman" w:cs="Times New Roman"/>
          <w:color w:val="auto"/>
          <w:szCs w:val="28"/>
          <w:lang w:val="pt-BR"/>
        </w:rPr>
        <w:t>apalpamento de partes do corpo do empregado – “toques na cintura</w:t>
      </w:r>
      <w:r w:rsidRPr="00382568">
        <w:rPr>
          <w:rFonts w:ascii="Times New Roman" w:hAnsi="Times New Roman" w:cs="Times New Roman"/>
          <w:b/>
          <w:color w:val="auto"/>
          <w:szCs w:val="28"/>
          <w:lang w:val="pt-BR"/>
        </w:rPr>
        <w:t>”</w:t>
      </w:r>
      <w:r w:rsidRPr="00382568">
        <w:rPr>
          <w:rFonts w:ascii="Times New Roman" w:hAnsi="Times New Roman" w:cs="Times New Roman"/>
          <w:szCs w:val="28"/>
          <w:lang w:val="pt-BR"/>
        </w:rPr>
        <w:t>.</w:t>
      </w:r>
      <w:r>
        <w:rPr>
          <w:rFonts w:ascii="Times New Roman" w:hAnsi="Times New Roman" w:cs="Times New Roman"/>
          <w:szCs w:val="28"/>
          <w:lang w:val="pt-BR"/>
        </w:rPr>
        <w:t xml:space="preserve"> Devida, portanto, a indenização por dano moral, ainda que o contato físico se dê sem “excesso ou exagero” - o que não afastaria o reconhecimento da lesão ao patrimônio moral do empregado. </w:t>
      </w:r>
      <w:r w:rsidRPr="00D92CD1">
        <w:rPr>
          <w:rFonts w:ascii="Times New Roman" w:eastAsia="Calibri" w:hAnsi="Times New Roman" w:cs="Times New Roman"/>
          <w:color w:val="auto"/>
          <w:lang w:val="pt-BR" w:eastAsia="en-US"/>
        </w:rPr>
        <w:t xml:space="preserve">Sob esses fundamentos, a SBDI-1, por </w:t>
      </w:r>
      <w:r>
        <w:rPr>
          <w:rFonts w:ascii="Times New Roman" w:eastAsia="Calibri" w:hAnsi="Times New Roman" w:cs="Times New Roman"/>
          <w:color w:val="auto"/>
          <w:lang w:val="pt-BR" w:eastAsia="en-US"/>
        </w:rPr>
        <w:t>unanimidade</w:t>
      </w:r>
      <w:r w:rsidRPr="00D92CD1">
        <w:rPr>
          <w:rFonts w:ascii="Times New Roman" w:eastAsia="Calibri" w:hAnsi="Times New Roman" w:cs="Times New Roman"/>
          <w:color w:val="auto"/>
          <w:lang w:val="pt-BR" w:eastAsia="en-US"/>
        </w:rPr>
        <w:t>, conheceu dos embargos</w:t>
      </w:r>
      <w:r>
        <w:rPr>
          <w:rFonts w:ascii="Times New Roman" w:eastAsia="Calibri" w:hAnsi="Times New Roman" w:cs="Times New Roman"/>
          <w:color w:val="auto"/>
          <w:lang w:val="pt-BR" w:eastAsia="en-US"/>
        </w:rPr>
        <w:t>,</w:t>
      </w:r>
      <w:r w:rsidRPr="00D92CD1">
        <w:rPr>
          <w:rFonts w:ascii="Times New Roman" w:eastAsia="Calibri" w:hAnsi="Times New Roman" w:cs="Times New Roman"/>
          <w:color w:val="auto"/>
          <w:lang w:val="pt-BR" w:eastAsia="en-US"/>
        </w:rPr>
        <w:t xml:space="preserve"> por divergência jurisprudencial e, no mérito,</w:t>
      </w:r>
      <w:r>
        <w:rPr>
          <w:rFonts w:ascii="Times New Roman" w:eastAsia="Calibri" w:hAnsi="Times New Roman" w:cs="Times New Roman"/>
          <w:color w:val="auto"/>
          <w:lang w:val="pt-BR" w:eastAsia="en-US"/>
        </w:rPr>
        <w:t xml:space="preserve"> por maioria,</w:t>
      </w:r>
      <w:r w:rsidRPr="00D92CD1">
        <w:rPr>
          <w:rFonts w:ascii="Times New Roman" w:eastAsia="Calibri" w:hAnsi="Times New Roman" w:cs="Times New Roman"/>
          <w:color w:val="auto"/>
          <w:lang w:val="pt-BR" w:eastAsia="en-US"/>
        </w:rPr>
        <w:t xml:space="preserve"> </w:t>
      </w:r>
      <w:r>
        <w:rPr>
          <w:rFonts w:ascii="Times New Roman" w:eastAsia="Calibri" w:hAnsi="Times New Roman" w:cs="Times New Roman"/>
          <w:color w:val="auto"/>
          <w:lang w:val="pt-BR" w:eastAsia="en-US"/>
        </w:rPr>
        <w:t>deu-lhes provimento</w:t>
      </w:r>
      <w:r w:rsidRPr="00D92CD1">
        <w:rPr>
          <w:rFonts w:ascii="Times New Roman" w:eastAsia="Calibri" w:hAnsi="Times New Roman" w:cs="Times New Roman"/>
          <w:color w:val="auto"/>
          <w:lang w:val="pt-BR" w:eastAsia="en-US"/>
        </w:rPr>
        <w:t xml:space="preserve"> </w:t>
      </w:r>
      <w:r>
        <w:rPr>
          <w:rFonts w:ascii="Times New Roman" w:eastAsia="Calibri" w:hAnsi="Times New Roman" w:cs="Times New Roman"/>
          <w:color w:val="auto"/>
          <w:lang w:val="pt-BR" w:eastAsia="en-US"/>
        </w:rPr>
        <w:t xml:space="preserve">para restabelecer o acórdão regional quanto à declaração de procedência do pedido de indenização por dano moral, inclusive no tocante ao valor fixado (R$ 3.000,00 – três mil reais), vencidos os Ministros Márcio Eurico Vitral Amaro e Guilherme Augusto Caputo Bastos. </w:t>
      </w:r>
      <w:hyperlink r:id="rId8" w:history="1">
        <w:r w:rsidRPr="00396C88">
          <w:rPr>
            <w:rStyle w:val="Hyperlink"/>
            <w:rFonts w:ascii="Times New Roman" w:eastAsia="Calibri" w:hAnsi="Times New Roman"/>
            <w:lang w:val="pt-BR" w:eastAsia="en-US"/>
          </w:rPr>
          <w:t>TST-E-RR-22800-62.2013.5.13.0007</w:t>
        </w:r>
      </w:hyperlink>
      <w:r w:rsidRPr="00BE1DBF">
        <w:rPr>
          <w:rFonts w:ascii="Times New Roman" w:eastAsia="Calibri" w:hAnsi="Times New Roman" w:cs="Times New Roman"/>
          <w:color w:val="auto"/>
          <w:u w:val="single"/>
          <w:lang w:val="pt-BR" w:eastAsia="en-US"/>
        </w:rPr>
        <w:t>,</w:t>
      </w:r>
      <w:r w:rsidRPr="00BE1DBF">
        <w:rPr>
          <w:rFonts w:eastAsia="Calibri"/>
          <w:u w:val="single"/>
          <w:lang w:val="pt-BR"/>
        </w:rPr>
        <w:t xml:space="preserve"> </w:t>
      </w:r>
      <w:r w:rsidRPr="00BE1DBF">
        <w:rPr>
          <w:rFonts w:ascii="Times New Roman" w:hAnsi="Times New Roman"/>
          <w:u w:val="single"/>
          <w:lang w:val="pt-BR"/>
        </w:rPr>
        <w:t xml:space="preserve">SBDI-I, rel. </w:t>
      </w:r>
      <w:r>
        <w:rPr>
          <w:rFonts w:ascii="Times New Roman" w:hAnsi="Times New Roman"/>
          <w:u w:val="single"/>
          <w:lang w:val="pt-BR"/>
        </w:rPr>
        <w:t>Min. João Oreste Dalazen</w:t>
      </w:r>
      <w:r w:rsidRPr="00BE1DBF">
        <w:rPr>
          <w:rFonts w:ascii="Times New Roman" w:hAnsi="Times New Roman"/>
          <w:u w:val="single"/>
          <w:lang w:val="pt-BR"/>
        </w:rPr>
        <w:t>, 29.10.2015</w:t>
      </w:r>
      <w:r>
        <w:rPr>
          <w:rFonts w:ascii="Times New Roman" w:eastAsia="Calibri" w:hAnsi="Times New Roman" w:cs="Times New Roman"/>
          <w:color w:val="auto"/>
          <w:lang w:val="pt-BR" w:eastAsia="en-US"/>
        </w:rPr>
        <w:t>.</w:t>
      </w:r>
    </w:p>
    <w:p w:rsidR="00C819C8" w:rsidRDefault="00C819C8" w:rsidP="00C819C8">
      <w:pPr>
        <w:pStyle w:val="Corpo"/>
        <w:spacing w:line="240" w:lineRule="auto"/>
        <w:ind w:firstLine="0"/>
        <w:rPr>
          <w:rFonts w:ascii="Times New Roman" w:hAnsi="Times New Roman"/>
          <w:u w:val="single"/>
          <w:lang w:val="pt-BR"/>
        </w:rPr>
      </w:pPr>
    </w:p>
    <w:p w:rsidR="002712B3" w:rsidRPr="002712B3" w:rsidRDefault="002712B3" w:rsidP="002712B3">
      <w:pPr>
        <w:pStyle w:val="Corpo"/>
        <w:spacing w:line="240" w:lineRule="auto"/>
        <w:ind w:firstLine="0"/>
        <w:rPr>
          <w:rFonts w:ascii="Times New Roman" w:hAnsi="Times New Roman" w:cs="Times New Roman"/>
          <w:b/>
          <w:i/>
          <w:lang w:val="pt-BR"/>
        </w:rPr>
      </w:pPr>
      <w:r w:rsidRPr="002712B3">
        <w:rPr>
          <w:rFonts w:ascii="Times New Roman" w:hAnsi="Times New Roman" w:cs="Times New Roman"/>
          <w:b/>
          <w:i/>
          <w:lang w:val="pt-BR"/>
        </w:rPr>
        <w:t xml:space="preserve">BESC – Banco do Estado de Santa Catarina S.A.. Promoção horizontal por antiguidade. Critérios previstos em norma interna. Necessidade de deliberação da diretoria. Condição puramente potestativa. Implemento das condições para concessão. Ônus da prova do reclamado.  </w:t>
      </w:r>
    </w:p>
    <w:p w:rsidR="002712B3" w:rsidRPr="002712B3" w:rsidRDefault="002712B3" w:rsidP="002712B3">
      <w:pPr>
        <w:pStyle w:val="Corpo"/>
        <w:spacing w:line="240" w:lineRule="auto"/>
        <w:ind w:firstLine="0"/>
        <w:rPr>
          <w:rFonts w:ascii="Times New Roman" w:hAnsi="Times New Roman" w:cs="Times New Roman"/>
          <w:u w:val="single"/>
          <w:lang w:val="pt-BR"/>
        </w:rPr>
      </w:pPr>
      <w:r w:rsidRPr="002712B3">
        <w:rPr>
          <w:rFonts w:ascii="Times New Roman" w:hAnsi="Times New Roman" w:cs="Times New Roman"/>
          <w:lang w:val="pt-BR"/>
        </w:rPr>
        <w:t xml:space="preserve">A deliberação da diretoria constitui requisito dispensável à concessão da promoção por antiguidade ao empregado do BESC, sucedido pelo Banco do Brasil, tendo em vista que ela se baseia em critério objetivo, sendo direito do empregado a sua fruição quando preenchido o requisito temporal, conforme aplicação analógica da Orientação Jurisprudencial Transitória nº 71 da SBDI-I do TST. Em se tratando de cláusula potestativa, que estabelece que o direito às promoções por antiguidade depende do limite de vagas fixado pela Diretoria Executiva do Banco, e não apenas do transcurso do tempo, é do reclamado o ônus de comprovar que ofereceu as condições previstas na norma interna e que o trabalhador não atendeu aos requisitos exigidos para as promoções, não sendo possível simplesmente negar o cumprimento dos requisitos para concessão da promoção por antiguidade.  Sob esse entendimento, a SBDI-I, por unanimidade, conheceu dos embargos, por divergência jurisprudencial, e, no mérito, deu-lhes provimento para condenar o reclamado ao pagamento de diferenças salariais decorrentes das promoções por antiguidade não concedidas e reflexos. </w:t>
      </w:r>
      <w:hyperlink r:id="rId9" w:history="1">
        <w:r w:rsidRPr="00D30F07">
          <w:rPr>
            <w:rStyle w:val="Hyperlink"/>
            <w:rFonts w:ascii="Times New Roman" w:hAnsi="Times New Roman"/>
            <w:lang w:val="pt-BR"/>
          </w:rPr>
          <w:t>TST-E-ED-RR-367400-80.2009.5.12.0034</w:t>
        </w:r>
      </w:hyperlink>
      <w:r w:rsidRPr="002712B3">
        <w:rPr>
          <w:rFonts w:ascii="Times New Roman" w:hAnsi="Times New Roman" w:cs="Times New Roman"/>
          <w:u w:val="single"/>
          <w:lang w:val="pt-BR"/>
        </w:rPr>
        <w:t>, SBDI-I, rel. Min. José Roberto Freire Pimenta, 29.10.2015.</w:t>
      </w:r>
    </w:p>
    <w:p w:rsidR="00C819C8" w:rsidRDefault="00C819C8" w:rsidP="00C819C8">
      <w:pPr>
        <w:pStyle w:val="Corpo"/>
        <w:spacing w:line="240" w:lineRule="auto"/>
        <w:ind w:firstLine="0"/>
        <w:rPr>
          <w:rFonts w:ascii="Times New Roman" w:hAnsi="Times New Roman"/>
          <w:u w:val="single"/>
          <w:lang w:val="pt-BR"/>
        </w:rPr>
      </w:pPr>
    </w:p>
    <w:p w:rsidR="002712B3" w:rsidRDefault="002712B3" w:rsidP="002712B3">
      <w:pPr>
        <w:jc w:val="both"/>
        <w:rPr>
          <w:b/>
          <w:i/>
          <w:sz w:val="24"/>
          <w:szCs w:val="24"/>
        </w:rPr>
      </w:pPr>
      <w:r w:rsidRPr="00407082">
        <w:rPr>
          <w:b/>
          <w:i/>
          <w:sz w:val="24"/>
          <w:szCs w:val="24"/>
        </w:rPr>
        <w:t xml:space="preserve">Honorários </w:t>
      </w:r>
      <w:r>
        <w:rPr>
          <w:b/>
          <w:i/>
          <w:sz w:val="24"/>
          <w:szCs w:val="24"/>
        </w:rPr>
        <w:t>a</w:t>
      </w:r>
      <w:r w:rsidRPr="00407082">
        <w:rPr>
          <w:b/>
          <w:i/>
          <w:sz w:val="24"/>
          <w:szCs w:val="24"/>
        </w:rPr>
        <w:t xml:space="preserve">dvocatícios. Requisitos. Assistência </w:t>
      </w:r>
      <w:r>
        <w:rPr>
          <w:b/>
          <w:i/>
          <w:sz w:val="24"/>
          <w:szCs w:val="24"/>
        </w:rPr>
        <w:t xml:space="preserve">sindical. Lei Nº 5.584/1970. </w:t>
      </w:r>
      <w:r w:rsidRPr="00407082">
        <w:rPr>
          <w:b/>
          <w:i/>
          <w:sz w:val="24"/>
          <w:szCs w:val="24"/>
        </w:rPr>
        <w:t xml:space="preserve">Sindicato </w:t>
      </w:r>
      <w:r>
        <w:rPr>
          <w:b/>
          <w:i/>
          <w:sz w:val="24"/>
          <w:szCs w:val="24"/>
        </w:rPr>
        <w:t>c</w:t>
      </w:r>
      <w:r w:rsidRPr="00407082">
        <w:rPr>
          <w:b/>
          <w:i/>
          <w:sz w:val="24"/>
          <w:szCs w:val="24"/>
        </w:rPr>
        <w:t xml:space="preserve">om </w:t>
      </w:r>
      <w:r>
        <w:rPr>
          <w:b/>
          <w:i/>
          <w:sz w:val="24"/>
          <w:szCs w:val="24"/>
        </w:rPr>
        <w:t>b</w:t>
      </w:r>
      <w:r w:rsidRPr="00407082">
        <w:rPr>
          <w:b/>
          <w:i/>
          <w:sz w:val="24"/>
          <w:szCs w:val="24"/>
        </w:rPr>
        <w:t xml:space="preserve">ase </w:t>
      </w:r>
      <w:r>
        <w:rPr>
          <w:b/>
          <w:i/>
          <w:sz w:val="24"/>
          <w:szCs w:val="24"/>
        </w:rPr>
        <w:t>t</w:t>
      </w:r>
      <w:r w:rsidRPr="00407082">
        <w:rPr>
          <w:b/>
          <w:i/>
          <w:sz w:val="24"/>
          <w:szCs w:val="24"/>
        </w:rPr>
        <w:t xml:space="preserve">erritorial </w:t>
      </w:r>
      <w:r>
        <w:rPr>
          <w:b/>
          <w:i/>
          <w:sz w:val="24"/>
          <w:szCs w:val="24"/>
        </w:rPr>
        <w:t>d</w:t>
      </w:r>
      <w:r w:rsidRPr="00407082">
        <w:rPr>
          <w:b/>
          <w:i/>
          <w:sz w:val="24"/>
          <w:szCs w:val="24"/>
        </w:rPr>
        <w:t xml:space="preserve">iversa </w:t>
      </w:r>
      <w:r>
        <w:rPr>
          <w:b/>
          <w:i/>
          <w:sz w:val="24"/>
          <w:szCs w:val="24"/>
        </w:rPr>
        <w:t>d</w:t>
      </w:r>
      <w:r w:rsidRPr="00407082">
        <w:rPr>
          <w:b/>
          <w:i/>
          <w:sz w:val="24"/>
          <w:szCs w:val="24"/>
        </w:rPr>
        <w:t xml:space="preserve">o </w:t>
      </w:r>
      <w:r>
        <w:rPr>
          <w:b/>
          <w:i/>
          <w:sz w:val="24"/>
          <w:szCs w:val="24"/>
        </w:rPr>
        <w:t>l</w:t>
      </w:r>
      <w:r w:rsidRPr="00407082">
        <w:rPr>
          <w:b/>
          <w:i/>
          <w:sz w:val="24"/>
          <w:szCs w:val="24"/>
        </w:rPr>
        <w:t xml:space="preserve">ocal </w:t>
      </w:r>
      <w:r>
        <w:rPr>
          <w:b/>
          <w:i/>
          <w:sz w:val="24"/>
          <w:szCs w:val="24"/>
        </w:rPr>
        <w:t>d</w:t>
      </w:r>
      <w:r w:rsidRPr="00407082">
        <w:rPr>
          <w:b/>
          <w:i/>
          <w:sz w:val="24"/>
          <w:szCs w:val="24"/>
        </w:rPr>
        <w:t xml:space="preserve">e </w:t>
      </w:r>
      <w:r>
        <w:rPr>
          <w:b/>
          <w:i/>
          <w:sz w:val="24"/>
          <w:szCs w:val="24"/>
        </w:rPr>
        <w:t>p</w:t>
      </w:r>
      <w:r w:rsidRPr="00407082">
        <w:rPr>
          <w:b/>
          <w:i/>
          <w:sz w:val="24"/>
          <w:szCs w:val="24"/>
        </w:rPr>
        <w:t xml:space="preserve">restação </w:t>
      </w:r>
      <w:r>
        <w:rPr>
          <w:b/>
          <w:i/>
          <w:sz w:val="24"/>
          <w:szCs w:val="24"/>
        </w:rPr>
        <w:t>d</w:t>
      </w:r>
      <w:r w:rsidRPr="00407082">
        <w:rPr>
          <w:b/>
          <w:i/>
          <w:sz w:val="24"/>
          <w:szCs w:val="24"/>
        </w:rPr>
        <w:t>e</w:t>
      </w:r>
      <w:r>
        <w:rPr>
          <w:b/>
          <w:i/>
          <w:sz w:val="24"/>
          <w:szCs w:val="24"/>
        </w:rPr>
        <w:t xml:space="preserve"> s</w:t>
      </w:r>
      <w:r w:rsidRPr="00407082">
        <w:rPr>
          <w:b/>
          <w:i/>
          <w:sz w:val="24"/>
          <w:szCs w:val="24"/>
        </w:rPr>
        <w:t xml:space="preserve">erviços. Validade </w:t>
      </w:r>
      <w:r>
        <w:rPr>
          <w:b/>
          <w:i/>
          <w:sz w:val="24"/>
          <w:szCs w:val="24"/>
        </w:rPr>
        <w:t>d</w:t>
      </w:r>
      <w:r w:rsidRPr="00407082">
        <w:rPr>
          <w:b/>
          <w:i/>
          <w:sz w:val="24"/>
          <w:szCs w:val="24"/>
        </w:rPr>
        <w:t xml:space="preserve">a </w:t>
      </w:r>
      <w:r>
        <w:rPr>
          <w:b/>
          <w:i/>
          <w:sz w:val="24"/>
          <w:szCs w:val="24"/>
        </w:rPr>
        <w:t>c</w:t>
      </w:r>
      <w:r w:rsidRPr="00407082">
        <w:rPr>
          <w:b/>
          <w:i/>
          <w:sz w:val="24"/>
          <w:szCs w:val="24"/>
        </w:rPr>
        <w:t xml:space="preserve">redencial </w:t>
      </w:r>
      <w:r>
        <w:rPr>
          <w:b/>
          <w:i/>
          <w:sz w:val="24"/>
          <w:szCs w:val="24"/>
        </w:rPr>
        <w:t>s</w:t>
      </w:r>
      <w:r w:rsidRPr="00407082">
        <w:rPr>
          <w:b/>
          <w:i/>
          <w:sz w:val="24"/>
          <w:szCs w:val="24"/>
        </w:rPr>
        <w:t xml:space="preserve">indical. Verba </w:t>
      </w:r>
      <w:r>
        <w:rPr>
          <w:b/>
          <w:i/>
          <w:sz w:val="24"/>
          <w:szCs w:val="24"/>
        </w:rPr>
        <w:t>d</w:t>
      </w:r>
      <w:r w:rsidRPr="00407082">
        <w:rPr>
          <w:b/>
          <w:i/>
          <w:sz w:val="24"/>
          <w:szCs w:val="24"/>
        </w:rPr>
        <w:t xml:space="preserve">evida. </w:t>
      </w:r>
    </w:p>
    <w:p w:rsidR="002712B3" w:rsidRDefault="002712B3" w:rsidP="002712B3">
      <w:pPr>
        <w:pStyle w:val="Corpo"/>
        <w:spacing w:line="240" w:lineRule="auto"/>
        <w:ind w:firstLine="0"/>
        <w:rPr>
          <w:rFonts w:ascii="Times New Roman" w:eastAsia="Calibri" w:hAnsi="Times New Roman" w:cs="Times New Roman"/>
          <w:color w:val="auto"/>
          <w:lang w:val="pt-BR" w:eastAsia="en-US"/>
        </w:rPr>
      </w:pPr>
      <w:r>
        <w:rPr>
          <w:rFonts w:ascii="Times New Roman" w:eastAsia="Calibri" w:hAnsi="Times New Roman" w:cs="Times New Roman"/>
          <w:color w:val="auto"/>
          <w:lang w:val="pt-BR" w:eastAsia="en-US"/>
        </w:rPr>
        <w:lastRenderedPageBreak/>
        <w:t>O art.</w:t>
      </w:r>
      <w:r w:rsidRPr="00407082">
        <w:rPr>
          <w:rFonts w:ascii="Times New Roman" w:eastAsia="Calibri" w:hAnsi="Times New Roman" w:cs="Times New Roman"/>
          <w:color w:val="auto"/>
          <w:lang w:val="pt-BR" w:eastAsia="en-US"/>
        </w:rPr>
        <w:t xml:space="preserve"> 14 da Lei </w:t>
      </w:r>
      <w:r>
        <w:rPr>
          <w:rFonts w:ascii="Times New Roman" w:eastAsia="Calibri" w:hAnsi="Times New Roman" w:cs="Times New Roman"/>
          <w:color w:val="auto"/>
          <w:lang w:val="pt-BR" w:eastAsia="en-US"/>
        </w:rPr>
        <w:t xml:space="preserve">nº </w:t>
      </w:r>
      <w:r w:rsidRPr="00407082">
        <w:rPr>
          <w:rFonts w:ascii="Times New Roman" w:eastAsia="Calibri" w:hAnsi="Times New Roman" w:cs="Times New Roman"/>
          <w:color w:val="auto"/>
          <w:lang w:val="pt-BR" w:eastAsia="en-US"/>
        </w:rPr>
        <w:t>5.584/1970</w:t>
      </w:r>
      <w:r>
        <w:rPr>
          <w:rFonts w:ascii="Times New Roman" w:eastAsia="Calibri" w:hAnsi="Times New Roman" w:cs="Times New Roman"/>
          <w:color w:val="auto"/>
          <w:lang w:val="pt-BR" w:eastAsia="en-US"/>
        </w:rPr>
        <w:t xml:space="preserve"> prescreve que </w:t>
      </w:r>
      <w:r w:rsidRPr="00407082">
        <w:rPr>
          <w:rFonts w:ascii="Times New Roman" w:eastAsia="Calibri" w:hAnsi="Times New Roman" w:cs="Times New Roman"/>
          <w:color w:val="auto"/>
          <w:lang w:val="pt-BR" w:eastAsia="en-US"/>
        </w:rPr>
        <w:t>a assistência judiciária será prestada pelo sindicato da categoria profissional do trabalhador, sem qualquer referência, ainda que vaga, à base territorial</w:t>
      </w:r>
      <w:r>
        <w:rPr>
          <w:rFonts w:ascii="Times New Roman" w:eastAsia="Calibri" w:hAnsi="Times New Roman" w:cs="Times New Roman"/>
          <w:color w:val="auto"/>
          <w:lang w:val="pt-BR" w:eastAsia="en-US"/>
        </w:rPr>
        <w:t xml:space="preserve">. </w:t>
      </w:r>
      <w:r w:rsidRPr="00407082">
        <w:rPr>
          <w:rFonts w:ascii="Times New Roman" w:eastAsia="Calibri" w:hAnsi="Times New Roman" w:cs="Times New Roman"/>
          <w:color w:val="auto"/>
          <w:lang w:val="pt-BR" w:eastAsia="en-US"/>
        </w:rPr>
        <w:t>Essa mesma ilação foi seguida na diretriz da Súmula</w:t>
      </w:r>
      <w:r>
        <w:rPr>
          <w:rFonts w:ascii="Times New Roman" w:eastAsia="Calibri" w:hAnsi="Times New Roman" w:cs="Times New Roman"/>
          <w:color w:val="auto"/>
          <w:lang w:val="pt-BR" w:eastAsia="en-US"/>
        </w:rPr>
        <w:t xml:space="preserve"> nº</w:t>
      </w:r>
      <w:r w:rsidRPr="00407082">
        <w:rPr>
          <w:rFonts w:ascii="Times New Roman" w:eastAsia="Calibri" w:hAnsi="Times New Roman" w:cs="Times New Roman"/>
          <w:color w:val="auto"/>
          <w:lang w:val="pt-BR" w:eastAsia="en-US"/>
        </w:rPr>
        <w:t xml:space="preserve"> 219</w:t>
      </w:r>
      <w:r>
        <w:rPr>
          <w:rFonts w:ascii="Times New Roman" w:eastAsia="Calibri" w:hAnsi="Times New Roman" w:cs="Times New Roman"/>
          <w:color w:val="auto"/>
          <w:lang w:val="pt-BR" w:eastAsia="en-US"/>
        </w:rPr>
        <w:t xml:space="preserve"> do TST</w:t>
      </w:r>
      <w:r w:rsidRPr="00407082">
        <w:rPr>
          <w:rFonts w:ascii="Times New Roman" w:eastAsia="Calibri" w:hAnsi="Times New Roman" w:cs="Times New Roman"/>
          <w:color w:val="auto"/>
          <w:lang w:val="pt-BR" w:eastAsia="en-US"/>
        </w:rPr>
        <w:t>.</w:t>
      </w:r>
      <w:r>
        <w:rPr>
          <w:rFonts w:ascii="Times New Roman" w:eastAsia="Calibri" w:hAnsi="Times New Roman" w:cs="Times New Roman"/>
          <w:color w:val="auto"/>
          <w:lang w:val="pt-BR" w:eastAsia="en-US"/>
        </w:rPr>
        <w:t xml:space="preserve"> Desse modo, </w:t>
      </w:r>
      <w:r w:rsidRPr="00407082">
        <w:rPr>
          <w:rFonts w:ascii="Times New Roman" w:eastAsia="Calibri" w:hAnsi="Times New Roman" w:cs="Times New Roman"/>
          <w:color w:val="auto"/>
          <w:lang w:val="pt-BR" w:eastAsia="en-US"/>
        </w:rPr>
        <w:t xml:space="preserve">se o autor está assistido por sindicato de sua categoria profissional, </w:t>
      </w:r>
      <w:r>
        <w:rPr>
          <w:rFonts w:ascii="Times New Roman" w:eastAsia="Calibri" w:hAnsi="Times New Roman" w:cs="Times New Roman"/>
          <w:color w:val="auto"/>
          <w:lang w:val="pt-BR" w:eastAsia="en-US"/>
        </w:rPr>
        <w:t xml:space="preserve">tem-se </w:t>
      </w:r>
      <w:r w:rsidRPr="00407082">
        <w:rPr>
          <w:rFonts w:ascii="Times New Roman" w:eastAsia="Calibri" w:hAnsi="Times New Roman" w:cs="Times New Roman"/>
          <w:color w:val="auto"/>
          <w:lang w:val="pt-BR" w:eastAsia="en-US"/>
        </w:rPr>
        <w:t>por preenchido o requisito da assistência sindical necessário à concessão de honorários advocatícios, sendo irrelevante o fato de ser de base territorial diversa</w:t>
      </w:r>
      <w:r>
        <w:rPr>
          <w:rFonts w:ascii="Times New Roman" w:eastAsia="Calibri" w:hAnsi="Times New Roman" w:cs="Times New Roman"/>
          <w:color w:val="auto"/>
          <w:lang w:val="pt-BR" w:eastAsia="en-US"/>
        </w:rPr>
        <w:t xml:space="preserve">. </w:t>
      </w:r>
      <w:r w:rsidRPr="00D92CD1">
        <w:rPr>
          <w:rFonts w:ascii="Times New Roman" w:eastAsia="Calibri" w:hAnsi="Times New Roman" w:cs="Times New Roman"/>
          <w:color w:val="auto"/>
          <w:lang w:val="pt-BR" w:eastAsia="en-US"/>
        </w:rPr>
        <w:t>Sob esses fundamentos, a SBDI-1, por unanimidade, conheceu dos embargos</w:t>
      </w:r>
      <w:r>
        <w:rPr>
          <w:rFonts w:ascii="Times New Roman" w:eastAsia="Calibri" w:hAnsi="Times New Roman" w:cs="Times New Roman"/>
          <w:color w:val="auto"/>
          <w:lang w:val="pt-BR" w:eastAsia="en-US"/>
        </w:rPr>
        <w:t xml:space="preserve"> interpostos pela reclamada,</w:t>
      </w:r>
      <w:r w:rsidRPr="00D92CD1">
        <w:rPr>
          <w:rFonts w:ascii="Times New Roman" w:eastAsia="Calibri" w:hAnsi="Times New Roman" w:cs="Times New Roman"/>
          <w:color w:val="auto"/>
          <w:lang w:val="pt-BR" w:eastAsia="en-US"/>
        </w:rPr>
        <w:t xml:space="preserve"> por divergência jurisprudencial</w:t>
      </w:r>
      <w:r>
        <w:rPr>
          <w:rFonts w:ascii="Times New Roman" w:eastAsia="Calibri" w:hAnsi="Times New Roman" w:cs="Times New Roman"/>
          <w:color w:val="auto"/>
          <w:lang w:val="pt-BR" w:eastAsia="en-US"/>
        </w:rPr>
        <w:t>,</w:t>
      </w:r>
      <w:r w:rsidRPr="00D92CD1">
        <w:rPr>
          <w:rFonts w:ascii="Times New Roman" w:eastAsia="Calibri" w:hAnsi="Times New Roman" w:cs="Times New Roman"/>
          <w:color w:val="auto"/>
          <w:lang w:val="pt-BR" w:eastAsia="en-US"/>
        </w:rPr>
        <w:t xml:space="preserve"> e, no mérito, </w:t>
      </w:r>
      <w:r>
        <w:rPr>
          <w:rFonts w:ascii="Times New Roman" w:eastAsia="Calibri" w:hAnsi="Times New Roman" w:cs="Times New Roman"/>
          <w:color w:val="auto"/>
          <w:lang w:val="pt-BR" w:eastAsia="en-US"/>
        </w:rPr>
        <w:t>negou-lhes provimento,</w:t>
      </w:r>
      <w:r w:rsidRPr="00D92CD1">
        <w:rPr>
          <w:rFonts w:ascii="Times New Roman" w:eastAsia="Calibri" w:hAnsi="Times New Roman" w:cs="Times New Roman"/>
          <w:color w:val="auto"/>
          <w:lang w:val="pt-BR" w:eastAsia="en-US"/>
        </w:rPr>
        <w:t xml:space="preserve"> mantendo a decisão</w:t>
      </w:r>
      <w:r>
        <w:rPr>
          <w:rFonts w:ascii="Times New Roman" w:eastAsia="Calibri" w:hAnsi="Times New Roman" w:cs="Times New Roman"/>
          <w:color w:val="auto"/>
          <w:lang w:val="pt-BR" w:eastAsia="en-US"/>
        </w:rPr>
        <w:t xml:space="preserve"> turmária que julgara preenchidos os requisitos para o deferimento de honorários advocatícios. </w:t>
      </w:r>
      <w:hyperlink r:id="rId10" w:history="1">
        <w:r w:rsidRPr="00DA32AE">
          <w:rPr>
            <w:rStyle w:val="Hyperlink"/>
            <w:rFonts w:ascii="Times New Roman" w:eastAsia="Calibri" w:hAnsi="Times New Roman"/>
            <w:lang w:val="pt-BR" w:eastAsia="en-US"/>
          </w:rPr>
          <w:t>TST-E-RR-127600-85.2007.5.04.0401</w:t>
        </w:r>
      </w:hyperlink>
      <w:r w:rsidRPr="00BE1DBF">
        <w:rPr>
          <w:rFonts w:ascii="Times New Roman" w:eastAsia="Calibri" w:hAnsi="Times New Roman" w:cs="Times New Roman"/>
          <w:color w:val="auto"/>
          <w:u w:val="single"/>
          <w:lang w:val="pt-BR" w:eastAsia="en-US"/>
        </w:rPr>
        <w:t>,</w:t>
      </w:r>
      <w:r w:rsidRPr="00BE1DBF">
        <w:rPr>
          <w:rFonts w:eastAsia="Calibri"/>
          <w:u w:val="single"/>
          <w:lang w:val="pt-BR"/>
        </w:rPr>
        <w:t xml:space="preserve"> </w:t>
      </w:r>
      <w:r w:rsidRPr="00BE1DBF">
        <w:rPr>
          <w:rFonts w:ascii="Times New Roman" w:hAnsi="Times New Roman"/>
          <w:u w:val="single"/>
          <w:lang w:val="pt-BR"/>
        </w:rPr>
        <w:t xml:space="preserve">SBDI-I, rel. </w:t>
      </w:r>
      <w:r>
        <w:rPr>
          <w:rFonts w:ascii="Times New Roman" w:hAnsi="Times New Roman"/>
          <w:u w:val="single"/>
          <w:lang w:val="pt-BR"/>
        </w:rPr>
        <w:t xml:space="preserve">Ministro </w:t>
      </w:r>
      <w:r w:rsidRPr="00BE1DBF">
        <w:rPr>
          <w:rFonts w:ascii="Times New Roman" w:hAnsi="Times New Roman"/>
          <w:u w:val="single"/>
          <w:lang w:val="pt-BR"/>
        </w:rPr>
        <w:t>Augusto César Leite De Carvalho, 29.10.2015</w:t>
      </w:r>
      <w:r>
        <w:rPr>
          <w:rFonts w:ascii="Times New Roman" w:eastAsia="Calibri" w:hAnsi="Times New Roman" w:cs="Times New Roman"/>
          <w:color w:val="auto"/>
          <w:lang w:val="pt-BR" w:eastAsia="en-US"/>
        </w:rPr>
        <w:t>.</w:t>
      </w:r>
    </w:p>
    <w:p w:rsidR="00C819C8" w:rsidRDefault="00C819C8" w:rsidP="00C819C8">
      <w:pPr>
        <w:pStyle w:val="Corpo"/>
        <w:spacing w:line="240" w:lineRule="auto"/>
        <w:ind w:firstLine="0"/>
        <w:rPr>
          <w:rFonts w:ascii="Times New Roman" w:hAnsi="Times New Roman"/>
          <w:u w:val="single"/>
          <w:lang w:val="pt-BR"/>
        </w:rPr>
      </w:pPr>
    </w:p>
    <w:p w:rsidR="00A6615C" w:rsidRPr="00A6615C" w:rsidRDefault="00A6615C" w:rsidP="00A6615C">
      <w:pPr>
        <w:ind w:right="-1"/>
        <w:jc w:val="both"/>
        <w:rPr>
          <w:b/>
          <w:i/>
          <w:sz w:val="24"/>
          <w:szCs w:val="24"/>
        </w:rPr>
      </w:pPr>
      <w:r w:rsidRPr="00A6615C">
        <w:rPr>
          <w:b/>
          <w:i/>
          <w:sz w:val="24"/>
          <w:szCs w:val="24"/>
        </w:rPr>
        <w:t>Competência territorial. Dissídio individual típico. Critérios objetivos de fixação. Art. 651 da CLT. Domicílio do empregado.</w:t>
      </w:r>
    </w:p>
    <w:p w:rsidR="00A6615C" w:rsidRPr="0067340F" w:rsidRDefault="00A6615C" w:rsidP="00A6615C">
      <w:pPr>
        <w:jc w:val="both"/>
        <w:rPr>
          <w:sz w:val="24"/>
          <w:szCs w:val="24"/>
        </w:rPr>
      </w:pPr>
      <w:r>
        <w:rPr>
          <w:sz w:val="24"/>
          <w:szCs w:val="24"/>
        </w:rPr>
        <w:t xml:space="preserve">A Vara do Trabalho do domicílio do empregado, quando não coincidente com a localidade da celebração do contrato ou da prestação dos serviços, normalmente não é competente para o julgamento de dissídio individual típico resultante do contrato de emprego. A determinação da competência territorial, em regra, define-se pelo local da prestação dos serviços do empregado, seja ele reclamante ou reclamado (art. 651, </w:t>
      </w:r>
      <w:r>
        <w:rPr>
          <w:i/>
          <w:sz w:val="24"/>
          <w:szCs w:val="24"/>
        </w:rPr>
        <w:t xml:space="preserve">caput, </w:t>
      </w:r>
      <w:r>
        <w:rPr>
          <w:sz w:val="24"/>
          <w:szCs w:val="24"/>
        </w:rPr>
        <w:t xml:space="preserve">da CLT). Cuida-se de norma de cunho protecionista e ditada pela observância do princípio constitucional da acessibilidade (art. 5º, XXXV). Excepcionalmente, nos termos do art. 651, § 3º, da CLT, toma-se em conta o juízo da localidade da contratação do empregado. Sob esse entendimento, a SBDI-1, por unanimidade, conheceu dos embargos, por divergência jurisprudencial e, no mérito, pelo voto prevalente da Presidência, negou-lhes provimento. Vencidos, totalmente, os Ministros Walmir Oliveira da Costa e Hugo Carlos Scheuermann e, parcialmente, os Ministros Renato de Lacerda Paiva, Aloysio Corrêa da Veiga, Guilherme Augusto Caputo Bastos, Augusto César Leite de Carvalho e Cláudio Mascarenhas Brandão, que divergiam quanto à fundamentação. </w:t>
      </w:r>
      <w:hyperlink r:id="rId11" w:history="1">
        <w:r w:rsidRPr="00D30F07">
          <w:rPr>
            <w:rStyle w:val="Hyperlink"/>
            <w:sz w:val="24"/>
            <w:szCs w:val="24"/>
          </w:rPr>
          <w:t>TST- E-RR 775-66.2013.5.07.0025</w:t>
        </w:r>
      </w:hyperlink>
      <w:r>
        <w:rPr>
          <w:sz w:val="24"/>
          <w:szCs w:val="24"/>
          <w:u w:val="single"/>
        </w:rPr>
        <w:t>, SBDI-I, rel. Min.</w:t>
      </w:r>
      <w:r w:rsidRPr="002B08F1">
        <w:rPr>
          <w:sz w:val="24"/>
          <w:szCs w:val="24"/>
          <w:u w:val="single"/>
        </w:rPr>
        <w:t xml:space="preserve"> </w:t>
      </w:r>
      <w:r>
        <w:rPr>
          <w:sz w:val="24"/>
          <w:szCs w:val="24"/>
          <w:u w:val="single"/>
        </w:rPr>
        <w:t>João Oreste Dalazen</w:t>
      </w:r>
      <w:r w:rsidRPr="002B08F1">
        <w:rPr>
          <w:sz w:val="24"/>
          <w:szCs w:val="24"/>
          <w:u w:val="single"/>
        </w:rPr>
        <w:t xml:space="preserve">, </w:t>
      </w:r>
      <w:r>
        <w:rPr>
          <w:sz w:val="24"/>
          <w:szCs w:val="24"/>
          <w:u w:val="single"/>
        </w:rPr>
        <w:t>29.10.2015</w:t>
      </w:r>
      <w:r>
        <w:rPr>
          <w:u w:val="single"/>
        </w:rPr>
        <w:t>.</w:t>
      </w:r>
    </w:p>
    <w:p w:rsidR="002712B3" w:rsidRDefault="002712B3" w:rsidP="00C819C8">
      <w:pPr>
        <w:pStyle w:val="Corpo"/>
        <w:spacing w:line="240" w:lineRule="auto"/>
        <w:ind w:firstLine="0"/>
        <w:rPr>
          <w:rFonts w:ascii="Times New Roman" w:hAnsi="Times New Roman"/>
          <w:u w:val="single"/>
          <w:lang w:val="pt-BR"/>
        </w:rPr>
      </w:pPr>
    </w:p>
    <w:p w:rsidR="006E7843" w:rsidRPr="00895CC6" w:rsidRDefault="006E7843" w:rsidP="006E7843">
      <w:pPr>
        <w:jc w:val="both"/>
        <w:rPr>
          <w:b/>
          <w:i/>
          <w:sz w:val="24"/>
          <w:szCs w:val="24"/>
        </w:rPr>
      </w:pPr>
      <w:bookmarkStart w:id="1" w:name="OLE_LINK1"/>
      <w:r>
        <w:rPr>
          <w:b/>
          <w:i/>
          <w:sz w:val="24"/>
          <w:szCs w:val="24"/>
        </w:rPr>
        <w:t xml:space="preserve">Empresa Brasileira de Correios e Telégrafos – ECT. Progressões por antiguidade. Compensação das progressões previstas no Plano de Cargos, Carreiras e Salários (PCCS) com as oriundas de norma coletiva. Possibilidade. </w:t>
      </w:r>
    </w:p>
    <w:bookmarkEnd w:id="1"/>
    <w:p w:rsidR="006E7843" w:rsidRPr="006E7843" w:rsidRDefault="006E7843" w:rsidP="006E7843">
      <w:pPr>
        <w:jc w:val="both"/>
        <w:rPr>
          <w:sz w:val="24"/>
          <w:szCs w:val="24"/>
          <w:u w:val="single"/>
        </w:rPr>
      </w:pPr>
      <w:r w:rsidRPr="006E7843">
        <w:rPr>
          <w:sz w:val="24"/>
          <w:szCs w:val="24"/>
        </w:rPr>
        <w:t xml:space="preserve">As progressões por antiguidade previstas no Plano de Cargos, Carreiras e Salários (PCCS) da Empresa Brasileira de Correios e Telégrafos (ECT) devem ser compensadas com as oriundas de negociação coletiva, resguardado ao empregado o direito a perceber exclusivamente a que lhe for mais benéfica. É irrelevante que a norma coletiva não preveja expressamente a compensação, sendo suficiente que as parcelas revistam-se de idêntica natureza jurídica, nos termos da Súmula nº 202 do TST. Sob esses fundamentos, a SBDI-I decidiu, por maioria, conhecer dos embargos, por divergência jurisprudencial, e, no mérito, por unanimidade, dar-lhes provimento para restabelecer a sentença, no particular. Vencido o Ministro José Roberto Freire Pimenta. </w:t>
      </w:r>
      <w:hyperlink r:id="rId12" w:history="1">
        <w:r w:rsidRPr="005C20B9">
          <w:rPr>
            <w:rStyle w:val="Hyperlink"/>
            <w:rFonts w:cs="Courier New"/>
            <w:sz w:val="24"/>
            <w:szCs w:val="24"/>
          </w:rPr>
          <w:t>TST-E-RR-1280-41.2012.5.04.0004</w:t>
        </w:r>
      </w:hyperlink>
      <w:r w:rsidRPr="006E7843">
        <w:rPr>
          <w:rFonts w:cs="Courier New"/>
          <w:sz w:val="24"/>
          <w:szCs w:val="24"/>
          <w:u w:val="single"/>
        </w:rPr>
        <w:t>, SBDI-I, rel. Min. Márcio Eurico Vitral Amaro, 29.10.2015</w:t>
      </w:r>
      <w:r w:rsidRPr="006E7843">
        <w:rPr>
          <w:sz w:val="24"/>
          <w:szCs w:val="24"/>
          <w:u w:val="single"/>
        </w:rPr>
        <w:t>.</w:t>
      </w:r>
    </w:p>
    <w:p w:rsidR="00A6615C" w:rsidRDefault="00A6615C" w:rsidP="00C819C8">
      <w:pPr>
        <w:pStyle w:val="Corpo"/>
        <w:spacing w:line="240" w:lineRule="auto"/>
        <w:ind w:firstLine="0"/>
        <w:rPr>
          <w:rFonts w:ascii="Times New Roman" w:hAnsi="Times New Roman"/>
          <w:u w:val="single"/>
          <w:lang w:val="pt-BR"/>
        </w:rPr>
      </w:pPr>
    </w:p>
    <w:p w:rsidR="00A6615C" w:rsidRDefault="00A6615C" w:rsidP="00C819C8">
      <w:pPr>
        <w:pStyle w:val="Corpo"/>
        <w:spacing w:line="240" w:lineRule="auto"/>
        <w:ind w:firstLine="0"/>
        <w:rPr>
          <w:rFonts w:ascii="Times New Roman" w:hAnsi="Times New Roman"/>
          <w:u w:val="single"/>
          <w:lang w:val="pt-BR"/>
        </w:rPr>
      </w:pPr>
    </w:p>
    <w:p w:rsidR="00184590" w:rsidRPr="00CE7555"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outlineLvl w:val="0"/>
        <w:rPr>
          <w:b w:val="0"/>
          <w:bCs w:val="0"/>
          <w:snapToGrid w:val="0"/>
          <w:sz w:val="25"/>
          <w:szCs w:val="25"/>
        </w:rPr>
      </w:pPr>
      <w:r w:rsidRPr="00CE7555">
        <w:rPr>
          <w:b w:val="0"/>
          <w:bCs w:val="0"/>
          <w:snapToGrid w:val="0"/>
          <w:sz w:val="25"/>
          <w:szCs w:val="25"/>
        </w:rPr>
        <w:t xml:space="preserve">Informativo TST é mantido pela </w:t>
      </w:r>
    </w:p>
    <w:p w:rsidR="00184590" w:rsidRPr="00CE7555"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rPr>
          <w:b w:val="0"/>
          <w:bCs w:val="0"/>
          <w:snapToGrid w:val="0"/>
          <w:sz w:val="25"/>
          <w:szCs w:val="25"/>
        </w:rPr>
      </w:pPr>
      <w:r w:rsidRPr="00CE7555">
        <w:rPr>
          <w:b w:val="0"/>
          <w:bCs w:val="0"/>
          <w:snapToGrid w:val="0"/>
          <w:sz w:val="25"/>
          <w:szCs w:val="25"/>
        </w:rPr>
        <w:t>Coordenadoria de Jurisprudência – CJUR</w:t>
      </w:r>
    </w:p>
    <w:p w:rsidR="00184590" w:rsidRPr="00CE7555"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CE7555">
        <w:rPr>
          <w:snapToGrid w:val="0"/>
          <w:sz w:val="25"/>
          <w:szCs w:val="25"/>
        </w:rPr>
        <w:t>Informações/Sugestões/Críticas: (61)3043</w:t>
      </w:r>
      <w:r w:rsidR="00352B27" w:rsidRPr="00CE7555">
        <w:rPr>
          <w:snapToGrid w:val="0"/>
          <w:sz w:val="25"/>
          <w:szCs w:val="25"/>
        </w:rPr>
        <w:t>-</w:t>
      </w:r>
      <w:r w:rsidRPr="00CE7555">
        <w:rPr>
          <w:snapToGrid w:val="0"/>
          <w:sz w:val="25"/>
          <w:szCs w:val="25"/>
        </w:rPr>
        <w:t>4</w:t>
      </w:r>
      <w:r w:rsidR="00D72C05" w:rsidRPr="00CE7555">
        <w:rPr>
          <w:snapToGrid w:val="0"/>
          <w:sz w:val="25"/>
          <w:szCs w:val="25"/>
        </w:rPr>
        <w:t>417</w:t>
      </w:r>
    </w:p>
    <w:p w:rsidR="007614F1" w:rsidRPr="00CE7555"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CE7555">
        <w:rPr>
          <w:snapToGrid w:val="0"/>
          <w:sz w:val="25"/>
          <w:szCs w:val="25"/>
        </w:rPr>
        <w:t>cjur@tst.jus.br</w:t>
      </w:r>
    </w:p>
    <w:sectPr w:rsidR="007614F1" w:rsidRPr="00CE7555" w:rsidSect="00D11B24">
      <w:headerReference w:type="default" r:id="rId13"/>
      <w:footerReference w:type="default" r:id="rId14"/>
      <w:headerReference w:type="first" r:id="rId15"/>
      <w:footerReference w:type="first" r:id="rId16"/>
      <w:type w:val="continuous"/>
      <w:pgSz w:w="11907" w:h="16839" w:code="9"/>
      <w:pgMar w:top="1304" w:right="1134" w:bottom="851" w:left="1134" w:header="709"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D24" w:rsidRDefault="00730D24">
      <w:r>
        <w:separator/>
      </w:r>
    </w:p>
  </w:endnote>
  <w:endnote w:type="continuationSeparator" w:id="0">
    <w:p w:rsidR="00730D24" w:rsidRDefault="00730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FE00AD">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33424">
      <w:rPr>
        <w:rStyle w:val="Nmerodepgina"/>
        <w:noProof/>
      </w:rPr>
      <w:t>2</w:t>
    </w:r>
    <w:r>
      <w:rPr>
        <w:rStyle w:val="Nmerodepgina"/>
      </w:rPr>
      <w:fldChar w:fldCharType="end"/>
    </w:r>
  </w:p>
  <w:p w:rsidR="00FE00AD" w:rsidRDefault="00187A37">
    <w:pPr>
      <w:pStyle w:val="Rodap"/>
      <w:ind w:right="360"/>
    </w:pPr>
    <w:r>
      <w:rPr>
        <w:noProof/>
      </w:rPr>
      <w:pict>
        <v:line id="_x0000_s2050" style="position:absolute;z-index:251657728" from=".9pt,-3.55pt" to="497.7pt,-3.55pt" o:allowincell="f" strokecolor="#969696"/>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187A37">
    <w:pPr>
      <w:pStyle w:val="Rodap"/>
      <w:jc w:val="right"/>
    </w:pPr>
    <w:r>
      <w:rPr>
        <w:noProof/>
      </w:rPr>
      <w:pict>
        <v:line id="_x0000_s2054" style="position:absolute;left:0;text-align:left;flip:y;z-index:251658752" from=".9pt,-3.55pt" to="497.7pt,-3.4pt" o:allowincell="f" strokecolor="#969696"/>
      </w:pict>
    </w:r>
    <w:r w:rsidR="00FE00AD">
      <w:rPr>
        <w:rStyle w:val="Nmerodepgina"/>
      </w:rPr>
      <w:fldChar w:fldCharType="begin"/>
    </w:r>
    <w:r w:rsidR="00FE00AD">
      <w:rPr>
        <w:rStyle w:val="Nmerodepgina"/>
      </w:rPr>
      <w:instrText xml:space="preserve"> PAGE </w:instrText>
    </w:r>
    <w:r w:rsidR="00FE00AD">
      <w:rPr>
        <w:rStyle w:val="Nmerodepgina"/>
      </w:rPr>
      <w:fldChar w:fldCharType="separate"/>
    </w:r>
    <w:r w:rsidR="00233424">
      <w:rPr>
        <w:rStyle w:val="Nmerodepgina"/>
        <w:noProof/>
      </w:rPr>
      <w:t>1</w:t>
    </w:r>
    <w:r w:rsidR="00FE00AD">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D24" w:rsidRDefault="00730D24">
      <w:r>
        <w:separator/>
      </w:r>
    </w:p>
  </w:footnote>
  <w:footnote w:type="continuationSeparator" w:id="0">
    <w:p w:rsidR="00730D24" w:rsidRDefault="00730D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Pr="00971E07" w:rsidRDefault="00FE00AD">
    <w:pPr>
      <w:pStyle w:val="Corpodetexto"/>
      <w:jc w:val="right"/>
      <w:rPr>
        <w:shadow/>
        <w:sz w:val="24"/>
        <w:szCs w:val="24"/>
      </w:rPr>
    </w:pPr>
    <w:r w:rsidRPr="00971E07">
      <w:rPr>
        <w:shadow/>
        <w:sz w:val="24"/>
        <w:szCs w:val="24"/>
      </w:rPr>
      <w:t xml:space="preserve">Informativo TST - </w:t>
    </w:r>
    <w:r w:rsidR="00986D77">
      <w:rPr>
        <w:shadow/>
        <w:sz w:val="24"/>
        <w:szCs w:val="24"/>
      </w:rPr>
      <w:t>n</w:t>
    </w:r>
    <w:r w:rsidRPr="00971E07">
      <w:rPr>
        <w:shadow/>
        <w:sz w:val="24"/>
        <w:szCs w:val="24"/>
      </w:rPr>
      <w:t xml:space="preserve">º </w:t>
    </w:r>
    <w:r w:rsidR="0071482A">
      <w:rPr>
        <w:shadow/>
        <w:sz w:val="24"/>
        <w:szCs w:val="24"/>
      </w:rPr>
      <w:t>121</w:t>
    </w:r>
  </w:p>
  <w:p w:rsidR="0071482A" w:rsidRPr="005D1DE4" w:rsidRDefault="0071482A" w:rsidP="0071482A">
    <w:pPr>
      <w:pStyle w:val="Cabealho"/>
      <w:jc w:val="right"/>
    </w:pPr>
    <w:r>
      <w:rPr>
        <w:i/>
        <w:iCs/>
      </w:rPr>
      <w:t>Período:27 de outubro a 3 de novembro de 2015</w:t>
    </w:r>
  </w:p>
  <w:p w:rsidR="003C0554" w:rsidRPr="003C0554" w:rsidRDefault="003C0554" w:rsidP="003C0554">
    <w:pPr>
      <w:pStyle w:val="Cabealho"/>
      <w:jc w:val="right"/>
    </w:pPr>
  </w:p>
  <w:p w:rsidR="00DB0223" w:rsidRPr="00DB0223" w:rsidRDefault="00DB0223" w:rsidP="00DB0223">
    <w:pPr>
      <w:pStyle w:val="Cabealho"/>
      <w:jc w:val="right"/>
    </w:pPr>
  </w:p>
  <w:p w:rsidR="00FE00AD" w:rsidRDefault="00FE00AD">
    <w:pPr>
      <w:pStyle w:val="Ttulo6"/>
      <w:spacing w:line="360" w:lineRule="auto"/>
      <w:jc w:val="righ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075BDB">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65.7pt;margin-top:25pt;width:381.6pt;height:36pt;z-index:251656704" o:allowincell="f" fillcolor="black">
          <v:shadow color="#868686"/>
          <v:textpath style="font-family:&quot;Times New Roman&quot;;v-text-kern:t" trim="t" fitpath="t" string="INFORMATIVO TST"/>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77.25pt">
          <v:imagedata r:id="rId1" o:title="TST LOGO"/>
        </v:shape>
      </w:pict>
    </w:r>
  </w:p>
  <w:p w:rsidR="00FE00AD" w:rsidRPr="002168DE" w:rsidRDefault="00A51749" w:rsidP="00075BDB">
    <w:pPr>
      <w:pStyle w:val="Cabealho"/>
      <w:tabs>
        <w:tab w:val="clear" w:pos="4419"/>
        <w:tab w:val="clear" w:pos="8838"/>
        <w:tab w:val="left" w:pos="2793"/>
      </w:tabs>
      <w:jc w:val="right"/>
      <w:rPr>
        <w:b/>
        <w:sz w:val="40"/>
        <w:szCs w:val="40"/>
      </w:rPr>
    </w:pPr>
    <w:r>
      <w:tab/>
    </w:r>
    <w:r w:rsidR="00075BDB">
      <w:tab/>
    </w:r>
    <w:r w:rsidR="00075BDB">
      <w:tab/>
    </w:r>
    <w:r w:rsidR="00075BDB">
      <w:tab/>
    </w:r>
    <w:r w:rsidR="00075BDB">
      <w:tab/>
    </w:r>
    <w:r w:rsidR="00075BDB">
      <w:tab/>
    </w:r>
    <w:r w:rsidR="00FE00AD" w:rsidRPr="002168DE">
      <w:rPr>
        <w:b/>
        <w:sz w:val="40"/>
        <w:szCs w:val="40"/>
      </w:rPr>
      <w:t xml:space="preserve">Nº </w:t>
    </w:r>
    <w:r w:rsidR="00457385">
      <w:rPr>
        <w:b/>
        <w:sz w:val="40"/>
        <w:szCs w:val="40"/>
      </w:rPr>
      <w:t>121</w:t>
    </w:r>
  </w:p>
  <w:p w:rsidR="00FE00AD" w:rsidRPr="005D1DE4" w:rsidRDefault="00FE00AD">
    <w:pPr>
      <w:pStyle w:val="Cabealho"/>
      <w:jc w:val="right"/>
      <w:rPr>
        <w:i/>
        <w:iCs/>
        <w:sz w:val="10"/>
        <w:szCs w:val="10"/>
      </w:rPr>
    </w:pPr>
  </w:p>
  <w:p w:rsidR="00FE00AD" w:rsidRPr="005D1DE4" w:rsidRDefault="002168DE">
    <w:pPr>
      <w:pStyle w:val="Cabealho"/>
      <w:jc w:val="right"/>
    </w:pPr>
    <w:r>
      <w:rPr>
        <w:i/>
        <w:iCs/>
      </w:rPr>
      <w:t>Período:</w:t>
    </w:r>
    <w:r w:rsidR="00347BCC">
      <w:rPr>
        <w:i/>
        <w:iCs/>
      </w:rPr>
      <w:t>27 de outubr</w:t>
    </w:r>
    <w:r w:rsidR="001305ED">
      <w:rPr>
        <w:i/>
        <w:iCs/>
      </w:rPr>
      <w:t>o</w:t>
    </w:r>
    <w:r w:rsidR="00347BCC">
      <w:rPr>
        <w:i/>
        <w:iCs/>
      </w:rPr>
      <w:t xml:space="preserve"> a 3 de novembro</w:t>
    </w:r>
    <w:r w:rsidR="00BC54BC">
      <w:rPr>
        <w:i/>
        <w:iCs/>
      </w:rPr>
      <w:t xml:space="preserve"> </w:t>
    </w:r>
    <w:r w:rsidR="004A094C">
      <w:rPr>
        <w:i/>
        <w:iCs/>
      </w:rPr>
      <w:t>de 201</w:t>
    </w:r>
    <w:r w:rsidR="00C54185">
      <w:rPr>
        <w:i/>
        <w:iCs/>
      </w:rPr>
      <w:t>5</w:t>
    </w:r>
  </w:p>
  <w:p w:rsidR="00FE00AD" w:rsidRDefault="00FE00AD" w:rsidP="00631F1C">
    <w:pPr>
      <w:pStyle w:val="Cabealho"/>
      <w:pBdr>
        <w:bottom w:val="single" w:sz="4" w:space="1" w:color="auto"/>
      </w:pBdr>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08C3"/>
    <w:multiLevelType w:val="multilevel"/>
    <w:tmpl w:val="1292BA3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1C61C72"/>
    <w:multiLevelType w:val="multilevel"/>
    <w:tmpl w:val="E452BD52"/>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5986985"/>
    <w:multiLevelType w:val="multilevel"/>
    <w:tmpl w:val="D854AEF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36FE"/>
    <w:rsid w:val="00004C36"/>
    <w:rsid w:val="000228E6"/>
    <w:rsid w:val="00024CE9"/>
    <w:rsid w:val="00032056"/>
    <w:rsid w:val="000322FB"/>
    <w:rsid w:val="000425FC"/>
    <w:rsid w:val="00050E85"/>
    <w:rsid w:val="00056752"/>
    <w:rsid w:val="00057B87"/>
    <w:rsid w:val="0006020E"/>
    <w:rsid w:val="000733B4"/>
    <w:rsid w:val="00073880"/>
    <w:rsid w:val="00075BDB"/>
    <w:rsid w:val="00080F10"/>
    <w:rsid w:val="000858FB"/>
    <w:rsid w:val="0009237D"/>
    <w:rsid w:val="00093AE9"/>
    <w:rsid w:val="00093BA8"/>
    <w:rsid w:val="000A04E6"/>
    <w:rsid w:val="000A4C94"/>
    <w:rsid w:val="000B2973"/>
    <w:rsid w:val="000B4D41"/>
    <w:rsid w:val="000B67DF"/>
    <w:rsid w:val="000B7CDE"/>
    <w:rsid w:val="000C3022"/>
    <w:rsid w:val="000C58F4"/>
    <w:rsid w:val="000C5AC6"/>
    <w:rsid w:val="000C672B"/>
    <w:rsid w:val="000E0A91"/>
    <w:rsid w:val="000E1DC1"/>
    <w:rsid w:val="0011575C"/>
    <w:rsid w:val="0011692E"/>
    <w:rsid w:val="001305ED"/>
    <w:rsid w:val="00137564"/>
    <w:rsid w:val="00137DC1"/>
    <w:rsid w:val="00142C28"/>
    <w:rsid w:val="0015612D"/>
    <w:rsid w:val="00161CDE"/>
    <w:rsid w:val="00163142"/>
    <w:rsid w:val="00176D15"/>
    <w:rsid w:val="00184590"/>
    <w:rsid w:val="00187A37"/>
    <w:rsid w:val="0019151D"/>
    <w:rsid w:val="00193208"/>
    <w:rsid w:val="00197B15"/>
    <w:rsid w:val="001C04D2"/>
    <w:rsid w:val="001C21FB"/>
    <w:rsid w:val="001C271F"/>
    <w:rsid w:val="001C6C93"/>
    <w:rsid w:val="001D4CF9"/>
    <w:rsid w:val="001D5AB0"/>
    <w:rsid w:val="001D757D"/>
    <w:rsid w:val="001E14A9"/>
    <w:rsid w:val="001E14BB"/>
    <w:rsid w:val="001E4B57"/>
    <w:rsid w:val="001E5BD1"/>
    <w:rsid w:val="001E713B"/>
    <w:rsid w:val="001E79B4"/>
    <w:rsid w:val="001F030F"/>
    <w:rsid w:val="001F45E0"/>
    <w:rsid w:val="00206810"/>
    <w:rsid w:val="002168DE"/>
    <w:rsid w:val="00224AC2"/>
    <w:rsid w:val="00233424"/>
    <w:rsid w:val="0023559D"/>
    <w:rsid w:val="002402B0"/>
    <w:rsid w:val="002449F9"/>
    <w:rsid w:val="00257B4A"/>
    <w:rsid w:val="002635ED"/>
    <w:rsid w:val="002662BA"/>
    <w:rsid w:val="00266D49"/>
    <w:rsid w:val="002712B3"/>
    <w:rsid w:val="00271C5C"/>
    <w:rsid w:val="00271E67"/>
    <w:rsid w:val="002730B5"/>
    <w:rsid w:val="002766D5"/>
    <w:rsid w:val="00276EA0"/>
    <w:rsid w:val="00280594"/>
    <w:rsid w:val="00285064"/>
    <w:rsid w:val="002A219D"/>
    <w:rsid w:val="002A521A"/>
    <w:rsid w:val="002A546D"/>
    <w:rsid w:val="002B4738"/>
    <w:rsid w:val="002B6377"/>
    <w:rsid w:val="002C2904"/>
    <w:rsid w:val="002E78CB"/>
    <w:rsid w:val="002F28E5"/>
    <w:rsid w:val="0033397A"/>
    <w:rsid w:val="00347BCC"/>
    <w:rsid w:val="00352B27"/>
    <w:rsid w:val="0035374D"/>
    <w:rsid w:val="00363255"/>
    <w:rsid w:val="0036325E"/>
    <w:rsid w:val="003671FE"/>
    <w:rsid w:val="003708FD"/>
    <w:rsid w:val="003745DE"/>
    <w:rsid w:val="0037667D"/>
    <w:rsid w:val="00380212"/>
    <w:rsid w:val="00383A89"/>
    <w:rsid w:val="00384075"/>
    <w:rsid w:val="003908C5"/>
    <w:rsid w:val="00396053"/>
    <w:rsid w:val="00396C88"/>
    <w:rsid w:val="003A4086"/>
    <w:rsid w:val="003A5E5B"/>
    <w:rsid w:val="003B045C"/>
    <w:rsid w:val="003B0A59"/>
    <w:rsid w:val="003B3EB5"/>
    <w:rsid w:val="003B4E23"/>
    <w:rsid w:val="003B767E"/>
    <w:rsid w:val="003C0554"/>
    <w:rsid w:val="003C1AB7"/>
    <w:rsid w:val="003C6FE7"/>
    <w:rsid w:val="003D032E"/>
    <w:rsid w:val="003D4205"/>
    <w:rsid w:val="003F2078"/>
    <w:rsid w:val="0042772A"/>
    <w:rsid w:val="004323B0"/>
    <w:rsid w:val="00444E88"/>
    <w:rsid w:val="004477EC"/>
    <w:rsid w:val="00450BAD"/>
    <w:rsid w:val="0045657C"/>
    <w:rsid w:val="00457385"/>
    <w:rsid w:val="004655CC"/>
    <w:rsid w:val="00466DB9"/>
    <w:rsid w:val="00470EF8"/>
    <w:rsid w:val="00486521"/>
    <w:rsid w:val="00486DFC"/>
    <w:rsid w:val="004922D6"/>
    <w:rsid w:val="004A094C"/>
    <w:rsid w:val="004A14FC"/>
    <w:rsid w:val="004A5264"/>
    <w:rsid w:val="004A5908"/>
    <w:rsid w:val="004A7C59"/>
    <w:rsid w:val="004B21AD"/>
    <w:rsid w:val="004C011C"/>
    <w:rsid w:val="004C14EA"/>
    <w:rsid w:val="004C2118"/>
    <w:rsid w:val="004C2612"/>
    <w:rsid w:val="004D6000"/>
    <w:rsid w:val="004D6415"/>
    <w:rsid w:val="004D71E8"/>
    <w:rsid w:val="004E393E"/>
    <w:rsid w:val="004E4507"/>
    <w:rsid w:val="004E4619"/>
    <w:rsid w:val="004F0A7D"/>
    <w:rsid w:val="00513789"/>
    <w:rsid w:val="0051538E"/>
    <w:rsid w:val="00517E01"/>
    <w:rsid w:val="00521EEC"/>
    <w:rsid w:val="00543B94"/>
    <w:rsid w:val="005460BD"/>
    <w:rsid w:val="005521C8"/>
    <w:rsid w:val="00553197"/>
    <w:rsid w:val="0055409E"/>
    <w:rsid w:val="00556367"/>
    <w:rsid w:val="00556B35"/>
    <w:rsid w:val="00573E13"/>
    <w:rsid w:val="005811A4"/>
    <w:rsid w:val="00584F82"/>
    <w:rsid w:val="00591DFA"/>
    <w:rsid w:val="005A30AA"/>
    <w:rsid w:val="005A5695"/>
    <w:rsid w:val="005B0A1C"/>
    <w:rsid w:val="005B2F00"/>
    <w:rsid w:val="005B3792"/>
    <w:rsid w:val="005B57DE"/>
    <w:rsid w:val="005C1886"/>
    <w:rsid w:val="005C20B9"/>
    <w:rsid w:val="005C761E"/>
    <w:rsid w:val="005D0E5F"/>
    <w:rsid w:val="005D1DE4"/>
    <w:rsid w:val="005E35BD"/>
    <w:rsid w:val="005E3D4D"/>
    <w:rsid w:val="005E7FD1"/>
    <w:rsid w:val="005F0545"/>
    <w:rsid w:val="005F2858"/>
    <w:rsid w:val="006002E3"/>
    <w:rsid w:val="006145AC"/>
    <w:rsid w:val="00615F98"/>
    <w:rsid w:val="006207F5"/>
    <w:rsid w:val="00621F9C"/>
    <w:rsid w:val="00631166"/>
    <w:rsid w:val="00631F1C"/>
    <w:rsid w:val="006366A4"/>
    <w:rsid w:val="00643B60"/>
    <w:rsid w:val="006456B1"/>
    <w:rsid w:val="006564EC"/>
    <w:rsid w:val="0066084C"/>
    <w:rsid w:val="00661B23"/>
    <w:rsid w:val="00672CF9"/>
    <w:rsid w:val="00672E11"/>
    <w:rsid w:val="0068273B"/>
    <w:rsid w:val="00691234"/>
    <w:rsid w:val="006931CC"/>
    <w:rsid w:val="006947F2"/>
    <w:rsid w:val="00697919"/>
    <w:rsid w:val="006B3FCF"/>
    <w:rsid w:val="006B46CA"/>
    <w:rsid w:val="006C0391"/>
    <w:rsid w:val="006C28B3"/>
    <w:rsid w:val="006D1F66"/>
    <w:rsid w:val="006D306E"/>
    <w:rsid w:val="006D4497"/>
    <w:rsid w:val="006E7843"/>
    <w:rsid w:val="006F6C15"/>
    <w:rsid w:val="00700B1B"/>
    <w:rsid w:val="0070727E"/>
    <w:rsid w:val="00710D3A"/>
    <w:rsid w:val="0071315F"/>
    <w:rsid w:val="0071482A"/>
    <w:rsid w:val="00721942"/>
    <w:rsid w:val="00722BE7"/>
    <w:rsid w:val="00730D24"/>
    <w:rsid w:val="00732DF2"/>
    <w:rsid w:val="007614F1"/>
    <w:rsid w:val="007618C5"/>
    <w:rsid w:val="00764066"/>
    <w:rsid w:val="00766B7B"/>
    <w:rsid w:val="00776118"/>
    <w:rsid w:val="00786375"/>
    <w:rsid w:val="007B0F83"/>
    <w:rsid w:val="007C0A4F"/>
    <w:rsid w:val="007D29A1"/>
    <w:rsid w:val="007D469A"/>
    <w:rsid w:val="007E0EA7"/>
    <w:rsid w:val="007E3F23"/>
    <w:rsid w:val="007F142E"/>
    <w:rsid w:val="007F66BC"/>
    <w:rsid w:val="007F7B5E"/>
    <w:rsid w:val="00802B1A"/>
    <w:rsid w:val="00805CD2"/>
    <w:rsid w:val="0080615C"/>
    <w:rsid w:val="0081027F"/>
    <w:rsid w:val="0081742D"/>
    <w:rsid w:val="00817AB1"/>
    <w:rsid w:val="00821F4D"/>
    <w:rsid w:val="00823906"/>
    <w:rsid w:val="008409D3"/>
    <w:rsid w:val="00845559"/>
    <w:rsid w:val="00854DB8"/>
    <w:rsid w:val="00854EF2"/>
    <w:rsid w:val="008627C6"/>
    <w:rsid w:val="00863B86"/>
    <w:rsid w:val="00871F69"/>
    <w:rsid w:val="008842D0"/>
    <w:rsid w:val="00884AC4"/>
    <w:rsid w:val="0088579D"/>
    <w:rsid w:val="008A68E7"/>
    <w:rsid w:val="008A7953"/>
    <w:rsid w:val="008B3081"/>
    <w:rsid w:val="008B32D4"/>
    <w:rsid w:val="008C7AD0"/>
    <w:rsid w:val="008D0020"/>
    <w:rsid w:val="008D3C38"/>
    <w:rsid w:val="008D3C4B"/>
    <w:rsid w:val="008D6A05"/>
    <w:rsid w:val="008E2AE5"/>
    <w:rsid w:val="008E3F89"/>
    <w:rsid w:val="008F26CB"/>
    <w:rsid w:val="008F6509"/>
    <w:rsid w:val="008F79D9"/>
    <w:rsid w:val="009027C8"/>
    <w:rsid w:val="0093467A"/>
    <w:rsid w:val="009353F1"/>
    <w:rsid w:val="0094155C"/>
    <w:rsid w:val="00951531"/>
    <w:rsid w:val="00960A3B"/>
    <w:rsid w:val="00967DE0"/>
    <w:rsid w:val="00971E07"/>
    <w:rsid w:val="00980944"/>
    <w:rsid w:val="00986D77"/>
    <w:rsid w:val="00993A6E"/>
    <w:rsid w:val="009943EC"/>
    <w:rsid w:val="009A32D5"/>
    <w:rsid w:val="009B6012"/>
    <w:rsid w:val="009C102D"/>
    <w:rsid w:val="009C2A4F"/>
    <w:rsid w:val="009D4C59"/>
    <w:rsid w:val="009D7F91"/>
    <w:rsid w:val="009E20EF"/>
    <w:rsid w:val="009E26EE"/>
    <w:rsid w:val="009F21A2"/>
    <w:rsid w:val="00A00D70"/>
    <w:rsid w:val="00A00DEE"/>
    <w:rsid w:val="00A32FBF"/>
    <w:rsid w:val="00A407EA"/>
    <w:rsid w:val="00A51749"/>
    <w:rsid w:val="00A521B6"/>
    <w:rsid w:val="00A56962"/>
    <w:rsid w:val="00A6412C"/>
    <w:rsid w:val="00A6615C"/>
    <w:rsid w:val="00A75419"/>
    <w:rsid w:val="00A76661"/>
    <w:rsid w:val="00A76D2A"/>
    <w:rsid w:val="00A82081"/>
    <w:rsid w:val="00A8557E"/>
    <w:rsid w:val="00A91181"/>
    <w:rsid w:val="00A935AC"/>
    <w:rsid w:val="00AA3DE0"/>
    <w:rsid w:val="00AB299E"/>
    <w:rsid w:val="00AB507C"/>
    <w:rsid w:val="00AD6E76"/>
    <w:rsid w:val="00AE3EAA"/>
    <w:rsid w:val="00AE5EDF"/>
    <w:rsid w:val="00AE758A"/>
    <w:rsid w:val="00B06261"/>
    <w:rsid w:val="00B14F7F"/>
    <w:rsid w:val="00B16EB9"/>
    <w:rsid w:val="00B22F24"/>
    <w:rsid w:val="00B22F53"/>
    <w:rsid w:val="00B24DBE"/>
    <w:rsid w:val="00B34EB2"/>
    <w:rsid w:val="00B4728A"/>
    <w:rsid w:val="00B517C3"/>
    <w:rsid w:val="00B518B2"/>
    <w:rsid w:val="00B526EA"/>
    <w:rsid w:val="00B536FE"/>
    <w:rsid w:val="00B73FFA"/>
    <w:rsid w:val="00B74A6E"/>
    <w:rsid w:val="00B82CC4"/>
    <w:rsid w:val="00B838C3"/>
    <w:rsid w:val="00B874F1"/>
    <w:rsid w:val="00BC1DE7"/>
    <w:rsid w:val="00BC2C67"/>
    <w:rsid w:val="00BC54BC"/>
    <w:rsid w:val="00BC5AEE"/>
    <w:rsid w:val="00BD2A95"/>
    <w:rsid w:val="00BD2CA9"/>
    <w:rsid w:val="00BD6029"/>
    <w:rsid w:val="00BE0541"/>
    <w:rsid w:val="00BE1ADB"/>
    <w:rsid w:val="00BF0693"/>
    <w:rsid w:val="00C070DE"/>
    <w:rsid w:val="00C26DFB"/>
    <w:rsid w:val="00C273FA"/>
    <w:rsid w:val="00C30D06"/>
    <w:rsid w:val="00C42067"/>
    <w:rsid w:val="00C432D0"/>
    <w:rsid w:val="00C4398E"/>
    <w:rsid w:val="00C54185"/>
    <w:rsid w:val="00C57E92"/>
    <w:rsid w:val="00C60B4A"/>
    <w:rsid w:val="00C65BDB"/>
    <w:rsid w:val="00C66C95"/>
    <w:rsid w:val="00C71A3B"/>
    <w:rsid w:val="00C76CFA"/>
    <w:rsid w:val="00C819C8"/>
    <w:rsid w:val="00C87D5B"/>
    <w:rsid w:val="00C963F8"/>
    <w:rsid w:val="00C96BB1"/>
    <w:rsid w:val="00CA2F80"/>
    <w:rsid w:val="00CB0C2A"/>
    <w:rsid w:val="00CC4B2B"/>
    <w:rsid w:val="00CC579C"/>
    <w:rsid w:val="00CC5F5F"/>
    <w:rsid w:val="00CC6BEC"/>
    <w:rsid w:val="00CC743B"/>
    <w:rsid w:val="00CD3460"/>
    <w:rsid w:val="00CD4B61"/>
    <w:rsid w:val="00CD5043"/>
    <w:rsid w:val="00CE2928"/>
    <w:rsid w:val="00CE314A"/>
    <w:rsid w:val="00CE5865"/>
    <w:rsid w:val="00CE7555"/>
    <w:rsid w:val="00CF3D9D"/>
    <w:rsid w:val="00D01C50"/>
    <w:rsid w:val="00D11B24"/>
    <w:rsid w:val="00D11C18"/>
    <w:rsid w:val="00D133C8"/>
    <w:rsid w:val="00D14DB8"/>
    <w:rsid w:val="00D17339"/>
    <w:rsid w:val="00D244D5"/>
    <w:rsid w:val="00D2776A"/>
    <w:rsid w:val="00D30F07"/>
    <w:rsid w:val="00D413DB"/>
    <w:rsid w:val="00D420E2"/>
    <w:rsid w:val="00D4459D"/>
    <w:rsid w:val="00D573F9"/>
    <w:rsid w:val="00D6058B"/>
    <w:rsid w:val="00D62D9E"/>
    <w:rsid w:val="00D63EC5"/>
    <w:rsid w:val="00D64BC3"/>
    <w:rsid w:val="00D72C05"/>
    <w:rsid w:val="00D73575"/>
    <w:rsid w:val="00D735BF"/>
    <w:rsid w:val="00D77672"/>
    <w:rsid w:val="00D80222"/>
    <w:rsid w:val="00D847CF"/>
    <w:rsid w:val="00D9591E"/>
    <w:rsid w:val="00DA0816"/>
    <w:rsid w:val="00DA0A99"/>
    <w:rsid w:val="00DA0A9D"/>
    <w:rsid w:val="00DA7603"/>
    <w:rsid w:val="00DA7E39"/>
    <w:rsid w:val="00DA7EDE"/>
    <w:rsid w:val="00DB0223"/>
    <w:rsid w:val="00DB047C"/>
    <w:rsid w:val="00DC0AB5"/>
    <w:rsid w:val="00DC3451"/>
    <w:rsid w:val="00DC50EB"/>
    <w:rsid w:val="00DD19F4"/>
    <w:rsid w:val="00DD3FA0"/>
    <w:rsid w:val="00DE5B2D"/>
    <w:rsid w:val="00DE5CE9"/>
    <w:rsid w:val="00E03064"/>
    <w:rsid w:val="00E04BD5"/>
    <w:rsid w:val="00E070D2"/>
    <w:rsid w:val="00E100F5"/>
    <w:rsid w:val="00E1539C"/>
    <w:rsid w:val="00E162B6"/>
    <w:rsid w:val="00E16E01"/>
    <w:rsid w:val="00E24A50"/>
    <w:rsid w:val="00E31469"/>
    <w:rsid w:val="00E35639"/>
    <w:rsid w:val="00E432CC"/>
    <w:rsid w:val="00E50711"/>
    <w:rsid w:val="00E52522"/>
    <w:rsid w:val="00E60AD3"/>
    <w:rsid w:val="00E60EDA"/>
    <w:rsid w:val="00E62BBC"/>
    <w:rsid w:val="00E9503C"/>
    <w:rsid w:val="00E956D9"/>
    <w:rsid w:val="00EA1958"/>
    <w:rsid w:val="00EA29F5"/>
    <w:rsid w:val="00EA482D"/>
    <w:rsid w:val="00EB5FE6"/>
    <w:rsid w:val="00EB61A5"/>
    <w:rsid w:val="00EB6C1B"/>
    <w:rsid w:val="00EB7A09"/>
    <w:rsid w:val="00EC0EDC"/>
    <w:rsid w:val="00EC5AF4"/>
    <w:rsid w:val="00ED661C"/>
    <w:rsid w:val="00EE41B5"/>
    <w:rsid w:val="00EE66C9"/>
    <w:rsid w:val="00EF11A9"/>
    <w:rsid w:val="00EF38E1"/>
    <w:rsid w:val="00EF454B"/>
    <w:rsid w:val="00EF749A"/>
    <w:rsid w:val="00EF771E"/>
    <w:rsid w:val="00F02565"/>
    <w:rsid w:val="00F05542"/>
    <w:rsid w:val="00F06855"/>
    <w:rsid w:val="00F17A2C"/>
    <w:rsid w:val="00F21A70"/>
    <w:rsid w:val="00F26708"/>
    <w:rsid w:val="00F45608"/>
    <w:rsid w:val="00F511EE"/>
    <w:rsid w:val="00F55574"/>
    <w:rsid w:val="00F558E7"/>
    <w:rsid w:val="00F62016"/>
    <w:rsid w:val="00F63F44"/>
    <w:rsid w:val="00F6746D"/>
    <w:rsid w:val="00F811CD"/>
    <w:rsid w:val="00F82D8F"/>
    <w:rsid w:val="00F83F62"/>
    <w:rsid w:val="00F9711D"/>
    <w:rsid w:val="00FA011F"/>
    <w:rsid w:val="00FA7544"/>
    <w:rsid w:val="00FA75E0"/>
    <w:rsid w:val="00FA7771"/>
    <w:rsid w:val="00FB20B1"/>
    <w:rsid w:val="00FB3AB4"/>
    <w:rsid w:val="00FB6188"/>
    <w:rsid w:val="00FC35EC"/>
    <w:rsid w:val="00FC56A4"/>
    <w:rsid w:val="00FD029A"/>
    <w:rsid w:val="00FD3D06"/>
    <w:rsid w:val="00FD5662"/>
    <w:rsid w:val="00FD72B6"/>
    <w:rsid w:val="00FE00AD"/>
    <w:rsid w:val="00FE206E"/>
    <w:rsid w:val="00FE499F"/>
    <w:rsid w:val="00FF6D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99"/>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uiPriority w:val="99"/>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uiPriority w:val="99"/>
    <w:pPr>
      <w:jc w:val="both"/>
    </w:pPr>
    <w:rPr>
      <w:rFonts w:ascii="Courier New" w:hAnsi="Courier New" w:cs="Courier New"/>
      <w:color w:val="000000"/>
      <w:sz w:val="24"/>
      <w:szCs w:val="24"/>
      <w:lang w:val="en-US"/>
    </w:rPr>
  </w:style>
  <w:style w:type="paragraph" w:customStyle="1" w:styleId="Corpo">
    <w:name w:val="Corpo"/>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uiPriority w:val="99"/>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ind w:left="737" w:hanging="907"/>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99"/>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731398">
      <w:marLeft w:val="0"/>
      <w:marRight w:val="0"/>
      <w:marTop w:val="0"/>
      <w:marBottom w:val="0"/>
      <w:divBdr>
        <w:top w:val="none" w:sz="0" w:space="0" w:color="auto"/>
        <w:left w:val="none" w:sz="0" w:space="0" w:color="auto"/>
        <w:bottom w:val="none" w:sz="0" w:space="0" w:color="auto"/>
        <w:right w:val="none" w:sz="0" w:space="0" w:color="auto"/>
      </w:divBdr>
    </w:div>
    <w:div w:id="1321731399">
      <w:marLeft w:val="0"/>
      <w:marRight w:val="0"/>
      <w:marTop w:val="0"/>
      <w:marBottom w:val="0"/>
      <w:divBdr>
        <w:top w:val="none" w:sz="0" w:space="0" w:color="auto"/>
        <w:left w:val="none" w:sz="0" w:space="0" w:color="auto"/>
        <w:bottom w:val="none" w:sz="0" w:space="0" w:color="auto"/>
        <w:right w:val="none" w:sz="0" w:space="0" w:color="auto"/>
      </w:divBdr>
    </w:div>
    <w:div w:id="1321731400">
      <w:marLeft w:val="0"/>
      <w:marRight w:val="0"/>
      <w:marTop w:val="0"/>
      <w:marBottom w:val="0"/>
      <w:divBdr>
        <w:top w:val="none" w:sz="0" w:space="0" w:color="auto"/>
        <w:left w:val="none" w:sz="0" w:space="0" w:color="auto"/>
        <w:bottom w:val="none" w:sz="0" w:space="0" w:color="auto"/>
        <w:right w:val="none" w:sz="0" w:space="0" w:color="auto"/>
      </w:divBdr>
    </w:div>
    <w:div w:id="1321731401">
      <w:marLeft w:val="0"/>
      <w:marRight w:val="0"/>
      <w:marTop w:val="0"/>
      <w:marBottom w:val="0"/>
      <w:divBdr>
        <w:top w:val="none" w:sz="0" w:space="0" w:color="auto"/>
        <w:left w:val="none" w:sz="0" w:space="0" w:color="auto"/>
        <w:bottom w:val="none" w:sz="0" w:space="0" w:color="auto"/>
        <w:right w:val="none" w:sz="0" w:space="0" w:color="auto"/>
      </w:divBdr>
    </w:div>
    <w:div w:id="1321731402">
      <w:marLeft w:val="0"/>
      <w:marRight w:val="0"/>
      <w:marTop w:val="0"/>
      <w:marBottom w:val="0"/>
      <w:divBdr>
        <w:top w:val="none" w:sz="0" w:space="0" w:color="auto"/>
        <w:left w:val="none" w:sz="0" w:space="0" w:color="auto"/>
        <w:bottom w:val="none" w:sz="0" w:space="0" w:color="auto"/>
        <w:right w:val="none" w:sz="0" w:space="0" w:color="auto"/>
      </w:divBdr>
    </w:div>
    <w:div w:id="1321731403">
      <w:marLeft w:val="0"/>
      <w:marRight w:val="0"/>
      <w:marTop w:val="0"/>
      <w:marBottom w:val="0"/>
      <w:divBdr>
        <w:top w:val="none" w:sz="0" w:space="0" w:color="auto"/>
        <w:left w:val="none" w:sz="0" w:space="0" w:color="auto"/>
        <w:bottom w:val="none" w:sz="0" w:space="0" w:color="auto"/>
        <w:right w:val="none" w:sz="0" w:space="0" w:color="auto"/>
      </w:divBdr>
    </w:div>
    <w:div w:id="1321731404">
      <w:marLeft w:val="0"/>
      <w:marRight w:val="0"/>
      <w:marTop w:val="0"/>
      <w:marBottom w:val="0"/>
      <w:divBdr>
        <w:top w:val="none" w:sz="0" w:space="0" w:color="auto"/>
        <w:left w:val="none" w:sz="0" w:space="0" w:color="auto"/>
        <w:bottom w:val="none" w:sz="0" w:space="0" w:color="auto"/>
        <w:right w:val="none" w:sz="0" w:space="0" w:color="auto"/>
      </w:divBdr>
    </w:div>
    <w:div w:id="1321731405">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aplicacao4.tst.jus.br/consultaProcessual/consultaTstNumUnica.do?consulta=Consultar&amp;conscsjt=&amp;numeroTst=22800&amp;digitoTst=62&amp;anoTst=2013&amp;orgaoTst=5&amp;tribunalTst=13&amp;varaTst=0007"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plicacao4.tst.jus.br/consultaProcessual/consultaTstNumUnica.do?consulta=Consultar&amp;conscsjt=&amp;numeroTst=1280&amp;digitoTst=41&amp;anoTst=2012&amp;orgaoTst=5&amp;tribunalTst=04&amp;varaTst=000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licacao4.tst.jus.br/consultaProcessual/consultaTstNumUnica.do?consulta=Consultar&amp;conscsjt=&amp;numeroTst=775&amp;digitoTst=66&amp;anoTst=2013&amp;orgaoTst=5&amp;tribunalTst=07&amp;varaTst=0025"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aplicacao4.tst.jus.br/consultaProcessual/consultaTstNumUnica.do?consulta=Consultar&amp;conscsjt=&amp;numeroTst=127600&amp;digitoTst=85&amp;anoTst=2007&amp;orgaoTst=5&amp;tribunalTst=04&amp;varaTst=0401" TargetMode="External"/><Relationship Id="rId4" Type="http://schemas.openxmlformats.org/officeDocument/2006/relationships/settings" Target="settings.xml"/><Relationship Id="rId9" Type="http://schemas.openxmlformats.org/officeDocument/2006/relationships/hyperlink" Target="http://aplicacao4.tst.jus.br/consultaProcessual/consultaTstNumUnica.do?consulta=Consultar&amp;conscsjt=&amp;numeroTst=367400&amp;digitoTst=80&amp;anoTst=2009&amp;orgaoTst=5&amp;tribunalTst=12&amp;varaTst=0034"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1193F-C5B2-4713-886B-369DE5198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1239</Words>
  <Characters>6696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Este Informativo, elaborado a partir de notas tomadas nas sessões de julgamentos, contém resumos não-oficiais de decisões proferidas pelo Tribunal</vt:lpstr>
    </vt:vector>
  </TitlesOfParts>
  <Company>Tribunal Superior do Trabalho</Company>
  <LinksUpToDate>false</LinksUpToDate>
  <CharactersWithSpaces>7920</CharactersWithSpaces>
  <SharedDoc>false</SharedDoc>
  <HLinks>
    <vt:vector size="30" baseType="variant">
      <vt:variant>
        <vt:i4>2097276</vt:i4>
      </vt:variant>
      <vt:variant>
        <vt:i4>12</vt:i4>
      </vt:variant>
      <vt:variant>
        <vt:i4>0</vt:i4>
      </vt:variant>
      <vt:variant>
        <vt:i4>5</vt:i4>
      </vt:variant>
      <vt:variant>
        <vt:lpwstr>http://aplicacao4.tst.jus.br/consultaProcessual/consultaTstNumUnica.do?consulta=Consultar&amp;conscsjt=&amp;numeroTst=1280&amp;digitoTst=41&amp;anoTst=2012&amp;orgaoTst=5&amp;tribunalTst=04&amp;varaTst=0004</vt:lpwstr>
      </vt:variant>
      <vt:variant>
        <vt:lpwstr/>
      </vt:variant>
      <vt:variant>
        <vt:i4>5767179</vt:i4>
      </vt:variant>
      <vt:variant>
        <vt:i4>9</vt:i4>
      </vt:variant>
      <vt:variant>
        <vt:i4>0</vt:i4>
      </vt:variant>
      <vt:variant>
        <vt:i4>5</vt:i4>
      </vt:variant>
      <vt:variant>
        <vt:lpwstr>http://aplicacao4.tst.jus.br/consultaProcessual/consultaTstNumUnica.do?consulta=Consultar&amp;conscsjt=&amp;numeroTst=775&amp;digitoTst=66&amp;anoTst=2013&amp;orgaoTst=5&amp;tribunalTst=07&amp;varaTst=0025</vt:lpwstr>
      </vt:variant>
      <vt:variant>
        <vt:lpwstr/>
      </vt:variant>
      <vt:variant>
        <vt:i4>1704002</vt:i4>
      </vt:variant>
      <vt:variant>
        <vt:i4>6</vt:i4>
      </vt:variant>
      <vt:variant>
        <vt:i4>0</vt:i4>
      </vt:variant>
      <vt:variant>
        <vt:i4>5</vt:i4>
      </vt:variant>
      <vt:variant>
        <vt:lpwstr>http://aplicacao4.tst.jus.br/consultaProcessual/consultaTstNumUnica.do?consulta=Consultar&amp;conscsjt=&amp;numeroTst=127600&amp;digitoTst=85&amp;anoTst=2007&amp;orgaoTst=5&amp;tribunalTst=04&amp;varaTst=0401</vt:lpwstr>
      </vt:variant>
      <vt:variant>
        <vt:lpwstr/>
      </vt:variant>
      <vt:variant>
        <vt:i4>1835086</vt:i4>
      </vt:variant>
      <vt:variant>
        <vt:i4>3</vt:i4>
      </vt:variant>
      <vt:variant>
        <vt:i4>0</vt:i4>
      </vt:variant>
      <vt:variant>
        <vt:i4>5</vt:i4>
      </vt:variant>
      <vt:variant>
        <vt:lpwstr>http://aplicacao4.tst.jus.br/consultaProcessual/consultaTstNumUnica.do?consulta=Consultar&amp;conscsjt=&amp;numeroTst=367400&amp;digitoTst=80&amp;anoTst=2009&amp;orgaoTst=5&amp;tribunalTst=12&amp;varaTst=0034</vt:lpwstr>
      </vt:variant>
      <vt:variant>
        <vt:lpwstr/>
      </vt:variant>
      <vt:variant>
        <vt:i4>7274546</vt:i4>
      </vt:variant>
      <vt:variant>
        <vt:i4>0</vt:i4>
      </vt:variant>
      <vt:variant>
        <vt:i4>0</vt:i4>
      </vt:variant>
      <vt:variant>
        <vt:i4>5</vt:i4>
      </vt:variant>
      <vt:variant>
        <vt:lpwstr>http://aplicacao4.tst.jus.br/consultaProcessual/consultaTstNumUnica.do?consulta=Consultar&amp;conscsjt=&amp;numeroTst=22800&amp;digitoTst=62&amp;anoTst=2013&amp;orgaoTst=5&amp;tribunalTst=13&amp;varaTst=0007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Informativo, elaborado a partir de notas tomadas nas sessões de julgamentos, contém resumos não-oficiais de decisões proferidas pelo Tribunal</dc:title>
  <dc:subject/>
  <dc:creator>C037163</dc:creator>
  <cp:keywords/>
  <cp:lastModifiedBy>c041658</cp:lastModifiedBy>
  <cp:revision>2</cp:revision>
  <cp:lastPrinted>2015-09-17T19:37:00Z</cp:lastPrinted>
  <dcterms:created xsi:type="dcterms:W3CDTF">2018-06-27T21:49:00Z</dcterms:created>
  <dcterms:modified xsi:type="dcterms:W3CDTF">2018-06-27T21:49:00Z</dcterms:modified>
</cp:coreProperties>
</file>