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CE7555" w:rsidRDefault="00FB20B1">
      <w:pPr>
        <w:rPr>
          <w:sz w:val="25"/>
          <w:szCs w:val="25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CE7555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CE7555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 w:rsidRPr="00CE7555">
              <w:t>Este Informativo, elaborado a partir de notas tomadas nas sessões de julgamentos, contém resumos não</w:t>
            </w:r>
            <w:r w:rsidR="00DC50EB" w:rsidRPr="00CE7555">
              <w:t xml:space="preserve"> </w:t>
            </w:r>
            <w:r w:rsidRPr="00CE7555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CE7555">
              <w:t xml:space="preserve"> Eletrônico </w:t>
            </w:r>
            <w:r w:rsidRPr="00CE7555">
              <w:t>da Justiça</w:t>
            </w:r>
            <w:r w:rsidR="00980944" w:rsidRPr="00CE7555">
              <w:t xml:space="preserve"> do Trabalho</w:t>
            </w:r>
            <w:r w:rsidRPr="00CE7555">
              <w:t>.</w:t>
            </w:r>
          </w:p>
        </w:tc>
      </w:tr>
    </w:tbl>
    <w:p w:rsidR="00B838C3" w:rsidRPr="00CE7555" w:rsidRDefault="00B838C3" w:rsidP="00BC54BC">
      <w:pPr>
        <w:pStyle w:val="Corpo"/>
        <w:spacing w:line="240" w:lineRule="auto"/>
        <w:ind w:firstLine="0"/>
        <w:rPr>
          <w:rFonts w:ascii="Times New Roman" w:hAnsi="Times New Roman"/>
          <w:sz w:val="25"/>
          <w:szCs w:val="25"/>
          <w:u w:val="single"/>
          <w:lang w:val="pt-BR"/>
        </w:rPr>
      </w:pPr>
    </w:p>
    <w:p w:rsidR="00A00DEE" w:rsidRPr="00CE7555" w:rsidRDefault="00A00DEE" w:rsidP="00A00DEE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</w:pP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SUBSEÇÃO I ESPECIALIZADA EM DISSÍDIOS INDIVIDUAIS</w:t>
      </w:r>
    </w:p>
    <w:p w:rsidR="00CE7555" w:rsidRPr="00CE7555" w:rsidRDefault="00CE7555" w:rsidP="007D469A">
      <w:pPr>
        <w:pStyle w:val="Corpo"/>
        <w:spacing w:line="240" w:lineRule="auto"/>
        <w:ind w:firstLine="0"/>
        <w:rPr>
          <w:rFonts w:ascii="Times New Roman" w:hAnsi="Times New Roman"/>
          <w:sz w:val="25"/>
          <w:szCs w:val="25"/>
          <w:u w:val="single"/>
          <w:lang w:val="pt-BR"/>
        </w:rPr>
      </w:pPr>
    </w:p>
    <w:p w:rsidR="00CE7555" w:rsidRPr="00CE7555" w:rsidRDefault="00CE7555" w:rsidP="00CE7555">
      <w:pPr>
        <w:jc w:val="both"/>
        <w:rPr>
          <w:b/>
          <w:i/>
          <w:sz w:val="25"/>
          <w:szCs w:val="25"/>
        </w:rPr>
      </w:pPr>
      <w:r w:rsidRPr="00CE7555">
        <w:rPr>
          <w:b/>
          <w:i/>
          <w:sz w:val="25"/>
          <w:szCs w:val="25"/>
        </w:rPr>
        <w:t>Multa do § 8º do art. 477 da CLT. Atraso no pagamento das verbas rescisórias. Falecimento do Empregado. Não aplicação.</w:t>
      </w:r>
    </w:p>
    <w:p w:rsidR="00CE7555" w:rsidRPr="00CE7555" w:rsidRDefault="00CE7555" w:rsidP="00CE7555">
      <w:pPr>
        <w:jc w:val="both"/>
        <w:rPr>
          <w:sz w:val="25"/>
          <w:szCs w:val="25"/>
        </w:rPr>
      </w:pPr>
      <w:r w:rsidRPr="00CE7555">
        <w:rPr>
          <w:sz w:val="25"/>
          <w:szCs w:val="25"/>
        </w:rPr>
        <w:t xml:space="preserve">A norma do artigo 477, § 6º, da CLT não fixa prazo para o pagamento das verbas rescisórias no caso de falecimento do empregado. Trata-se de um “silêncio eloquente” do legislador ordinário. Dispositivo legal que, ao fixar prazos e circunstâncias específicas para o cumprimento da obrigação, não autoriza interpretação ampliativa. A ruptura do vínculo empregatício em virtude de óbito do empregado, por constituir forma abrupta e imprevisível de dissolução do contrato de trabalho, envolve peculiaridades que tornam incompatível a aplicação da multa prevista no § 8º do artigo 477 da CLT, tais como a necessidade de transferência da titularidade do crédito trabalhista para os dependentes/sucessores legais, a qual não se opera instantaneamente, mas mediante procedimento próprio previsto na Lei nº 6.858/80. Qualquer tentativa de fixar-se, em juízo, “prazo razoável” para o adimplemento das verbas rescisórias, em semelhante circunstância, refugiria às hipóteses elencadas no § 6º do artigo 477 da CLT e acarretaria imprópria incursão em atividade legiferante, vedada ao Poder Judiciário em face do princípio constitucional da Separação dos Poderes. De outro lado, afigura-se impróprio e de rigor insustentável afirmar-se, no caso, a subsistência do prazo para quitação das verbas rescisórias, sob pena de multa. Impraticável a observância de tal prazo, na medida em que se desconhece o(s) novo(s) titulares(s) do crédito, na forma da Lei, o que pode depender, inclusive, da morosa abertura de inventário e de nomeação do respectivo inventariante. A adoção de interpretação restritiva à literalidade do artigo 477, §§ 6º e 8º, da CLT não implica negar ou desestimular eventual ajuizamento de ação de consignação em pagamento pelo empregador, com vistas a desobrigá-lo da quitação das verbas rescisórias referentes ao contrato de trabalho de empregado falecido, mesmo antes de definida a nova titularidade do crédito trabalhista. Sob esses fundamentos, a SBDI-1, por unanimidade, conheceu dos embargos apenas quanto ao tema "multa - artigo 477, § 8º, da CLT - atraso no pagamento das verbas rescisórias - óbito do empregado", por divergência jurisprudencial, e, no mérito, por maioria, dar-lhes provimento para excluir da condenação o pagamento da multa prevista no artigo 477, § 8º, da CLT. Vencidos os Ministros José Roberto Freire Pimenta e Alexandre de Souza Agra Belmonte. </w:t>
      </w:r>
      <w:hyperlink r:id="rId8" w:history="1">
        <w:r w:rsidRPr="00E100F5">
          <w:rPr>
            <w:rStyle w:val="Hyperlink"/>
            <w:sz w:val="25"/>
            <w:szCs w:val="25"/>
          </w:rPr>
          <w:t>TST-E-RR-152000-72.2005.5.01.0481</w:t>
        </w:r>
      </w:hyperlink>
      <w:r w:rsidRPr="00CE7555">
        <w:rPr>
          <w:sz w:val="25"/>
          <w:szCs w:val="25"/>
          <w:u w:val="single"/>
        </w:rPr>
        <w:t>, SBDI-I, rel. João Oreste Dalazen, 3.9.2015.</w:t>
      </w:r>
    </w:p>
    <w:p w:rsidR="00CE7555" w:rsidRPr="00CE7555" w:rsidRDefault="00CE7555" w:rsidP="00CE7555">
      <w:pPr>
        <w:ind w:right="-567"/>
        <w:jc w:val="both"/>
        <w:rPr>
          <w:sz w:val="25"/>
          <w:szCs w:val="25"/>
        </w:rPr>
      </w:pPr>
    </w:p>
    <w:p w:rsidR="00CE7555" w:rsidRPr="00CE7555" w:rsidRDefault="00CE7555" w:rsidP="00CE7555">
      <w:pPr>
        <w:jc w:val="both"/>
        <w:rPr>
          <w:b/>
          <w:sz w:val="25"/>
          <w:szCs w:val="25"/>
        </w:rPr>
      </w:pPr>
      <w:r w:rsidRPr="00CE7555">
        <w:rPr>
          <w:b/>
          <w:sz w:val="25"/>
          <w:szCs w:val="25"/>
        </w:rPr>
        <w:t xml:space="preserve">Ação de cobrança de imposto sindical. Improcedência do pedido com condenação em honorários advocatícios. Inexigibilidade do depósito recursal no recurso ordinário. </w:t>
      </w:r>
    </w:p>
    <w:p w:rsidR="00CE7555" w:rsidRPr="00CE7555" w:rsidRDefault="00CE7555" w:rsidP="00CE7555">
      <w:pPr>
        <w:jc w:val="both"/>
        <w:rPr>
          <w:sz w:val="25"/>
          <w:szCs w:val="25"/>
          <w:u w:val="single"/>
        </w:rPr>
      </w:pPr>
      <w:r w:rsidRPr="00CE7555">
        <w:rPr>
          <w:sz w:val="25"/>
          <w:szCs w:val="25"/>
        </w:rPr>
        <w:t xml:space="preserve">É inexigível o recolhimento do depósito recursal para a interposição de recursos, quando a demanda, versando sobre contribuição sindical, for julgada improcedente, e houver condenação tão somente em custas processuais e honorários advocatícios. Isso porque a verba referente aos honorários advocatícios não faz parte da condenação para fins de garantia do juízo, tampouco é </w:t>
      </w:r>
      <w:r w:rsidRPr="00CE7555">
        <w:rPr>
          <w:sz w:val="25"/>
          <w:szCs w:val="25"/>
        </w:rPr>
        <w:lastRenderedPageBreak/>
        <w:t xml:space="preserve">destinada a satisfazer o credor em parcela da condenação. Nesse sentido é a Súmula nº 161 do TST. A parcela referente aos honorários advocatícios é crédito de natureza acessória ao valor principal e não se inclui na condenação para efeito de garantia do juízo. Além disso, é inexigível que o depósito seja realizado em favor do Sindicato, juridicamente impossibilitado de ser titular de conta de FGTS. Sob esses fundamentos, a SBDI-I, por unanimidade, ressalvado o entendimento do relator, conheceu do recurso de embargos quanto ao tema "Ação de Cobrança de Imposto Sindical - Improcedência do pedido com condenação em Honorários Advocatícios - Inexigibilidade de Depósito Recursal no Recurso Ordinário", por divergência jurisprudencial, e, no mérito, deu-lhe provimento para determinar o retorno dos autos ao Tribunal Regional do Trabalho de origem a fim de que, afastada a deserção declarada, prossiga no exame do recurso ordinário, como entender de direito. </w:t>
      </w:r>
      <w:hyperlink r:id="rId9" w:history="1">
        <w:r w:rsidRPr="004A7C59">
          <w:rPr>
            <w:rStyle w:val="Hyperlink"/>
            <w:sz w:val="25"/>
            <w:szCs w:val="25"/>
          </w:rPr>
          <w:t>TST- E-RR-10900-11.2007.5.15.0113</w:t>
        </w:r>
      </w:hyperlink>
      <w:r w:rsidRPr="00CE7555">
        <w:rPr>
          <w:sz w:val="25"/>
          <w:szCs w:val="25"/>
          <w:u w:val="single"/>
        </w:rPr>
        <w:t xml:space="preserve">, SBDI-I, rel. Min. Cláudio Mascarenhas Brandão, 3.9.2015. </w:t>
      </w:r>
    </w:p>
    <w:p w:rsidR="00CC6BEC" w:rsidRPr="00CE7555" w:rsidRDefault="00CC6BEC" w:rsidP="007D469A">
      <w:pPr>
        <w:pStyle w:val="Corpo"/>
        <w:spacing w:line="240" w:lineRule="auto"/>
        <w:ind w:firstLine="0"/>
        <w:rPr>
          <w:rFonts w:ascii="Times New Roman" w:hAnsi="Times New Roman"/>
          <w:sz w:val="25"/>
          <w:szCs w:val="25"/>
          <w:u w:val="single"/>
          <w:lang w:val="pt-BR"/>
        </w:rPr>
      </w:pPr>
    </w:p>
    <w:p w:rsidR="00FB6188" w:rsidRPr="00CE7555" w:rsidRDefault="00FB6188" w:rsidP="00FB6188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</w:pPr>
      <w:r w:rsidRPr="00CE7555">
        <w:rPr>
          <w:rFonts w:ascii="Times New Roman" w:hAnsi="Times New Roman" w:cs="Times New Roman"/>
          <w:b/>
          <w:bCs/>
          <w:shadow/>
          <w:color w:val="auto"/>
          <w:sz w:val="25"/>
          <w:szCs w:val="25"/>
          <w:lang w:val="pt-BR"/>
        </w:rPr>
        <w:t>SUBSEÇÃO II ESPECIALIZADA EM DISSÍDIOS INDIVIDUAIS</w:t>
      </w:r>
    </w:p>
    <w:p w:rsidR="00CC743B" w:rsidRPr="00CE7555" w:rsidRDefault="00CC743B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sz w:val="25"/>
          <w:szCs w:val="25"/>
          <w:u w:val="single"/>
          <w:lang w:val="pt-BR"/>
        </w:rPr>
      </w:pPr>
    </w:p>
    <w:p w:rsidR="00CE7555" w:rsidRPr="00CE7555" w:rsidRDefault="00CE7555" w:rsidP="00CE7555">
      <w:pPr>
        <w:jc w:val="both"/>
        <w:rPr>
          <w:sz w:val="25"/>
          <w:szCs w:val="25"/>
        </w:rPr>
      </w:pPr>
      <w:r w:rsidRPr="00CE7555">
        <w:rPr>
          <w:b/>
          <w:i/>
          <w:sz w:val="25"/>
          <w:szCs w:val="25"/>
        </w:rPr>
        <w:t xml:space="preserve">Recurso ordinário em mandado de segurança. Autos de infração. Suspensão da aplicação de penalidade administrativa. Indeferimento de pedido de antecipação dos efeitos da tutela. Ausência de direito líquido e certo. Súmula nº 418 do TST. Incidência. </w:t>
      </w:r>
      <w:r w:rsidRPr="00CE7555">
        <w:rPr>
          <w:sz w:val="25"/>
          <w:szCs w:val="25"/>
        </w:rPr>
        <w:t xml:space="preserve">A Súmula nº 418 do TST consagra o entendimento segundo o qual “A concessão de liminar ou a homologação de acordo constituem faculdade do juiz, inexistindo direito líquido e certo tutelável pela via do mandado de segurança”. Em voto divergente incorporado à fundamentação do relator, destacou-se que o instituto da tutela antecipada não deve ser compreendido como mera faculdade do juiz, um ato marcado pela absoluta discricionariedade, mas, sim, em conjunto com a cláusula constitucional do amplo acesso à justiça, da inafastabilidade da jurisdição, do contraditório e da ampla defesa, de modo que, presentes os requisitos previstos no art. 273 do CPC, a parte terá direito subjetivo à obtenção de uma decisão que antecipe os efeitos da tutela. No caso, a decisão impugnada indeferiu a tutela antecipatória deduzida nos autos da ação anulatória originária ajuizada pela impetrante, relativamente ao pedido de suspensão da aplicação de penalidade administrativa, sob o fundamento de que não restaram comprovados os fatos alegados e a verossimilhança nas alegações da autora da ação, merecendo, portanto, dilação probatória no curso da ação. Assim, por entender que o deslinde da controvérsia nos autos originários demandava dilação probatória, foi negada a pretensão de antecipação de tutela. Diante disso, resulta inviabilizada a caracterização de ofensa ao direito líquido e certo da impetrante, bem como a ilegalidade e o abuso de poder da autoridade, pressupostos essenciais para a concessão de segurança. Sob esse fundamento, a SBDI-II, por unanimidade, conheceu do recurso ordinário e, no mérito, negou-lhe provimento. </w:t>
      </w:r>
      <w:hyperlink r:id="rId10" w:history="1">
        <w:r w:rsidRPr="004A7C59">
          <w:rPr>
            <w:rStyle w:val="Hyperlink"/>
            <w:sz w:val="25"/>
            <w:szCs w:val="25"/>
          </w:rPr>
          <w:t>TST-RO-439-13.2013.5.08.0000</w:t>
        </w:r>
      </w:hyperlink>
      <w:r w:rsidRPr="00CE7555">
        <w:rPr>
          <w:sz w:val="25"/>
          <w:szCs w:val="25"/>
          <w:u w:val="single"/>
        </w:rPr>
        <w:t>, SBDI-II, rel. Min. Luiz Philippe Vieira de Mello Filho, 1.9.2015.</w:t>
      </w:r>
    </w:p>
    <w:p w:rsidR="00CE7555" w:rsidRPr="00CE7555" w:rsidRDefault="00CE7555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sz w:val="25"/>
          <w:szCs w:val="25"/>
          <w:u w:val="single"/>
          <w:lang w:val="pt-BR"/>
        </w:rPr>
      </w:pPr>
    </w:p>
    <w:p w:rsidR="00CE7555" w:rsidRPr="00CE7555" w:rsidRDefault="00CE7555" w:rsidP="00CE7555">
      <w:pPr>
        <w:pStyle w:val="Identificao"/>
        <w:rPr>
          <w:rFonts w:ascii="Times New Roman" w:hAnsi="Times New Roman"/>
          <w:b/>
          <w:i/>
          <w:sz w:val="25"/>
          <w:szCs w:val="25"/>
          <w:lang w:val="pt-BR"/>
        </w:rPr>
      </w:pPr>
      <w:r w:rsidRPr="00CE7555">
        <w:rPr>
          <w:rFonts w:ascii="Times New Roman" w:hAnsi="Times New Roman"/>
          <w:b/>
          <w:i/>
          <w:sz w:val="25"/>
          <w:szCs w:val="25"/>
          <w:lang w:val="pt-BR"/>
        </w:rPr>
        <w:t>Mandado de segurança. Ato coator que determinou o sobrestamento da reclamação trabalhista originária. Prazo legal extrapolado.</w:t>
      </w:r>
    </w:p>
    <w:p w:rsidR="00CE7555" w:rsidRPr="00CE7555" w:rsidRDefault="00CE7555" w:rsidP="00CE7555">
      <w:pPr>
        <w:pStyle w:val="Corpo"/>
        <w:spacing w:line="240" w:lineRule="auto"/>
        <w:ind w:firstLine="0"/>
        <w:rPr>
          <w:rFonts w:ascii="Times New Roman" w:hAnsi="Times New Roman"/>
          <w:sz w:val="25"/>
          <w:szCs w:val="25"/>
          <w:u w:val="single"/>
          <w:lang w:val="pt-BR"/>
        </w:rPr>
      </w:pPr>
      <w:r w:rsidRPr="00CE7555">
        <w:rPr>
          <w:rFonts w:ascii="Times New Roman" w:hAnsi="Times New Roman"/>
          <w:sz w:val="25"/>
          <w:szCs w:val="25"/>
          <w:lang w:val="pt-BR"/>
        </w:rPr>
        <w:t xml:space="preserve">A suspensão de reclamação trabalhista para além do prazo de um ano previsto no artigo 265, § 5º, do Código de Processo Civil fere direito líquido e certo da parte de ver entregue a prestação jurisdicional. manutenção de suspensão de reclamação trabalhista que ultrapassa o prazo de um ano, para aguardar decisão a ser proferida em outro processo (art. 265, § 5º, do Código de Processo Civil) fere direito líquido e certo da parte de ver entregue a prestação jurisdicional pleiteada. No caso concreto, o ato impugnado determinou a suspensão da reclamação trabalhista originária até o trânsito em julgado de reclamação trabalhista que guardaria nexo de dependência. Porém, já ultrapassado o prazo de um ano sem que tivesse ocorrido o trânsito em </w:t>
      </w:r>
      <w:r w:rsidRPr="00CE7555">
        <w:rPr>
          <w:rFonts w:ascii="Times New Roman" w:hAnsi="Times New Roman"/>
          <w:sz w:val="25"/>
          <w:szCs w:val="25"/>
          <w:lang w:val="pt-BR"/>
        </w:rPr>
        <w:lastRenderedPageBreak/>
        <w:t>julgado da ação. Sob esses fundamentos, a SBDI-II, por maioria, rejeitou as preliminares arguidas em contrarrazões, conheceu do recurso ordinário e, no mérito, deu-lhe provimento para conceder a segurança, a fim de determinar o regular prosseguimento da reclamação trabalhista originária, em trâmite perante a 10.ª Vara do Trabalho de Vitória/ES. Vencido o Ministro Douglas Alencar Rodrigues.</w:t>
      </w:r>
      <w:r w:rsidRPr="00CE7555">
        <w:rPr>
          <w:rFonts w:ascii="Times New Roman" w:eastAsia="Calibri" w:hAnsi="Times New Roman" w:cs="Times New Roman"/>
          <w:color w:val="auto"/>
          <w:sz w:val="25"/>
          <w:szCs w:val="25"/>
          <w:lang w:val="pt-BR" w:eastAsia="en-US"/>
        </w:rPr>
        <w:t xml:space="preserve"> </w:t>
      </w:r>
      <w:hyperlink r:id="rId11" w:history="1">
        <w:r w:rsidRPr="004A7C59">
          <w:rPr>
            <w:rStyle w:val="Hyperlink"/>
            <w:rFonts w:ascii="Times New Roman" w:hAnsi="Times New Roman" w:cs="Courier New"/>
            <w:sz w:val="25"/>
            <w:szCs w:val="25"/>
            <w:lang w:val="pt-BR"/>
          </w:rPr>
          <w:t>TST- RO-185-54.2014.5.17.0000</w:t>
        </w:r>
      </w:hyperlink>
      <w:r w:rsidRPr="00CE7555">
        <w:rPr>
          <w:rFonts w:ascii="Times New Roman" w:hAnsi="Times New Roman"/>
          <w:sz w:val="25"/>
          <w:szCs w:val="25"/>
          <w:u w:val="single"/>
          <w:lang w:val="pt-BR"/>
        </w:rPr>
        <w:t>, SBDI-II, rel. Min. Delaíde Miranda Arantes, 1.9.2015.</w:t>
      </w:r>
    </w:p>
    <w:p w:rsidR="00CC6BEC" w:rsidRPr="00CE7555" w:rsidRDefault="00CC6BEC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sz w:val="25"/>
          <w:szCs w:val="25"/>
          <w:u w:val="single"/>
          <w:lang w:val="pt-BR"/>
        </w:rPr>
      </w:pPr>
    </w:p>
    <w:p w:rsidR="00C87D5B" w:rsidRPr="00CE7555" w:rsidRDefault="00C87D5B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sz w:val="25"/>
          <w:szCs w:val="25"/>
          <w:u w:val="single"/>
          <w:lang w:val="pt-BR"/>
        </w:rPr>
      </w:pPr>
    </w:p>
    <w:p w:rsidR="008A68E7" w:rsidRDefault="008A68E7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sz w:val="25"/>
          <w:szCs w:val="25"/>
          <w:u w:val="single"/>
          <w:lang w:val="pt-BR"/>
        </w:rPr>
      </w:pPr>
    </w:p>
    <w:p w:rsidR="00CE7555" w:rsidRDefault="00CE7555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sz w:val="25"/>
          <w:szCs w:val="25"/>
          <w:u w:val="single"/>
          <w:lang w:val="pt-BR"/>
        </w:rPr>
      </w:pPr>
    </w:p>
    <w:p w:rsidR="00CE7555" w:rsidRDefault="00CE7555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sz w:val="25"/>
          <w:szCs w:val="25"/>
          <w:u w:val="single"/>
          <w:lang w:val="pt-BR"/>
        </w:rPr>
      </w:pPr>
    </w:p>
    <w:p w:rsidR="00CE7555" w:rsidRPr="00CE7555" w:rsidRDefault="00CE7555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sz w:val="25"/>
          <w:szCs w:val="25"/>
          <w:u w:val="single"/>
          <w:lang w:val="pt-BR"/>
        </w:rPr>
      </w:pPr>
    </w:p>
    <w:p w:rsidR="004A5908" w:rsidRPr="00CE7555" w:rsidRDefault="004A5908" w:rsidP="00C54185">
      <w:pPr>
        <w:jc w:val="both"/>
        <w:rPr>
          <w:sz w:val="25"/>
          <w:szCs w:val="25"/>
        </w:rPr>
      </w:pP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184590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Informações/Sugestões/Críticas: (61)3043</w:t>
      </w:r>
      <w:r w:rsidR="00352B27" w:rsidRPr="00CE7555">
        <w:rPr>
          <w:snapToGrid w:val="0"/>
          <w:sz w:val="25"/>
          <w:szCs w:val="25"/>
        </w:rPr>
        <w:t>-</w:t>
      </w:r>
      <w:r w:rsidRPr="00CE7555">
        <w:rPr>
          <w:snapToGrid w:val="0"/>
          <w:sz w:val="25"/>
          <w:szCs w:val="25"/>
        </w:rPr>
        <w:t>4</w:t>
      </w:r>
      <w:r w:rsidR="00D72C05" w:rsidRPr="00CE7555">
        <w:rPr>
          <w:snapToGrid w:val="0"/>
          <w:sz w:val="25"/>
          <w:szCs w:val="25"/>
        </w:rPr>
        <w:t>417</w:t>
      </w:r>
    </w:p>
    <w:p w:rsidR="007614F1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cjur@tst.jus.br</w:t>
      </w:r>
    </w:p>
    <w:sectPr w:rsidR="007614F1" w:rsidRPr="00CE7555" w:rsidSect="00D11B2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DC" w:rsidRDefault="00EC0EDC">
      <w:r>
        <w:separator/>
      </w:r>
    </w:p>
  </w:endnote>
  <w:endnote w:type="continuationSeparator" w:id="0">
    <w:p w:rsidR="00EC0EDC" w:rsidRDefault="00EC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78D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C678D1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DC" w:rsidRDefault="00EC0EDC">
      <w:r>
        <w:separator/>
      </w:r>
    </w:p>
  </w:footnote>
  <w:footnote w:type="continuationSeparator" w:id="0">
    <w:p w:rsidR="00EC0EDC" w:rsidRDefault="00EC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5A30AA">
      <w:rPr>
        <w:shadow/>
        <w:sz w:val="24"/>
        <w:szCs w:val="24"/>
      </w:rPr>
      <w:t>11</w:t>
    </w:r>
    <w:r w:rsidR="00CE7555">
      <w:rPr>
        <w:shadow/>
        <w:sz w:val="24"/>
        <w:szCs w:val="24"/>
      </w:rPr>
      <w:t>6</w:t>
    </w:r>
  </w:p>
  <w:p w:rsidR="00CE7555" w:rsidRPr="005D1DE4" w:rsidRDefault="00187A37" w:rsidP="00CE7555">
    <w:pPr>
      <w:pStyle w:val="Cabealho"/>
      <w:jc w:val="right"/>
    </w:pPr>
    <w:r w:rsidRPr="003C0554"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DB0223" w:rsidRPr="003C0554">
      <w:rPr>
        <w:iCs/>
      </w:rPr>
      <w:t xml:space="preserve"> </w:t>
    </w:r>
    <w:r w:rsidR="00CE7555">
      <w:rPr>
        <w:i/>
        <w:iCs/>
      </w:rPr>
      <w:t>Período:</w:t>
    </w:r>
    <w:r w:rsidR="00CE7555" w:rsidRPr="005D1DE4">
      <w:rPr>
        <w:i/>
        <w:iCs/>
      </w:rPr>
      <w:t xml:space="preserve"> </w:t>
    </w:r>
    <w:r w:rsidR="00CE7555">
      <w:rPr>
        <w:i/>
        <w:iCs/>
      </w:rPr>
      <w:t>31 de agosto a 8 de setembro de 2015</w:t>
    </w:r>
  </w:p>
  <w:p w:rsidR="003C0554" w:rsidRPr="003C0554" w:rsidRDefault="003C0554" w:rsidP="003C0554">
    <w:pPr>
      <w:pStyle w:val="Cabealho"/>
      <w:jc w:val="right"/>
    </w:pPr>
  </w:p>
  <w:p w:rsidR="00DB0223" w:rsidRPr="00DB0223" w:rsidRDefault="00DB0223" w:rsidP="00DB0223">
    <w:pPr>
      <w:pStyle w:val="Cabealho"/>
      <w:jc w:val="right"/>
    </w:pPr>
  </w:p>
  <w:p w:rsidR="00FE00AD" w:rsidRDefault="00FE00AD">
    <w:pPr>
      <w:pStyle w:val="Ttulo6"/>
      <w:spacing w:line="360" w:lineRule="auto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470EF8">
      <w:rPr>
        <w:b/>
        <w:sz w:val="40"/>
        <w:szCs w:val="40"/>
      </w:rPr>
      <w:t>11</w:t>
    </w:r>
    <w:r w:rsidR="00CE7555">
      <w:rPr>
        <w:b/>
        <w:sz w:val="40"/>
        <w:szCs w:val="40"/>
      </w:rPr>
      <w:t>6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3C1AB7">
      <w:rPr>
        <w:i/>
        <w:iCs/>
      </w:rPr>
      <w:t>31</w:t>
    </w:r>
    <w:r w:rsidR="001E79B4">
      <w:rPr>
        <w:i/>
        <w:iCs/>
      </w:rPr>
      <w:t xml:space="preserve"> de agosto</w:t>
    </w:r>
    <w:r w:rsidR="00CE7555">
      <w:rPr>
        <w:i/>
        <w:iCs/>
      </w:rPr>
      <w:t xml:space="preserve"> a 8 de setembro</w:t>
    </w:r>
    <w:r w:rsidR="00BC54BC">
      <w:rPr>
        <w:i/>
        <w:iCs/>
      </w:rPr>
      <w:t xml:space="preserve"> </w:t>
    </w:r>
    <w:r w:rsidR="004A094C">
      <w:rPr>
        <w:i/>
        <w:iCs/>
      </w:rPr>
      <w:t>de 201</w:t>
    </w:r>
    <w:r w:rsidR="00C54185">
      <w:rPr>
        <w:i/>
        <w:iCs/>
      </w:rPr>
      <w:t>5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24CE9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858FB"/>
    <w:rsid w:val="0009237D"/>
    <w:rsid w:val="00093AE9"/>
    <w:rsid w:val="00093BA8"/>
    <w:rsid w:val="000A04E6"/>
    <w:rsid w:val="000A4C94"/>
    <w:rsid w:val="000B2973"/>
    <w:rsid w:val="000B4D41"/>
    <w:rsid w:val="000B67DF"/>
    <w:rsid w:val="000B7CDE"/>
    <w:rsid w:val="000C3022"/>
    <w:rsid w:val="000C58F4"/>
    <w:rsid w:val="000C5AC6"/>
    <w:rsid w:val="000C672B"/>
    <w:rsid w:val="000E0A91"/>
    <w:rsid w:val="000E1DC1"/>
    <w:rsid w:val="0011575C"/>
    <w:rsid w:val="0011692E"/>
    <w:rsid w:val="00137564"/>
    <w:rsid w:val="00137DC1"/>
    <w:rsid w:val="00142C28"/>
    <w:rsid w:val="0015612D"/>
    <w:rsid w:val="00161CDE"/>
    <w:rsid w:val="00163142"/>
    <w:rsid w:val="00176D15"/>
    <w:rsid w:val="00184590"/>
    <w:rsid w:val="00187A37"/>
    <w:rsid w:val="0019151D"/>
    <w:rsid w:val="00193208"/>
    <w:rsid w:val="00197B15"/>
    <w:rsid w:val="001C04D2"/>
    <w:rsid w:val="001C21FB"/>
    <w:rsid w:val="001C271F"/>
    <w:rsid w:val="001C6C93"/>
    <w:rsid w:val="001D4CF9"/>
    <w:rsid w:val="001D5AB0"/>
    <w:rsid w:val="001D757D"/>
    <w:rsid w:val="001E14A9"/>
    <w:rsid w:val="001E14BB"/>
    <w:rsid w:val="001E4B57"/>
    <w:rsid w:val="001E5BD1"/>
    <w:rsid w:val="001E713B"/>
    <w:rsid w:val="001E79B4"/>
    <w:rsid w:val="001F030F"/>
    <w:rsid w:val="001F45E0"/>
    <w:rsid w:val="00206810"/>
    <w:rsid w:val="002168DE"/>
    <w:rsid w:val="00224AC2"/>
    <w:rsid w:val="0023559D"/>
    <w:rsid w:val="002402B0"/>
    <w:rsid w:val="002449F9"/>
    <w:rsid w:val="00257B4A"/>
    <w:rsid w:val="002635ED"/>
    <w:rsid w:val="002662BA"/>
    <w:rsid w:val="00266D49"/>
    <w:rsid w:val="00271C5C"/>
    <w:rsid w:val="00271E67"/>
    <w:rsid w:val="002730B5"/>
    <w:rsid w:val="002766D5"/>
    <w:rsid w:val="00276EA0"/>
    <w:rsid w:val="00280594"/>
    <w:rsid w:val="00285064"/>
    <w:rsid w:val="002A219D"/>
    <w:rsid w:val="002A521A"/>
    <w:rsid w:val="002A546D"/>
    <w:rsid w:val="002B4738"/>
    <w:rsid w:val="002B6377"/>
    <w:rsid w:val="002C2904"/>
    <w:rsid w:val="002E78CB"/>
    <w:rsid w:val="002F28E5"/>
    <w:rsid w:val="0033397A"/>
    <w:rsid w:val="00352B27"/>
    <w:rsid w:val="0035374D"/>
    <w:rsid w:val="00363255"/>
    <w:rsid w:val="0036325E"/>
    <w:rsid w:val="003671FE"/>
    <w:rsid w:val="003708FD"/>
    <w:rsid w:val="003745DE"/>
    <w:rsid w:val="0037667D"/>
    <w:rsid w:val="00380212"/>
    <w:rsid w:val="00383A89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0554"/>
    <w:rsid w:val="003C1AB7"/>
    <w:rsid w:val="003C6FE7"/>
    <w:rsid w:val="003D032E"/>
    <w:rsid w:val="003D4205"/>
    <w:rsid w:val="003F2078"/>
    <w:rsid w:val="0042772A"/>
    <w:rsid w:val="004323B0"/>
    <w:rsid w:val="00444E88"/>
    <w:rsid w:val="004477EC"/>
    <w:rsid w:val="0045657C"/>
    <w:rsid w:val="004655CC"/>
    <w:rsid w:val="00466DB9"/>
    <w:rsid w:val="00470EF8"/>
    <w:rsid w:val="00486521"/>
    <w:rsid w:val="00486DFC"/>
    <w:rsid w:val="004922D6"/>
    <w:rsid w:val="004A094C"/>
    <w:rsid w:val="004A14FC"/>
    <w:rsid w:val="004A5264"/>
    <w:rsid w:val="004A5908"/>
    <w:rsid w:val="004A7C59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3789"/>
    <w:rsid w:val="0051538E"/>
    <w:rsid w:val="00517E01"/>
    <w:rsid w:val="00521EEC"/>
    <w:rsid w:val="00543B94"/>
    <w:rsid w:val="005460BD"/>
    <w:rsid w:val="005521C8"/>
    <w:rsid w:val="00553197"/>
    <w:rsid w:val="0055409E"/>
    <w:rsid w:val="00556367"/>
    <w:rsid w:val="00556B35"/>
    <w:rsid w:val="00573E13"/>
    <w:rsid w:val="005811A4"/>
    <w:rsid w:val="00584F82"/>
    <w:rsid w:val="00591DFA"/>
    <w:rsid w:val="005A30AA"/>
    <w:rsid w:val="005A5695"/>
    <w:rsid w:val="005B0A1C"/>
    <w:rsid w:val="005B2F00"/>
    <w:rsid w:val="005B3792"/>
    <w:rsid w:val="005B57DE"/>
    <w:rsid w:val="005C1886"/>
    <w:rsid w:val="005C761E"/>
    <w:rsid w:val="005D0E5F"/>
    <w:rsid w:val="005D1DE4"/>
    <w:rsid w:val="005E35BD"/>
    <w:rsid w:val="005E3D4D"/>
    <w:rsid w:val="005E7FD1"/>
    <w:rsid w:val="005F0545"/>
    <w:rsid w:val="005F2858"/>
    <w:rsid w:val="006002E3"/>
    <w:rsid w:val="006145AC"/>
    <w:rsid w:val="00615F98"/>
    <w:rsid w:val="006207F5"/>
    <w:rsid w:val="00621F9C"/>
    <w:rsid w:val="00631166"/>
    <w:rsid w:val="00631F1C"/>
    <w:rsid w:val="006366A4"/>
    <w:rsid w:val="00643B60"/>
    <w:rsid w:val="006456B1"/>
    <w:rsid w:val="006564EC"/>
    <w:rsid w:val="0066084C"/>
    <w:rsid w:val="00661B23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0B1B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66B7B"/>
    <w:rsid w:val="00776118"/>
    <w:rsid w:val="007B0F83"/>
    <w:rsid w:val="007C0A4F"/>
    <w:rsid w:val="007D29A1"/>
    <w:rsid w:val="007D469A"/>
    <w:rsid w:val="007E0EA7"/>
    <w:rsid w:val="007E3F23"/>
    <w:rsid w:val="007F142E"/>
    <w:rsid w:val="007F66BC"/>
    <w:rsid w:val="007F7B5E"/>
    <w:rsid w:val="00802B1A"/>
    <w:rsid w:val="00805CD2"/>
    <w:rsid w:val="0080615C"/>
    <w:rsid w:val="0081027F"/>
    <w:rsid w:val="0081742D"/>
    <w:rsid w:val="00817AB1"/>
    <w:rsid w:val="00821F4D"/>
    <w:rsid w:val="00823906"/>
    <w:rsid w:val="008409D3"/>
    <w:rsid w:val="00845559"/>
    <w:rsid w:val="00854DB8"/>
    <w:rsid w:val="00854EF2"/>
    <w:rsid w:val="008627C6"/>
    <w:rsid w:val="00863B86"/>
    <w:rsid w:val="00871F69"/>
    <w:rsid w:val="008842D0"/>
    <w:rsid w:val="00884AC4"/>
    <w:rsid w:val="0088579D"/>
    <w:rsid w:val="008A68E7"/>
    <w:rsid w:val="008A7953"/>
    <w:rsid w:val="008B3081"/>
    <w:rsid w:val="008B32D4"/>
    <w:rsid w:val="008C7AD0"/>
    <w:rsid w:val="008D0020"/>
    <w:rsid w:val="008D3C38"/>
    <w:rsid w:val="008D3C4B"/>
    <w:rsid w:val="008D6A05"/>
    <w:rsid w:val="008E2AE5"/>
    <w:rsid w:val="008E3F89"/>
    <w:rsid w:val="008F26CB"/>
    <w:rsid w:val="008F6509"/>
    <w:rsid w:val="008F79D9"/>
    <w:rsid w:val="009027C8"/>
    <w:rsid w:val="0093467A"/>
    <w:rsid w:val="009353F1"/>
    <w:rsid w:val="0094155C"/>
    <w:rsid w:val="00951531"/>
    <w:rsid w:val="00960A3B"/>
    <w:rsid w:val="00967DE0"/>
    <w:rsid w:val="00971E07"/>
    <w:rsid w:val="00980944"/>
    <w:rsid w:val="00986D77"/>
    <w:rsid w:val="00993A6E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00D70"/>
    <w:rsid w:val="00A00DEE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A3DE0"/>
    <w:rsid w:val="00AB299E"/>
    <w:rsid w:val="00AB507C"/>
    <w:rsid w:val="00AD6E76"/>
    <w:rsid w:val="00AE3EAA"/>
    <w:rsid w:val="00AE5EDF"/>
    <w:rsid w:val="00AE758A"/>
    <w:rsid w:val="00B06261"/>
    <w:rsid w:val="00B14F7F"/>
    <w:rsid w:val="00B16EB9"/>
    <w:rsid w:val="00B22F24"/>
    <w:rsid w:val="00B22F53"/>
    <w:rsid w:val="00B24DBE"/>
    <w:rsid w:val="00B34EB2"/>
    <w:rsid w:val="00B4728A"/>
    <w:rsid w:val="00B517C3"/>
    <w:rsid w:val="00B518B2"/>
    <w:rsid w:val="00B526EA"/>
    <w:rsid w:val="00B536FE"/>
    <w:rsid w:val="00B73FFA"/>
    <w:rsid w:val="00B74A6E"/>
    <w:rsid w:val="00B82CC4"/>
    <w:rsid w:val="00B838C3"/>
    <w:rsid w:val="00B874F1"/>
    <w:rsid w:val="00BC1DE7"/>
    <w:rsid w:val="00BC2C67"/>
    <w:rsid w:val="00BC54BC"/>
    <w:rsid w:val="00BC5AEE"/>
    <w:rsid w:val="00BD2A95"/>
    <w:rsid w:val="00BD2CA9"/>
    <w:rsid w:val="00BD6029"/>
    <w:rsid w:val="00BE0541"/>
    <w:rsid w:val="00BE1ADB"/>
    <w:rsid w:val="00BF0693"/>
    <w:rsid w:val="00C070DE"/>
    <w:rsid w:val="00C26DFB"/>
    <w:rsid w:val="00C273FA"/>
    <w:rsid w:val="00C30D06"/>
    <w:rsid w:val="00C42067"/>
    <w:rsid w:val="00C432D0"/>
    <w:rsid w:val="00C4398E"/>
    <w:rsid w:val="00C54185"/>
    <w:rsid w:val="00C57E92"/>
    <w:rsid w:val="00C60B4A"/>
    <w:rsid w:val="00C65BDB"/>
    <w:rsid w:val="00C678D1"/>
    <w:rsid w:val="00C71A3B"/>
    <w:rsid w:val="00C76CFA"/>
    <w:rsid w:val="00C87D5B"/>
    <w:rsid w:val="00C963F8"/>
    <w:rsid w:val="00C96BB1"/>
    <w:rsid w:val="00CA2F80"/>
    <w:rsid w:val="00CB0C2A"/>
    <w:rsid w:val="00CC4B2B"/>
    <w:rsid w:val="00CC579C"/>
    <w:rsid w:val="00CC5F5F"/>
    <w:rsid w:val="00CC6BEC"/>
    <w:rsid w:val="00CC743B"/>
    <w:rsid w:val="00CD3460"/>
    <w:rsid w:val="00CD4B61"/>
    <w:rsid w:val="00CD5043"/>
    <w:rsid w:val="00CE2928"/>
    <w:rsid w:val="00CE314A"/>
    <w:rsid w:val="00CE5865"/>
    <w:rsid w:val="00CE7555"/>
    <w:rsid w:val="00CF3D9D"/>
    <w:rsid w:val="00D01C50"/>
    <w:rsid w:val="00D11B24"/>
    <w:rsid w:val="00D11C18"/>
    <w:rsid w:val="00D133C8"/>
    <w:rsid w:val="00D14DB8"/>
    <w:rsid w:val="00D17339"/>
    <w:rsid w:val="00D244D5"/>
    <w:rsid w:val="00D2776A"/>
    <w:rsid w:val="00D413DB"/>
    <w:rsid w:val="00D420E2"/>
    <w:rsid w:val="00D4459D"/>
    <w:rsid w:val="00D573F9"/>
    <w:rsid w:val="00D6058B"/>
    <w:rsid w:val="00D62D9E"/>
    <w:rsid w:val="00D63EC5"/>
    <w:rsid w:val="00D64BC3"/>
    <w:rsid w:val="00D72C05"/>
    <w:rsid w:val="00D73575"/>
    <w:rsid w:val="00D735BF"/>
    <w:rsid w:val="00D77672"/>
    <w:rsid w:val="00D80222"/>
    <w:rsid w:val="00D847CF"/>
    <w:rsid w:val="00DA0A99"/>
    <w:rsid w:val="00DA0A9D"/>
    <w:rsid w:val="00DA7603"/>
    <w:rsid w:val="00DA7E39"/>
    <w:rsid w:val="00DA7EDE"/>
    <w:rsid w:val="00DB0223"/>
    <w:rsid w:val="00DB047C"/>
    <w:rsid w:val="00DC0AB5"/>
    <w:rsid w:val="00DC3451"/>
    <w:rsid w:val="00DC50EB"/>
    <w:rsid w:val="00DD19F4"/>
    <w:rsid w:val="00DD3FA0"/>
    <w:rsid w:val="00DE5B2D"/>
    <w:rsid w:val="00DE5CE9"/>
    <w:rsid w:val="00E03064"/>
    <w:rsid w:val="00E04BD5"/>
    <w:rsid w:val="00E070D2"/>
    <w:rsid w:val="00E100F5"/>
    <w:rsid w:val="00E1539C"/>
    <w:rsid w:val="00E162B6"/>
    <w:rsid w:val="00E16E01"/>
    <w:rsid w:val="00E24A50"/>
    <w:rsid w:val="00E31469"/>
    <w:rsid w:val="00E35639"/>
    <w:rsid w:val="00E432CC"/>
    <w:rsid w:val="00E50711"/>
    <w:rsid w:val="00E52522"/>
    <w:rsid w:val="00E60AD3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6C1B"/>
    <w:rsid w:val="00EB7A09"/>
    <w:rsid w:val="00EC0EDC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06855"/>
    <w:rsid w:val="00F17A2C"/>
    <w:rsid w:val="00F21A70"/>
    <w:rsid w:val="00F26708"/>
    <w:rsid w:val="00F4560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011F"/>
    <w:rsid w:val="00FA7544"/>
    <w:rsid w:val="00FA75E0"/>
    <w:rsid w:val="00FA7771"/>
    <w:rsid w:val="00FB20B1"/>
    <w:rsid w:val="00FB3AB4"/>
    <w:rsid w:val="00FB6188"/>
    <w:rsid w:val="00FC35EC"/>
    <w:rsid w:val="00FC56A4"/>
    <w:rsid w:val="00FD3D06"/>
    <w:rsid w:val="00FD5662"/>
    <w:rsid w:val="00FD72B6"/>
    <w:rsid w:val="00FE00AD"/>
    <w:rsid w:val="00FE206E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consultaTstNumUnica.do?consulta=Consultar&amp;conscsjt=&amp;numeroTst=152000&amp;digitoTst=72&amp;anoTst=2005&amp;orgaoTst=5&amp;tribunalTst=01&amp;varaTst=048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icacao4.tst.jus.br/consultaProcessual/consultaTstNumUnica.do?consulta=Consultar&amp;conscsjt=&amp;numeroTst=185&amp;digitoTst=54&amp;anoTst=2014&amp;orgaoTst=5&amp;tribunalTst=17&amp;varaTst=0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aplicacao4.tst.jus.br/consultaProcessual/consultaTstNumUnica.do?consulta=Consultar&amp;conscsjt=&amp;numeroTst=439&amp;digitoTst=13&amp;anoTst=2013&amp;orgaoTst=5&amp;tribunalTst=08&amp;varaTst=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licacao4.tst.jus.br/consultaProcessual/consultaTstNumUnica.do?consulta=Consultar&amp;conscsjt=&amp;numeroTst=10900&amp;digitoTst=11&amp;anoTst=2007&amp;orgaoTst=5&amp;tribunalTst=15&amp;varaTst=0113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CEAE-ACEF-46A2-B2D9-D610E90A6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1386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8856</CharactersWithSpaces>
  <SharedDoc>false</SharedDoc>
  <HLinks>
    <vt:vector size="24" baseType="variant"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http://aplicacao4.tst.jus.br/consultaProcessual/consultaTstNumUnica.do?consulta=Consultar&amp;conscsjt=&amp;numeroTst=185&amp;digitoTst=54&amp;anoTst=2014&amp;orgaoTst=5&amp;tribunalTst=17&amp;varaTst=0000</vt:lpwstr>
      </vt:variant>
      <vt:variant>
        <vt:lpwstr/>
      </vt:variant>
      <vt:variant>
        <vt:i4>5505027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http://aplicacao4.tst.jus.br/consultaProcessual/consultaTstNumUnica.do?consulta=Consultar&amp;conscsjt=&amp;numeroTst=439&amp;digitoTst=13&amp;anoTst=2013&amp;orgaoTst=5&amp;tribunalTst=08&amp;varaTst=0000</vt:lpwstr>
      </vt:variant>
      <vt:variant>
        <vt:lpwstr/>
      </vt:variant>
      <vt:variant>
        <vt:i4>7143479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http://aplicacao4.tst.jus.br/consultaProcessual/consultaTstNumUnica.do?consulta=Consultar&amp;conscsjt=&amp;numeroTst=10900&amp;digitoTst=11&amp;anoTst=2007&amp;orgaoTst=5&amp;tribunalTst=15&amp;varaTst=0113</vt:lpwstr>
      </vt:variant>
      <vt:variant>
        <vt:lpwstr/>
      </vt:variant>
      <vt:variant>
        <vt:i4>1310799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http://aplicacao4.tst.jus.br/consultaProcessual/consultaTstNumUnica.do?consulta=Consultar&amp;conscsjt=&amp;numeroTst=152000&amp;digitoTst=72&amp;anoTst=2005&amp;orgaoTst=5&amp;tribunalTst=01&amp;varaTst=0481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2015-09-10T19:56:00Z</cp:lastPrinted>
  <dcterms:created xsi:type="dcterms:W3CDTF">2018-06-27T21:49:00Z</dcterms:created>
  <dcterms:modified xsi:type="dcterms:W3CDTF">2018-06-27T21:49:00Z</dcterms:modified>
</cp:coreProperties>
</file>