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Pr="00187A37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  <w:r w:rsidRPr="00187A37">
              <w:rPr>
                <w:sz w:val="16"/>
                <w:szCs w:val="16"/>
              </w:rPr>
              <w:t>Este Informativo, elaborado a partir de notas tomadas nas sessões de julgamentos, 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Pr="00187A37">
              <w:rPr>
                <w:sz w:val="16"/>
                <w:szCs w:val="16"/>
              </w:rPr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Pr="00187A37">
              <w:rPr>
                <w:sz w:val="16"/>
                <w:szCs w:val="16"/>
              </w:rPr>
              <w:t>.</w:t>
            </w:r>
          </w:p>
        </w:tc>
      </w:tr>
    </w:tbl>
    <w:p w:rsidR="00E31469" w:rsidRDefault="00E31469" w:rsidP="00C54185">
      <w:pPr>
        <w:pStyle w:val="EXPLICAO"/>
        <w:spacing w:line="240" w:lineRule="auto"/>
        <w:ind w:left="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4A5908" w:rsidRDefault="004A5908" w:rsidP="00C54185">
      <w:pPr>
        <w:pStyle w:val="EXPLICAO"/>
        <w:spacing w:line="240" w:lineRule="auto"/>
        <w:ind w:left="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54185" w:rsidRPr="00971E07" w:rsidRDefault="00C54185" w:rsidP="00C54185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4A5908" w:rsidRDefault="004A5908" w:rsidP="00BC54BC">
      <w:pPr>
        <w:pStyle w:val="Corpo"/>
        <w:spacing w:line="240" w:lineRule="auto"/>
        <w:ind w:firstLine="0"/>
        <w:rPr>
          <w:rFonts w:ascii="Times New Roman" w:hAnsi="Times New Roman"/>
          <w:sz w:val="20"/>
          <w:szCs w:val="20"/>
          <w:u w:val="single"/>
          <w:lang w:val="pt-BR"/>
        </w:rPr>
      </w:pPr>
    </w:p>
    <w:p w:rsidR="004A5908" w:rsidRDefault="004A5908" w:rsidP="00BC54BC">
      <w:pPr>
        <w:pStyle w:val="Corpo"/>
        <w:spacing w:line="240" w:lineRule="auto"/>
        <w:ind w:firstLine="0"/>
        <w:rPr>
          <w:rFonts w:ascii="Times New Roman" w:hAnsi="Times New Roman"/>
          <w:sz w:val="20"/>
          <w:szCs w:val="20"/>
          <w:u w:val="single"/>
          <w:lang w:val="pt-BR"/>
        </w:rPr>
      </w:pPr>
    </w:p>
    <w:p w:rsidR="007D469A" w:rsidRDefault="007D469A" w:rsidP="007D469A">
      <w:pPr>
        <w:jc w:val="both"/>
        <w:rPr>
          <w:b/>
          <w:i/>
          <w:sz w:val="24"/>
          <w:szCs w:val="24"/>
        </w:rPr>
      </w:pPr>
      <w:r w:rsidRPr="00D70346">
        <w:rPr>
          <w:b/>
          <w:i/>
          <w:sz w:val="24"/>
          <w:szCs w:val="24"/>
        </w:rPr>
        <w:t xml:space="preserve">Competência da </w:t>
      </w:r>
      <w:r>
        <w:rPr>
          <w:b/>
          <w:i/>
          <w:sz w:val="24"/>
          <w:szCs w:val="24"/>
        </w:rPr>
        <w:t>justiça do trabalho. Estado do P</w:t>
      </w:r>
      <w:r w:rsidRPr="00D70346">
        <w:rPr>
          <w:b/>
          <w:i/>
          <w:sz w:val="24"/>
          <w:szCs w:val="24"/>
        </w:rPr>
        <w:t>iauí</w:t>
      </w:r>
      <w:r>
        <w:rPr>
          <w:b/>
          <w:i/>
          <w:sz w:val="24"/>
          <w:szCs w:val="24"/>
        </w:rPr>
        <w:t>. Empregada admitida antes da Constituição de 1988</w:t>
      </w:r>
      <w:r w:rsidRPr="00D70346">
        <w:rPr>
          <w:b/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Transposição</w:t>
      </w:r>
      <w:r w:rsidRPr="00D70346">
        <w:rPr>
          <w:b/>
          <w:i/>
          <w:sz w:val="24"/>
          <w:szCs w:val="24"/>
        </w:rPr>
        <w:t xml:space="preserve"> automática do regim</w:t>
      </w:r>
      <w:r>
        <w:rPr>
          <w:b/>
          <w:i/>
          <w:sz w:val="24"/>
          <w:szCs w:val="24"/>
        </w:rPr>
        <w:t>e celetista para o estatutário</w:t>
      </w:r>
      <w:r w:rsidRPr="00D70346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Impossibilidade. Ausência de concurso público.</w:t>
      </w:r>
    </w:p>
    <w:p w:rsidR="007D469A" w:rsidRDefault="007D469A" w:rsidP="007D469A">
      <w:pPr>
        <w:pStyle w:val="Corpo"/>
        <w:spacing w:line="240" w:lineRule="auto"/>
        <w:ind w:firstLine="0"/>
        <w:rPr>
          <w:rFonts w:ascii="Times New Roman" w:hAnsi="Times New Roman"/>
          <w:u w:val="single"/>
          <w:lang w:val="pt-BR"/>
        </w:rPr>
      </w:pPr>
      <w:r>
        <w:rPr>
          <w:rFonts w:ascii="Times New Roman" w:eastAsia="Calibri" w:hAnsi="Times New Roman" w:cs="Times New Roman"/>
          <w:color w:val="auto"/>
          <w:lang w:val="pt-BR" w:eastAsia="en-US"/>
        </w:rPr>
        <w:t>A Justiça do Trabalho é competente</w:t>
      </w:r>
      <w:r w:rsidRPr="00830C1D">
        <w:rPr>
          <w:rFonts w:ascii="Times New Roman" w:eastAsia="Calibri" w:hAnsi="Times New Roman" w:cs="Times New Roman"/>
          <w:color w:val="auto"/>
          <w:lang w:val="pt-BR" w:eastAsia="en-US"/>
        </w:rPr>
        <w:t xml:space="preserve"> p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ara examinar pedido de empregado público admitido</w:t>
      </w:r>
      <w:r w:rsidRPr="00830C1D">
        <w:rPr>
          <w:rFonts w:ascii="Times New Roman" w:eastAsia="Calibri" w:hAnsi="Times New Roman" w:cs="Times New Roman"/>
          <w:color w:val="auto"/>
          <w:lang w:val="pt-BR" w:eastAsia="en-US"/>
        </w:rPr>
        <w:t xml:space="preserve"> antes da promulgação da Constituição de 1988,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sob regime celetista, e </w:t>
      </w:r>
      <w:r w:rsidRPr="00830C1D">
        <w:rPr>
          <w:rFonts w:ascii="Times New Roman" w:eastAsia="Calibri" w:hAnsi="Times New Roman" w:cs="Times New Roman"/>
          <w:color w:val="auto"/>
          <w:lang w:val="pt-BR" w:eastAsia="en-US"/>
        </w:rPr>
        <w:t xml:space="preserve">sem concurso público, não obstante a superveniência de legislação estadual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que institui regime jurídico único</w:t>
      </w:r>
      <w:r w:rsidRPr="00830C1D">
        <w:rPr>
          <w:rFonts w:ascii="Times New Roman" w:eastAsia="Calibri" w:hAnsi="Times New Roman" w:cs="Times New Roman"/>
          <w:color w:val="auto"/>
          <w:lang w:val="pt-BR" w:eastAsia="en-US"/>
        </w:rPr>
        <w:t xml:space="preserve">.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Na hipótese, c</w:t>
      </w:r>
      <w:r w:rsidRPr="00276F6E">
        <w:rPr>
          <w:rFonts w:ascii="Times New Roman" w:eastAsia="Calibri" w:hAnsi="Times New Roman" w:cs="Times New Roman"/>
          <w:color w:val="auto"/>
          <w:lang w:val="pt-BR" w:eastAsia="en-US"/>
        </w:rPr>
        <w:t>on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soante </w:t>
      </w:r>
      <w:r w:rsidRPr="00276F6E">
        <w:rPr>
          <w:rFonts w:ascii="Times New Roman" w:eastAsia="Calibri" w:hAnsi="Times New Roman" w:cs="Times New Roman"/>
          <w:color w:val="auto"/>
          <w:lang w:val="pt-BR" w:eastAsia="en-US"/>
        </w:rPr>
        <w:t>entendimento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já</w:t>
      </w:r>
      <w:r w:rsidRPr="00276F6E"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consagrado</w:t>
      </w:r>
      <w:r w:rsidRPr="00276F6E">
        <w:rPr>
          <w:rFonts w:ascii="Times New Roman" w:eastAsia="Calibri" w:hAnsi="Times New Roman" w:cs="Times New Roman"/>
          <w:color w:val="auto"/>
          <w:lang w:val="pt-BR" w:eastAsia="en-US"/>
        </w:rPr>
        <w:t xml:space="preserve"> pelo Supremo Tribunal Federal n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o julgamento da</w:t>
      </w:r>
      <w:r w:rsidRPr="00276F6E">
        <w:rPr>
          <w:rFonts w:ascii="Times New Roman" w:eastAsia="Calibri" w:hAnsi="Times New Roman" w:cs="Times New Roman"/>
          <w:color w:val="auto"/>
          <w:lang w:val="pt-BR" w:eastAsia="en-US"/>
        </w:rPr>
        <w:t xml:space="preserve"> ADI 1.150-2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,</w:t>
      </w:r>
      <w:r w:rsidRPr="00065E38">
        <w:rPr>
          <w:lang w:val="pt-BR"/>
        </w:rPr>
        <w:t xml:space="preserve">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entendeu-se que </w:t>
      </w:r>
      <w:r w:rsidRPr="00611E12">
        <w:rPr>
          <w:rFonts w:ascii="Times New Roman" w:eastAsia="Calibri" w:hAnsi="Times New Roman" w:cs="Times New Roman"/>
          <w:color w:val="auto"/>
          <w:lang w:val="pt-BR" w:eastAsia="en-US"/>
        </w:rPr>
        <w:t xml:space="preserve">o fato de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o Estado do Piauí</w:t>
      </w:r>
      <w:r w:rsidRPr="00611E12">
        <w:rPr>
          <w:rFonts w:ascii="Times New Roman" w:eastAsia="Calibri" w:hAnsi="Times New Roman" w:cs="Times New Roman"/>
          <w:color w:val="auto"/>
          <w:lang w:val="pt-BR" w:eastAsia="en-US"/>
        </w:rPr>
        <w:t xml:space="preserve"> instituir regime jurídico único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,</w:t>
      </w:r>
      <w:r w:rsidRPr="00065E38">
        <w:rPr>
          <w:lang w:val="pt-BR"/>
        </w:rPr>
        <w:t xml:space="preserve"> </w:t>
      </w:r>
      <w:r w:rsidRPr="00611E12">
        <w:rPr>
          <w:rFonts w:ascii="Times New Roman" w:eastAsia="Calibri" w:hAnsi="Times New Roman" w:cs="Times New Roman"/>
          <w:color w:val="auto"/>
          <w:lang w:val="pt-BR" w:eastAsia="en-US"/>
        </w:rPr>
        <w:t>por meio da Lei Complementar Estadual nº 13, de 3.1.1994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,</w:t>
      </w:r>
      <w:r w:rsidRPr="00611E12">
        <w:rPr>
          <w:rFonts w:ascii="Times New Roman" w:eastAsia="Calibri" w:hAnsi="Times New Roman" w:cs="Times New Roman"/>
          <w:color w:val="auto"/>
          <w:lang w:val="pt-BR" w:eastAsia="en-US"/>
        </w:rPr>
        <w:t xml:space="preserve"> não convola em vínculo estatutário, de forma automática, o contrato trabalhista anterior, sobretudo em decorrência da ausência de concurso público, na forma do art. 37, II, § 2º, da Constituição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. Desse modo, tem-se que a reclamante</w:t>
      </w:r>
      <w:r w:rsidRPr="00762AB7">
        <w:rPr>
          <w:rFonts w:ascii="Times New Roman" w:eastAsia="Calibri" w:hAnsi="Times New Roman" w:cs="Times New Roman"/>
          <w:color w:val="auto"/>
          <w:lang w:val="pt-BR" w:eastAsia="en-US"/>
        </w:rPr>
        <w:t xml:space="preserve"> permanece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u</w:t>
      </w:r>
      <w:r w:rsidRPr="00762AB7">
        <w:rPr>
          <w:rFonts w:ascii="Times New Roman" w:eastAsia="Calibri" w:hAnsi="Times New Roman" w:cs="Times New Roman"/>
          <w:color w:val="auto"/>
          <w:lang w:val="pt-BR" w:eastAsia="en-US"/>
        </w:rPr>
        <w:t xml:space="preserve"> na condição d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e empregada</w:t>
      </w:r>
      <w:r w:rsidRPr="00762AB7">
        <w:rPr>
          <w:rFonts w:ascii="Times New Roman" w:eastAsia="Calibri" w:hAnsi="Times New Roman" w:cs="Times New Roman"/>
          <w:color w:val="auto"/>
          <w:lang w:val="pt-BR" w:eastAsia="en-US"/>
        </w:rPr>
        <w:t>, mesmo após a edição da norma estadual, porque embora estáve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l</w:t>
      </w:r>
      <w:r w:rsidRPr="00762AB7">
        <w:rPr>
          <w:rFonts w:ascii="Times New Roman" w:eastAsia="Calibri" w:hAnsi="Times New Roman" w:cs="Times New Roman"/>
          <w:color w:val="auto"/>
          <w:lang w:val="pt-BR" w:eastAsia="en-US"/>
        </w:rPr>
        <w:t xml:space="preserve">,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nos termos</w:t>
      </w:r>
      <w:r w:rsidRPr="00762AB7">
        <w:rPr>
          <w:rFonts w:ascii="Times New Roman" w:eastAsia="Calibri" w:hAnsi="Times New Roman" w:cs="Times New Roman"/>
          <w:color w:val="auto"/>
          <w:lang w:val="pt-BR" w:eastAsia="en-US"/>
        </w:rPr>
        <w:t xml:space="preserve"> do art. 19 do ADCT, não se submet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eu</w:t>
      </w:r>
      <w:r w:rsidRPr="00762AB7">
        <w:rPr>
          <w:rFonts w:ascii="Times New Roman" w:eastAsia="Calibri" w:hAnsi="Times New Roman" w:cs="Times New Roman"/>
          <w:color w:val="auto"/>
          <w:lang w:val="pt-BR" w:eastAsia="en-US"/>
        </w:rPr>
        <w:t xml:space="preserve"> a concurso público</w:t>
      </w:r>
      <w:r w:rsidRPr="00276F6E">
        <w:rPr>
          <w:rFonts w:ascii="Times New Roman" w:eastAsia="Calibri" w:hAnsi="Times New Roman" w:cs="Times New Roman"/>
          <w:color w:val="auto"/>
          <w:lang w:val="pt-BR" w:eastAsia="en-US"/>
        </w:rPr>
        <w:t>.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Sob</w:t>
      </w:r>
      <w:r w:rsidRPr="009C5D63">
        <w:rPr>
          <w:rFonts w:ascii="Times New Roman" w:eastAsia="Calibri" w:hAnsi="Times New Roman" w:cs="Times New Roman"/>
          <w:color w:val="auto"/>
          <w:lang w:val="pt-BR" w:eastAsia="en-US"/>
        </w:rPr>
        <w:t xml:space="preserve"> esse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fundamento</w:t>
      </w:r>
      <w:r w:rsidRPr="009C5D63">
        <w:rPr>
          <w:rFonts w:ascii="Times New Roman" w:eastAsia="Calibri" w:hAnsi="Times New Roman" w:cs="Times New Roman"/>
          <w:color w:val="auto"/>
          <w:lang w:val="pt-BR" w:eastAsia="en-US"/>
        </w:rPr>
        <w:t xml:space="preserve">, a SBDI-I,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à unanimidade</w:t>
      </w:r>
      <w:r w:rsidRPr="009C5D63">
        <w:rPr>
          <w:rFonts w:ascii="Times New Roman" w:eastAsia="Calibri" w:hAnsi="Times New Roman" w:cs="Times New Roman"/>
          <w:color w:val="auto"/>
          <w:lang w:val="pt-BR" w:eastAsia="en-US"/>
        </w:rPr>
        <w:t>, conheceu dos embargos interpostos pel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o reclamado</w:t>
      </w:r>
      <w:r w:rsidRPr="009C5D63">
        <w:rPr>
          <w:rFonts w:ascii="Times New Roman" w:eastAsia="Calibri" w:hAnsi="Times New Roman" w:cs="Times New Roman"/>
          <w:color w:val="auto"/>
          <w:lang w:val="pt-BR" w:eastAsia="en-US"/>
        </w:rPr>
        <w:t xml:space="preserve">, por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divergência jurisprudencial</w:t>
      </w:r>
      <w:r w:rsidRPr="009C5D63">
        <w:rPr>
          <w:rFonts w:ascii="Times New Roman" w:eastAsia="Calibri" w:hAnsi="Times New Roman" w:cs="Times New Roman"/>
          <w:color w:val="auto"/>
          <w:lang w:val="pt-BR" w:eastAsia="en-US"/>
        </w:rPr>
        <w:t>, e, no mérito,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por maioria, negou</w:t>
      </w:r>
      <w:r w:rsidRPr="009C5D63">
        <w:rPr>
          <w:rFonts w:ascii="Times New Roman" w:eastAsia="Calibri" w:hAnsi="Times New Roman" w:cs="Times New Roman"/>
          <w:color w:val="auto"/>
          <w:lang w:val="pt-BR" w:eastAsia="en-US"/>
        </w:rPr>
        <w:t>-lhes provimento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, vencido os Ministros </w:t>
      </w:r>
      <w:r w:rsidRPr="00762AB7">
        <w:rPr>
          <w:rFonts w:ascii="Times New Roman" w:eastAsia="Calibri" w:hAnsi="Times New Roman" w:cs="Times New Roman"/>
          <w:color w:val="auto"/>
          <w:lang w:val="pt-BR" w:eastAsia="en-US"/>
        </w:rPr>
        <w:t>Luiz Philippe Vieira de Mello Filho, Walmir Oliveira da Costa, José Roberto Freire Pimenta e Hugo Carlos Scheuermann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. </w:t>
      </w:r>
      <w:r w:rsidRPr="009C5D63">
        <w:rPr>
          <w:rFonts w:ascii="Times New Roman" w:hAnsi="Times New Roman"/>
          <w:u w:val="single"/>
          <w:lang w:val="pt-BR"/>
        </w:rPr>
        <w:t>TST-</w:t>
      </w:r>
      <w:hyperlink r:id="rId8" w:history="1">
        <w:r w:rsidRPr="00BF0693">
          <w:rPr>
            <w:rStyle w:val="Hyperlink"/>
            <w:rFonts w:ascii="Times New Roman" w:hAnsi="Times New Roman" w:cs="Courier New"/>
            <w:lang w:val="pt-BR"/>
          </w:rPr>
          <w:t>E-RR-846-13.2010.5.22.0104</w:t>
        </w:r>
      </w:hyperlink>
      <w:r>
        <w:rPr>
          <w:rFonts w:ascii="Times New Roman" w:hAnsi="Times New Roman"/>
          <w:u w:val="single"/>
          <w:lang w:val="pt-BR"/>
        </w:rPr>
        <w:t xml:space="preserve">, SBDI-I, rel. Min. Augusto César Leite </w:t>
      </w:r>
      <w:r w:rsidRPr="00762AB7">
        <w:rPr>
          <w:rFonts w:ascii="Times New Roman" w:hAnsi="Times New Roman"/>
          <w:u w:val="single"/>
          <w:lang w:val="pt-BR"/>
        </w:rPr>
        <w:t>e Carvalho</w:t>
      </w:r>
      <w:r w:rsidRPr="009C5D63">
        <w:rPr>
          <w:rFonts w:ascii="Times New Roman" w:hAnsi="Times New Roman"/>
          <w:u w:val="single"/>
          <w:lang w:val="pt-BR"/>
        </w:rPr>
        <w:t xml:space="preserve">, </w:t>
      </w:r>
      <w:r>
        <w:rPr>
          <w:rFonts w:ascii="Times New Roman" w:hAnsi="Times New Roman"/>
          <w:u w:val="single"/>
          <w:lang w:val="pt-BR"/>
        </w:rPr>
        <w:t>18</w:t>
      </w:r>
      <w:r w:rsidRPr="009C5D63">
        <w:rPr>
          <w:rFonts w:ascii="Times New Roman" w:hAnsi="Times New Roman"/>
          <w:u w:val="single"/>
          <w:lang w:val="pt-BR"/>
        </w:rPr>
        <w:t>.</w:t>
      </w:r>
      <w:r>
        <w:rPr>
          <w:rFonts w:ascii="Times New Roman" w:hAnsi="Times New Roman"/>
          <w:u w:val="single"/>
          <w:lang w:val="pt-BR"/>
        </w:rPr>
        <w:t>6.2015</w:t>
      </w:r>
      <w:r w:rsidRPr="009C5D63">
        <w:rPr>
          <w:rFonts w:ascii="Times New Roman" w:hAnsi="Times New Roman"/>
          <w:u w:val="single"/>
          <w:lang w:val="pt-BR"/>
        </w:rPr>
        <w:t>.</w:t>
      </w:r>
    </w:p>
    <w:p w:rsidR="00817AB1" w:rsidRDefault="00817AB1" w:rsidP="007D469A">
      <w:pPr>
        <w:pStyle w:val="Corpo"/>
        <w:spacing w:line="240" w:lineRule="auto"/>
        <w:ind w:firstLine="0"/>
        <w:rPr>
          <w:rFonts w:ascii="Times New Roman" w:hAnsi="Times New Roman"/>
          <w:u w:val="single"/>
          <w:lang w:val="pt-BR"/>
        </w:rPr>
      </w:pPr>
    </w:p>
    <w:p w:rsidR="00817AB1" w:rsidRPr="00D7136D" w:rsidRDefault="00817AB1" w:rsidP="00817AB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Advogado de banco. Admissão anterior à Lei nº 8.906/94.</w:t>
      </w:r>
      <w:r w:rsidRPr="00D7136D">
        <w:rPr>
          <w:b/>
          <w:i/>
          <w:sz w:val="24"/>
          <w:szCs w:val="24"/>
        </w:rPr>
        <w:t xml:space="preserve"> </w:t>
      </w:r>
      <w:r w:rsidRPr="0057507D">
        <w:rPr>
          <w:b/>
          <w:i/>
          <w:sz w:val="24"/>
          <w:szCs w:val="24"/>
        </w:rPr>
        <w:t>Equiparação a membro de categoria diferenciada</w:t>
      </w:r>
      <w:r>
        <w:rPr>
          <w:b/>
          <w:i/>
          <w:sz w:val="24"/>
          <w:szCs w:val="24"/>
        </w:rPr>
        <w:t>.</w:t>
      </w:r>
      <w:r w:rsidRPr="00D7136D">
        <w:rPr>
          <w:b/>
          <w:i/>
          <w:sz w:val="24"/>
          <w:szCs w:val="24"/>
        </w:rPr>
        <w:t xml:space="preserve"> Jornada de trabalho. Inaplicabilidade do art.</w:t>
      </w:r>
      <w:r>
        <w:rPr>
          <w:b/>
          <w:i/>
          <w:sz w:val="24"/>
          <w:szCs w:val="24"/>
        </w:rPr>
        <w:t xml:space="preserve"> 224, caput, da CLT. Não comprovação de dedicação exclusiva</w:t>
      </w:r>
      <w:r w:rsidRPr="00D7136D">
        <w:rPr>
          <w:b/>
          <w:i/>
          <w:sz w:val="24"/>
          <w:szCs w:val="24"/>
        </w:rPr>
        <w:t>. Horas extras</w:t>
      </w:r>
      <w:r>
        <w:rPr>
          <w:b/>
          <w:i/>
          <w:sz w:val="24"/>
          <w:szCs w:val="24"/>
        </w:rPr>
        <w:t xml:space="preserve"> devidas a partir da quarta hora diária </w:t>
      </w:r>
      <w:r w:rsidRPr="00D7136D">
        <w:rPr>
          <w:b/>
          <w:i/>
          <w:sz w:val="24"/>
          <w:szCs w:val="24"/>
        </w:rPr>
        <w:t>.</w:t>
      </w:r>
    </w:p>
    <w:p w:rsidR="00817AB1" w:rsidRDefault="00817AB1" w:rsidP="00817AB1">
      <w:pPr>
        <w:pStyle w:val="Corpo"/>
        <w:spacing w:line="240" w:lineRule="auto"/>
        <w:ind w:firstLine="0"/>
        <w:rPr>
          <w:rFonts w:ascii="Times New Roman" w:hAnsi="Times New Roman" w:cs="Times New Roman"/>
          <w:u w:val="single"/>
          <w:lang w:val="pt-BR"/>
        </w:rPr>
      </w:pPr>
      <w:r>
        <w:rPr>
          <w:rFonts w:ascii="Times New Roman" w:hAnsi="Times New Roman" w:cs="Times New Roman"/>
          <w:lang w:val="pt-BR"/>
        </w:rPr>
        <w:t>É i</w:t>
      </w:r>
      <w:r w:rsidRPr="00D7136D">
        <w:rPr>
          <w:rFonts w:ascii="Times New Roman" w:hAnsi="Times New Roman" w:cs="Times New Roman"/>
          <w:lang w:val="pt-BR"/>
        </w:rPr>
        <w:t>naplicável</w:t>
      </w:r>
      <w:r>
        <w:rPr>
          <w:rFonts w:ascii="Times New Roman" w:hAnsi="Times New Roman" w:cs="Times New Roman"/>
          <w:lang w:val="pt-BR"/>
        </w:rPr>
        <w:t xml:space="preserve"> ao advogado empregado de instituição bancária a jornada reduzida de seis horas diárias, prevista no</w:t>
      </w:r>
      <w:r w:rsidRPr="00D7136D">
        <w:rPr>
          <w:rFonts w:ascii="Times New Roman" w:hAnsi="Times New Roman" w:cs="Times New Roman"/>
          <w:lang w:val="pt-BR"/>
        </w:rPr>
        <w:t xml:space="preserve"> art. 224</w:t>
      </w:r>
      <w:r>
        <w:rPr>
          <w:rFonts w:ascii="Times New Roman" w:hAnsi="Times New Roman" w:cs="Times New Roman"/>
          <w:lang w:val="pt-BR"/>
        </w:rPr>
        <w:t xml:space="preserve">, </w:t>
      </w:r>
      <w:r>
        <w:rPr>
          <w:rFonts w:ascii="Times New Roman" w:hAnsi="Times New Roman" w:cs="Times New Roman"/>
          <w:i/>
          <w:lang w:val="pt-BR"/>
        </w:rPr>
        <w:t>caput,</w:t>
      </w:r>
      <w:r>
        <w:rPr>
          <w:rFonts w:ascii="Times New Roman" w:hAnsi="Times New Roman" w:cs="Times New Roman"/>
          <w:lang w:val="pt-BR"/>
        </w:rPr>
        <w:t xml:space="preserve"> da CLT, pois este dispositivo é específico para a categoria dos bancários. O advogado empregado de banco, ainda que seja considerado profissional liberal, equipara-se aos membros de categoria diferenciada, por ter normatização própria, a Lei nº 8.906/94. A citada Lei, no </w:t>
      </w:r>
      <w:r>
        <w:rPr>
          <w:rFonts w:ascii="Times New Roman" w:hAnsi="Times New Roman" w:cs="Times New Roman"/>
          <w:i/>
          <w:lang w:val="pt-BR"/>
        </w:rPr>
        <w:t xml:space="preserve">caput </w:t>
      </w:r>
      <w:r>
        <w:rPr>
          <w:rFonts w:ascii="Times New Roman" w:hAnsi="Times New Roman" w:cs="Times New Roman"/>
          <w:lang w:val="pt-BR"/>
        </w:rPr>
        <w:t xml:space="preserve">de seu </w:t>
      </w:r>
      <w:r w:rsidRPr="00D7136D">
        <w:rPr>
          <w:rFonts w:ascii="Times New Roman" w:hAnsi="Times New Roman" w:cs="Times New Roman"/>
          <w:lang w:val="pt-BR"/>
        </w:rPr>
        <w:t>art. 20</w:t>
      </w:r>
      <w:r>
        <w:rPr>
          <w:rFonts w:ascii="Times New Roman" w:hAnsi="Times New Roman" w:cs="Times New Roman"/>
          <w:lang w:val="pt-BR"/>
        </w:rPr>
        <w:t xml:space="preserve">, estabelece que a jornada máxima </w:t>
      </w:r>
      <w:r w:rsidRPr="006C1FE0">
        <w:rPr>
          <w:rFonts w:ascii="Times New Roman" w:hAnsi="Times New Roman" w:cs="Times New Roman"/>
          <w:lang w:val="pt-BR"/>
        </w:rPr>
        <w:t xml:space="preserve">do advogado empregado </w:t>
      </w:r>
      <w:r>
        <w:rPr>
          <w:rFonts w:ascii="Times New Roman" w:hAnsi="Times New Roman" w:cs="Times New Roman"/>
          <w:lang w:val="pt-BR"/>
        </w:rPr>
        <w:t>seja</w:t>
      </w:r>
      <w:r w:rsidRPr="006C1FE0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 xml:space="preserve">de </w:t>
      </w:r>
      <w:r w:rsidRPr="006C1FE0">
        <w:rPr>
          <w:rFonts w:ascii="Times New Roman" w:hAnsi="Times New Roman" w:cs="Times New Roman"/>
          <w:lang w:val="pt-BR"/>
        </w:rPr>
        <w:t>quatro horas diárias e vinte horas semanais, salvo no caso de acordo ou convenção coletiva, que preveja horário de trabalho diverso, ou, ainda, de prestação de serviços em caráter de dedicação exclusiva.</w:t>
      </w:r>
      <w:r w:rsidRPr="00D7136D"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No caso, restou consignado na decisão do Tribunal Regional do Trabalho da 9ª Região que o reclamante foi contratado antes da Lei nº 8.906/94 e que não houve prova da sujeição ao regime de dedicação exclusiva, razão porque não incide o entendimento consubstanciado na Orientação Jurisprudencial nº 403 da SBDI-I do TST. Sob</w:t>
      </w:r>
      <w:r w:rsidRPr="00D7136D">
        <w:rPr>
          <w:rFonts w:ascii="Times New Roman" w:hAnsi="Times New Roman" w:cs="Times New Roman"/>
          <w:lang w:val="pt-BR"/>
        </w:rPr>
        <w:t xml:space="preserve"> esse entendimento, a SBDI-I, por </w:t>
      </w:r>
      <w:r>
        <w:rPr>
          <w:rFonts w:ascii="Times New Roman" w:hAnsi="Times New Roman" w:cs="Times New Roman"/>
          <w:lang w:val="pt-BR"/>
        </w:rPr>
        <w:t>unanimidade</w:t>
      </w:r>
      <w:r w:rsidRPr="00D7136D">
        <w:rPr>
          <w:rFonts w:ascii="Times New Roman" w:hAnsi="Times New Roman" w:cs="Times New Roman"/>
          <w:lang w:val="pt-BR"/>
        </w:rPr>
        <w:t>, conheceu dos embargos</w:t>
      </w:r>
      <w:r>
        <w:rPr>
          <w:rFonts w:ascii="Times New Roman" w:hAnsi="Times New Roman" w:cs="Times New Roman"/>
          <w:lang w:val="pt-BR"/>
        </w:rPr>
        <w:t>,</w:t>
      </w:r>
      <w:r w:rsidRPr="00D7136D">
        <w:rPr>
          <w:rFonts w:ascii="Times New Roman" w:hAnsi="Times New Roman" w:cs="Times New Roman"/>
          <w:lang w:val="pt-BR"/>
        </w:rPr>
        <w:t xml:space="preserve"> por divergência jurisprudencial, e, no mérito, </w:t>
      </w:r>
      <w:r>
        <w:rPr>
          <w:rFonts w:ascii="Times New Roman" w:hAnsi="Times New Roman" w:cs="Times New Roman"/>
          <w:lang w:val="pt-BR"/>
        </w:rPr>
        <w:t xml:space="preserve">por maioria, </w:t>
      </w:r>
      <w:r w:rsidRPr="00D7136D">
        <w:rPr>
          <w:rFonts w:ascii="Times New Roman" w:hAnsi="Times New Roman" w:cs="Times New Roman"/>
          <w:lang w:val="pt-BR"/>
        </w:rPr>
        <w:t xml:space="preserve">deu-lhes provimento para restabelecer </w:t>
      </w:r>
      <w:r w:rsidRPr="00B96763">
        <w:rPr>
          <w:rFonts w:ascii="Times New Roman" w:hAnsi="Times New Roman" w:cs="Times New Roman"/>
          <w:lang w:val="pt-BR"/>
        </w:rPr>
        <w:t>a decisão do Regional, em que se manteve a sentença que deferiu horas extras além da 4ª diária e 20ª semanal, exceto em períodos contemplados por norma coletiva que estenderam a jornada normal, inclusive quanto ao valor da condenação e das custas.</w:t>
      </w:r>
      <w:r w:rsidRPr="00D7136D">
        <w:rPr>
          <w:rFonts w:ascii="Times New Roman" w:hAnsi="Times New Roman" w:cs="Times New Roman"/>
          <w:lang w:val="pt-BR"/>
        </w:rPr>
        <w:t xml:space="preserve"> Vencidos os Ministros </w:t>
      </w:r>
      <w:r>
        <w:rPr>
          <w:rFonts w:ascii="Times New Roman" w:hAnsi="Times New Roman" w:cs="Times New Roman"/>
          <w:lang w:val="pt-BR"/>
        </w:rPr>
        <w:t>Aloysio Corrêa da Veiga e Alexandre Agra Belmonte</w:t>
      </w:r>
      <w:r w:rsidRPr="00D7136D">
        <w:rPr>
          <w:rFonts w:ascii="Times New Roman" w:hAnsi="Times New Roman" w:cs="Times New Roman"/>
          <w:lang w:val="pt-BR"/>
        </w:rPr>
        <w:t xml:space="preserve">. </w:t>
      </w:r>
      <w:r w:rsidRPr="00B96763">
        <w:rPr>
          <w:rFonts w:ascii="Times New Roman" w:hAnsi="Times New Roman" w:cs="Times New Roman"/>
          <w:u w:val="single"/>
          <w:lang w:val="pt-BR"/>
        </w:rPr>
        <w:t>TST-</w:t>
      </w:r>
      <w:hyperlink r:id="rId9" w:history="1">
        <w:r w:rsidRPr="00BF0693">
          <w:rPr>
            <w:rStyle w:val="Hyperlink"/>
            <w:rFonts w:ascii="Times New Roman" w:hAnsi="Times New Roman"/>
            <w:lang w:val="pt-BR"/>
          </w:rPr>
          <w:t>ERR-2690740-31.2000.5.09.0652</w:t>
        </w:r>
      </w:hyperlink>
      <w:r w:rsidRPr="00D7136D">
        <w:rPr>
          <w:rFonts w:ascii="Times New Roman" w:hAnsi="Times New Roman" w:cs="Times New Roman"/>
          <w:u w:val="single"/>
          <w:lang w:val="pt-BR"/>
        </w:rPr>
        <w:t xml:space="preserve">, SBDI-I, rel. Min. </w:t>
      </w:r>
      <w:r>
        <w:rPr>
          <w:rFonts w:ascii="Times New Roman" w:hAnsi="Times New Roman" w:cs="Times New Roman"/>
          <w:u w:val="single"/>
          <w:lang w:val="pt-BR"/>
        </w:rPr>
        <w:t>José Roberto Pimenta</w:t>
      </w:r>
      <w:r w:rsidRPr="00D7136D">
        <w:rPr>
          <w:rFonts w:ascii="Times New Roman" w:hAnsi="Times New Roman" w:cs="Times New Roman"/>
          <w:u w:val="single"/>
          <w:lang w:val="pt-BR"/>
        </w:rPr>
        <w:t xml:space="preserve">, </w:t>
      </w:r>
      <w:r>
        <w:rPr>
          <w:rFonts w:ascii="Times New Roman" w:hAnsi="Times New Roman" w:cs="Times New Roman"/>
          <w:u w:val="single"/>
          <w:lang w:val="pt-BR"/>
        </w:rPr>
        <w:t>18.6</w:t>
      </w:r>
      <w:r w:rsidRPr="00D7136D">
        <w:rPr>
          <w:rFonts w:ascii="Times New Roman" w:hAnsi="Times New Roman" w:cs="Times New Roman"/>
          <w:u w:val="single"/>
          <w:lang w:val="pt-BR"/>
        </w:rPr>
        <w:t>.201</w:t>
      </w:r>
      <w:r>
        <w:rPr>
          <w:rFonts w:ascii="Times New Roman" w:hAnsi="Times New Roman" w:cs="Times New Roman"/>
          <w:u w:val="single"/>
          <w:lang w:val="pt-BR"/>
        </w:rPr>
        <w:t>5</w:t>
      </w:r>
      <w:r w:rsidRPr="00D7136D">
        <w:rPr>
          <w:rFonts w:ascii="Times New Roman" w:hAnsi="Times New Roman" w:cs="Times New Roman"/>
          <w:u w:val="single"/>
          <w:lang w:val="pt-BR"/>
        </w:rPr>
        <w:t>.</w:t>
      </w:r>
    </w:p>
    <w:p w:rsidR="008627C6" w:rsidRDefault="008627C6" w:rsidP="00BC54BC">
      <w:pPr>
        <w:pStyle w:val="Corpo"/>
        <w:spacing w:line="240" w:lineRule="auto"/>
        <w:ind w:firstLine="0"/>
        <w:rPr>
          <w:rFonts w:ascii="Times New Roman" w:hAnsi="Times New Roman"/>
          <w:sz w:val="20"/>
          <w:szCs w:val="20"/>
          <w:u w:val="single"/>
          <w:lang w:val="pt-BR"/>
        </w:rPr>
      </w:pPr>
    </w:p>
    <w:p w:rsidR="00D73575" w:rsidRPr="00D7136D" w:rsidRDefault="00D73575" w:rsidP="00D7357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Incidente de Recurso Repetitivo. Art. 896-C da CLT. Bancário. Horas extras. Divisor. Norma coletiva. Consideração, ou não, do sábado como dia de descanso semanal remunerado. Aplicação da Súmula 124, I, do TST.  </w:t>
      </w:r>
    </w:p>
    <w:p w:rsidR="00D73575" w:rsidRDefault="00D73575" w:rsidP="00D73575">
      <w:pPr>
        <w:pStyle w:val="Corpo"/>
        <w:spacing w:line="240" w:lineRule="auto"/>
        <w:ind w:firstLine="0"/>
        <w:rPr>
          <w:rFonts w:ascii="Times New Roman" w:hAnsi="Times New Roman" w:cs="Times New Roman"/>
          <w:u w:val="single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Acolhendo a proposta de Incidente de Recurso de Revista Repetitivo, aprovado pela 4ª Turma do Tribunal Superior do Trabalho, a SBDI-1 decidiu, por maioria, afetar a matéria “Bancário. Horas extras. Divisor. Bancos Privados” à SBDI-1 Plena, vencidos os Ministros Antonio José Barros Levenhagen, Augusto César Leite de Carvalho, José Roberto Freire Pimenta, Hugo Carlos Scheuermann e Cláudio Mascarenhas Brandão, os quais entendiam que a matéria deveria ser afetada ao Tribunal Pleno. Também por unanimidade, determinou-se que no processo nº RR 144700-24.2013.5.13.3, cujo tema afetado é “Bancário. Horas extras. Divisor. Bancos Públicos”, seja registrada esta mesma deliberação, com a finalidade de que as matérias de ambos os recursos sejam apreciadas em conjunto. Por fim, examinando questão de ordem referente à apreciação das matérias constantes de ambos os recursos de revista, decidiu-se, por maioria, que a apreciação deve ser em conjunto, vencidos os Ministros João Oreste Dalazen, Aloysio Corrêa da Veiga, Guilherme Augusto Caputo Bastos, Márcio Eurico Vitral Amaro e Walmir Oliveira da Costa, os quais entendiam que o exame deveria ser em separado. </w:t>
      </w:r>
      <w:r w:rsidRPr="00B60193">
        <w:rPr>
          <w:rFonts w:ascii="Times New Roman" w:hAnsi="Times New Roman" w:cs="Times New Roman"/>
          <w:u w:val="single"/>
          <w:lang w:val="pt-BR"/>
        </w:rPr>
        <w:t>TST-</w:t>
      </w:r>
      <w:hyperlink r:id="rId10" w:history="1">
        <w:r w:rsidRPr="00BF0693">
          <w:rPr>
            <w:rStyle w:val="Hyperlink"/>
            <w:rFonts w:ascii="Times New Roman" w:hAnsi="Times New Roman"/>
            <w:lang w:val="pt-BR"/>
          </w:rPr>
          <w:t>RR-849-83.2013.5.03.0138</w:t>
        </w:r>
      </w:hyperlink>
      <w:r w:rsidRPr="00B60193">
        <w:rPr>
          <w:rFonts w:ascii="Times New Roman" w:hAnsi="Times New Roman" w:cs="Times New Roman"/>
          <w:u w:val="single"/>
          <w:lang w:val="pt-BR"/>
        </w:rPr>
        <w:t xml:space="preserve"> e TST-RR-144700-24.2013.5.13.0003</w:t>
      </w:r>
      <w:r>
        <w:rPr>
          <w:rFonts w:ascii="Times New Roman" w:hAnsi="Times New Roman" w:cs="Times New Roman"/>
          <w:u w:val="single"/>
          <w:lang w:val="pt-BR"/>
        </w:rPr>
        <w:t xml:space="preserve">, </w:t>
      </w:r>
      <w:r w:rsidRPr="00D7136D">
        <w:rPr>
          <w:rFonts w:ascii="Times New Roman" w:hAnsi="Times New Roman" w:cs="Times New Roman"/>
          <w:u w:val="single"/>
          <w:lang w:val="pt-BR"/>
        </w:rPr>
        <w:t xml:space="preserve">SBDI-I, </w:t>
      </w:r>
      <w:r>
        <w:rPr>
          <w:rFonts w:ascii="Times New Roman" w:hAnsi="Times New Roman" w:cs="Times New Roman"/>
          <w:u w:val="single"/>
          <w:lang w:val="pt-BR"/>
        </w:rPr>
        <w:t>em 18.6</w:t>
      </w:r>
      <w:r w:rsidRPr="00D7136D">
        <w:rPr>
          <w:rFonts w:ascii="Times New Roman" w:hAnsi="Times New Roman" w:cs="Times New Roman"/>
          <w:u w:val="single"/>
          <w:lang w:val="pt-BR"/>
        </w:rPr>
        <w:t>.201</w:t>
      </w:r>
      <w:r>
        <w:rPr>
          <w:rFonts w:ascii="Times New Roman" w:hAnsi="Times New Roman" w:cs="Times New Roman"/>
          <w:u w:val="single"/>
          <w:lang w:val="pt-BR"/>
        </w:rPr>
        <w:t>5</w:t>
      </w:r>
      <w:r w:rsidRPr="00D7136D">
        <w:rPr>
          <w:rFonts w:ascii="Times New Roman" w:hAnsi="Times New Roman" w:cs="Times New Roman"/>
          <w:u w:val="single"/>
          <w:lang w:val="pt-BR"/>
        </w:rPr>
        <w:t>.</w:t>
      </w:r>
    </w:p>
    <w:p w:rsidR="00661B23" w:rsidRDefault="00661B23" w:rsidP="00D73575">
      <w:pPr>
        <w:pStyle w:val="Corpo"/>
        <w:spacing w:line="240" w:lineRule="auto"/>
        <w:ind w:firstLine="0"/>
        <w:rPr>
          <w:rFonts w:ascii="Times New Roman" w:hAnsi="Times New Roman" w:cs="Times New Roman"/>
          <w:u w:val="single"/>
          <w:lang w:val="pt-BR"/>
        </w:rPr>
      </w:pPr>
    </w:p>
    <w:p w:rsidR="00817AB1" w:rsidRPr="00C070D9" w:rsidRDefault="00817AB1" w:rsidP="00817AB1">
      <w:pPr>
        <w:ind w:right="-567"/>
        <w:jc w:val="both"/>
        <w:rPr>
          <w:b/>
          <w:i/>
          <w:sz w:val="24"/>
          <w:szCs w:val="24"/>
        </w:rPr>
      </w:pPr>
      <w:r w:rsidRPr="00C070D9">
        <w:rPr>
          <w:b/>
          <w:i/>
          <w:sz w:val="24"/>
          <w:szCs w:val="24"/>
        </w:rPr>
        <w:t xml:space="preserve">Dano moral. </w:t>
      </w:r>
      <w:r>
        <w:rPr>
          <w:b/>
          <w:i/>
          <w:sz w:val="24"/>
          <w:szCs w:val="24"/>
        </w:rPr>
        <w:t>Configuração</w:t>
      </w:r>
      <w:r w:rsidRPr="00C070D9">
        <w:rPr>
          <w:b/>
          <w:i/>
          <w:sz w:val="24"/>
          <w:szCs w:val="24"/>
        </w:rPr>
        <w:t>. Retificação de registro na Carteira de Trabalho e Previdência Social. Inclusão da informação de que se trata de cumprimento de decisão judicial.</w:t>
      </w:r>
    </w:p>
    <w:p w:rsidR="00817AB1" w:rsidRDefault="00817AB1" w:rsidP="00817AB1">
      <w:pPr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Configura lesão moral a referência, na Carteira de Trabalho e Previdência Social do empregado, de que algum registro ali constante decorreu de determinação judicial, constituindo anotação desnecessária e desabonadora, nos termos do art. 29, § 4º, da CLT. Tal registro dificulta a obtenção de novo emprego e acarreta ofensa a direito da personalidade do trabalhador. </w:t>
      </w:r>
      <w:r w:rsidRPr="00C070D9">
        <w:rPr>
          <w:sz w:val="24"/>
          <w:szCs w:val="24"/>
        </w:rPr>
        <w:t>Sob esse fundamento, a SBDI-1, à unanimidade, não conheceu do recurso de embargos da reclamada, com ressalva de entendimento dos Ministros Antonio José de Barros Levenhagen, João Oreste Dalazen, Ives Gandra Martins Filho, Renato de Lacerda Paiva e Guilherme Augusto Caputo Bastos .</w:t>
      </w:r>
      <w:r>
        <w:rPr>
          <w:sz w:val="24"/>
          <w:szCs w:val="24"/>
        </w:rPr>
        <w:t xml:space="preserve"> </w:t>
      </w:r>
      <w:r w:rsidRPr="00C070D9">
        <w:rPr>
          <w:sz w:val="24"/>
          <w:szCs w:val="24"/>
        </w:rPr>
        <w:t xml:space="preserve"> </w:t>
      </w:r>
      <w:r w:rsidRPr="00C070D9">
        <w:rPr>
          <w:sz w:val="24"/>
          <w:szCs w:val="24"/>
          <w:u w:val="single"/>
        </w:rPr>
        <w:t>TST-</w:t>
      </w:r>
      <w:hyperlink r:id="rId11" w:history="1">
        <w:r w:rsidRPr="00CF3D9D">
          <w:rPr>
            <w:rStyle w:val="Hyperlink"/>
            <w:sz w:val="24"/>
            <w:szCs w:val="24"/>
          </w:rPr>
          <w:t>EEDRR-148100-34.2009.5.03.0110</w:t>
        </w:r>
      </w:hyperlink>
      <w:r w:rsidRPr="00C070D9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SBDI-</w:t>
      </w:r>
      <w:r w:rsidR="00CF3D9D">
        <w:rPr>
          <w:sz w:val="24"/>
          <w:szCs w:val="24"/>
          <w:u w:val="single"/>
        </w:rPr>
        <w:t>I</w:t>
      </w:r>
      <w:r>
        <w:rPr>
          <w:sz w:val="24"/>
          <w:szCs w:val="24"/>
          <w:u w:val="single"/>
        </w:rPr>
        <w:t xml:space="preserve">, rel. </w:t>
      </w:r>
      <w:r w:rsidRPr="00C070D9">
        <w:rPr>
          <w:sz w:val="24"/>
          <w:szCs w:val="24"/>
          <w:u w:val="single"/>
        </w:rPr>
        <w:t xml:space="preserve">Min. Hugo Carlos Scheuermann, </w:t>
      </w:r>
      <w:r>
        <w:rPr>
          <w:sz w:val="24"/>
          <w:szCs w:val="24"/>
          <w:u w:val="single"/>
        </w:rPr>
        <w:t>18.</w:t>
      </w:r>
      <w:r w:rsidRPr="00C070D9">
        <w:rPr>
          <w:sz w:val="24"/>
          <w:szCs w:val="24"/>
          <w:u w:val="single"/>
        </w:rPr>
        <w:t>6.2015.</w:t>
      </w:r>
    </w:p>
    <w:p w:rsidR="00817AB1" w:rsidRDefault="00817AB1" w:rsidP="00D73575">
      <w:pPr>
        <w:pStyle w:val="Corpo"/>
        <w:spacing w:line="240" w:lineRule="auto"/>
        <w:ind w:firstLine="0"/>
        <w:rPr>
          <w:rFonts w:ascii="Times New Roman" w:hAnsi="Times New Roman" w:cs="Times New Roman"/>
          <w:u w:val="single"/>
          <w:lang w:val="pt-BR"/>
        </w:rPr>
      </w:pPr>
    </w:p>
    <w:p w:rsidR="00661B23" w:rsidRDefault="00661B23" w:rsidP="00D73575">
      <w:pPr>
        <w:pStyle w:val="Corpo"/>
        <w:spacing w:line="240" w:lineRule="auto"/>
        <w:ind w:firstLine="0"/>
        <w:rPr>
          <w:rFonts w:ascii="Times New Roman" w:hAnsi="Times New Roman" w:cs="Times New Roman"/>
          <w:u w:val="single"/>
          <w:lang w:val="pt-BR"/>
        </w:rPr>
      </w:pPr>
    </w:p>
    <w:p w:rsidR="00661B23" w:rsidRPr="00971E07" w:rsidRDefault="00661B23" w:rsidP="00661B23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661B23" w:rsidRDefault="00661B23" w:rsidP="00D73575">
      <w:pPr>
        <w:pStyle w:val="Corpo"/>
        <w:spacing w:line="240" w:lineRule="auto"/>
        <w:ind w:firstLine="0"/>
        <w:rPr>
          <w:rFonts w:ascii="Times New Roman" w:hAnsi="Times New Roman" w:cs="Times New Roman"/>
          <w:u w:val="single"/>
          <w:lang w:val="pt-BR"/>
        </w:rPr>
      </w:pPr>
    </w:p>
    <w:p w:rsidR="00817AB1" w:rsidRDefault="00817AB1" w:rsidP="00817AB1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color w:val="auto"/>
          <w:lang w:val="pt-BR" w:eastAsia="en-US"/>
        </w:rPr>
      </w:pPr>
      <w:r w:rsidRPr="00F758AE"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>Agravo de instrumento. Recurso ordinário. Deserção. Conselho de fiscalizaçã</w:t>
      </w:r>
      <w:r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>o profissional. Privilégios da Fazenda P</w:t>
      </w:r>
      <w:r w:rsidRPr="00F758AE">
        <w:rPr>
          <w:rFonts w:ascii="Times New Roman" w:eastAsia="Calibri" w:hAnsi="Times New Roman" w:cs="Times New Roman"/>
          <w:b/>
          <w:i/>
          <w:color w:val="auto"/>
          <w:lang w:val="pt-BR" w:eastAsia="en-US"/>
        </w:rPr>
        <w:t>ública.</w:t>
      </w:r>
    </w:p>
    <w:p w:rsidR="00817AB1" w:rsidRPr="00895CC6" w:rsidRDefault="00817AB1" w:rsidP="00817AB1">
      <w:pPr>
        <w:pStyle w:val="Corpo"/>
        <w:spacing w:line="240" w:lineRule="auto"/>
        <w:ind w:firstLine="0"/>
        <w:rPr>
          <w:rFonts w:ascii="Times New Roman" w:eastAsia="Calibri" w:hAnsi="Times New Roman" w:cs="Times New Roman"/>
          <w:color w:val="auto"/>
          <w:lang w:val="pt-BR" w:eastAsia="en-US"/>
        </w:rPr>
      </w:pPr>
      <w:r>
        <w:rPr>
          <w:rFonts w:ascii="Times New Roman" w:eastAsia="Calibri" w:hAnsi="Times New Roman" w:cs="Times New Roman"/>
          <w:color w:val="auto"/>
          <w:lang w:val="pt-BR" w:eastAsia="en-US"/>
        </w:rPr>
        <w:t>O</w:t>
      </w:r>
      <w:r w:rsidRPr="00F758AE">
        <w:rPr>
          <w:rFonts w:ascii="Times New Roman" w:eastAsia="Calibri" w:hAnsi="Times New Roman" w:cs="Times New Roman"/>
          <w:color w:val="auto"/>
          <w:lang w:val="pt-BR" w:eastAsia="en-US"/>
        </w:rPr>
        <w:t>s conselhos de fiscalização profissional são autarquias em regime especial, sendo-lhes aplicáveis os privilégios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da Fazenda Pública,</w:t>
      </w:r>
      <w:r w:rsidRPr="00F758AE">
        <w:rPr>
          <w:rFonts w:ascii="Times New Roman" w:eastAsia="Calibri" w:hAnsi="Times New Roman" w:cs="Times New Roman"/>
          <w:color w:val="auto"/>
          <w:lang w:val="pt-BR" w:eastAsia="en-US"/>
        </w:rPr>
        <w:t xml:space="preserve"> previstos no Decreto Lei nº 779/69. Assim, estão dispensados do recolhimento de custas processuais e de depósito recursal.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Sob esse entendimento, a SBDI-II, por unanimidade, conheceu do agravo de instrumento e, no mérito, deu-lhe provimento</w:t>
      </w:r>
      <w:r w:rsidRPr="00F758AE">
        <w:rPr>
          <w:rFonts w:ascii="Times New Roman" w:eastAsia="Calibri" w:hAnsi="Times New Roman" w:cs="Times New Roman"/>
          <w:color w:val="auto"/>
          <w:lang w:val="pt-BR" w:eastAsia="en-US"/>
        </w:rPr>
        <w:t xml:space="preserve"> para, afastada a deserção do apelo, submeter o recurso ordinário do 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>a</w:t>
      </w:r>
      <w:r w:rsidRPr="00F758AE">
        <w:rPr>
          <w:rFonts w:ascii="Times New Roman" w:eastAsia="Calibri" w:hAnsi="Times New Roman" w:cs="Times New Roman"/>
          <w:color w:val="auto"/>
          <w:lang w:val="pt-BR" w:eastAsia="en-US"/>
        </w:rPr>
        <w:t>utor a julgamento do colegiado na primeira sessão subsequente à publicação da certidão de provimento do agravo.</w:t>
      </w:r>
      <w:r>
        <w:rPr>
          <w:rFonts w:ascii="Times New Roman" w:eastAsia="Calibri" w:hAnsi="Times New Roman" w:cs="Times New Roman"/>
          <w:color w:val="auto"/>
          <w:lang w:val="pt-BR" w:eastAsia="en-US"/>
        </w:rPr>
        <w:t xml:space="preserve"> </w:t>
      </w:r>
      <w:r w:rsidRPr="00E950A9">
        <w:rPr>
          <w:rFonts w:ascii="Times New Roman" w:hAnsi="Times New Roman"/>
          <w:u w:val="single"/>
          <w:lang w:val="pt-BR"/>
        </w:rPr>
        <w:t>TST-</w:t>
      </w:r>
      <w:hyperlink r:id="rId12" w:history="1">
        <w:r w:rsidRPr="00CF3D9D">
          <w:rPr>
            <w:rStyle w:val="Hyperlink"/>
            <w:rFonts w:ascii="Times New Roman" w:hAnsi="Times New Roman" w:cs="Courier New"/>
            <w:lang w:val="pt-BR"/>
          </w:rPr>
          <w:t>AIRO-11086-96.2012.5.01.0000</w:t>
        </w:r>
      </w:hyperlink>
      <w:r w:rsidRPr="00E950A9">
        <w:rPr>
          <w:rFonts w:ascii="Times New Roman" w:hAnsi="Times New Roman"/>
          <w:u w:val="single"/>
          <w:lang w:val="pt-BR"/>
        </w:rPr>
        <w:t>, S</w:t>
      </w:r>
      <w:r>
        <w:rPr>
          <w:rFonts w:ascii="Times New Roman" w:hAnsi="Times New Roman"/>
          <w:u w:val="single"/>
          <w:lang w:val="pt-BR"/>
        </w:rPr>
        <w:t>BDI-II</w:t>
      </w:r>
      <w:r w:rsidRPr="00E950A9">
        <w:rPr>
          <w:rFonts w:ascii="Times New Roman" w:hAnsi="Times New Roman"/>
          <w:u w:val="single"/>
          <w:lang w:val="pt-BR"/>
        </w:rPr>
        <w:t xml:space="preserve">, rel. Min. </w:t>
      </w:r>
      <w:r w:rsidRPr="00F758AE">
        <w:rPr>
          <w:rFonts w:ascii="Times New Roman" w:hAnsi="Times New Roman"/>
          <w:u w:val="single"/>
          <w:lang w:val="pt-BR"/>
        </w:rPr>
        <w:t>Emmanoel Pereira</w:t>
      </w:r>
      <w:r w:rsidRPr="00E950A9">
        <w:rPr>
          <w:rFonts w:ascii="Times New Roman" w:hAnsi="Times New Roman"/>
          <w:u w:val="single"/>
          <w:lang w:val="pt-BR"/>
        </w:rPr>
        <w:t xml:space="preserve">, </w:t>
      </w:r>
      <w:r>
        <w:rPr>
          <w:rFonts w:ascii="Times New Roman" w:hAnsi="Times New Roman"/>
          <w:u w:val="single"/>
          <w:lang w:val="pt-BR"/>
        </w:rPr>
        <w:t>23</w:t>
      </w:r>
      <w:r w:rsidRPr="00E950A9">
        <w:rPr>
          <w:rFonts w:ascii="Times New Roman" w:hAnsi="Times New Roman"/>
          <w:u w:val="single"/>
          <w:lang w:val="pt-BR"/>
        </w:rPr>
        <w:t>.6.2015</w:t>
      </w:r>
    </w:p>
    <w:p w:rsidR="004A5908" w:rsidRDefault="004A5908" w:rsidP="00BC54BC">
      <w:pPr>
        <w:pStyle w:val="Corpo"/>
        <w:spacing w:line="240" w:lineRule="auto"/>
        <w:ind w:firstLine="0"/>
        <w:rPr>
          <w:rFonts w:ascii="Times New Roman" w:hAnsi="Times New Roman"/>
          <w:sz w:val="20"/>
          <w:szCs w:val="20"/>
          <w:u w:val="single"/>
          <w:lang w:val="pt-BR"/>
        </w:rPr>
      </w:pPr>
    </w:p>
    <w:p w:rsidR="008627C6" w:rsidRDefault="008627C6" w:rsidP="00BC54BC">
      <w:pPr>
        <w:pStyle w:val="Corpo"/>
        <w:spacing w:line="240" w:lineRule="auto"/>
        <w:ind w:firstLine="0"/>
        <w:rPr>
          <w:rFonts w:ascii="Times New Roman" w:hAnsi="Times New Roman"/>
          <w:sz w:val="20"/>
          <w:szCs w:val="20"/>
          <w:u w:val="single"/>
          <w:lang w:val="pt-BR"/>
        </w:rPr>
      </w:pPr>
    </w:p>
    <w:p w:rsidR="004A5908" w:rsidRPr="00BC2C67" w:rsidRDefault="004A5908" w:rsidP="00BC54BC">
      <w:pPr>
        <w:pStyle w:val="Corpo"/>
        <w:spacing w:line="240" w:lineRule="auto"/>
        <w:ind w:firstLine="0"/>
        <w:rPr>
          <w:rFonts w:ascii="Times New Roman" w:hAnsi="Times New Roman"/>
          <w:sz w:val="20"/>
          <w:szCs w:val="20"/>
          <w:u w:val="single"/>
          <w:lang w:val="pt-BR"/>
        </w:rPr>
      </w:pPr>
    </w:p>
    <w:p w:rsidR="004A5908" w:rsidRPr="00BC54BC" w:rsidRDefault="004A5908" w:rsidP="00C54185">
      <w:pPr>
        <w:jc w:val="both"/>
      </w:pP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é mantido pela </w:t>
      </w:r>
    </w:p>
    <w:p w:rsidR="00184590" w:rsidRPr="005D1DE4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Coordenadoria de Jurisprudência – CJUR</w:t>
      </w:r>
    </w:p>
    <w:p w:rsidR="00184590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D11B2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D70" w:rsidRDefault="00A00D70">
      <w:r>
        <w:separator/>
      </w:r>
    </w:p>
  </w:endnote>
  <w:endnote w:type="continuationSeparator" w:id="0">
    <w:p w:rsidR="00A00D70" w:rsidRDefault="00A0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747F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0747F3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D70" w:rsidRDefault="00A00D70">
      <w:r>
        <w:separator/>
      </w:r>
    </w:p>
  </w:footnote>
  <w:footnote w:type="continuationSeparator" w:id="0">
    <w:p w:rsidR="00A00D70" w:rsidRDefault="00A00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5A30AA">
      <w:rPr>
        <w:shadow/>
        <w:sz w:val="24"/>
        <w:szCs w:val="24"/>
      </w:rPr>
      <w:t>111</w:t>
    </w:r>
  </w:p>
  <w:p w:rsidR="005A30AA" w:rsidRPr="005D1DE4" w:rsidRDefault="00187A37" w:rsidP="005A30AA">
    <w:pPr>
      <w:pStyle w:val="Cabealho"/>
      <w:jc w:val="right"/>
    </w:pPr>
    <w:r w:rsidRPr="00DB0223"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DB0223" w:rsidRPr="00DB0223">
      <w:rPr>
        <w:iCs/>
      </w:rPr>
      <w:t xml:space="preserve"> </w:t>
    </w:r>
    <w:r w:rsidR="005A30AA">
      <w:rPr>
        <w:i/>
        <w:iCs/>
      </w:rPr>
      <w:t>Período:</w:t>
    </w:r>
    <w:r w:rsidR="005A30AA" w:rsidRPr="005D1DE4">
      <w:rPr>
        <w:i/>
        <w:iCs/>
      </w:rPr>
      <w:t xml:space="preserve"> </w:t>
    </w:r>
    <w:r w:rsidR="005A30AA">
      <w:rPr>
        <w:i/>
        <w:iCs/>
      </w:rPr>
      <w:t>16 a 22 de junho de 2015</w:t>
    </w:r>
  </w:p>
  <w:p w:rsidR="00DB0223" w:rsidRPr="00DB0223" w:rsidRDefault="00DB0223" w:rsidP="00DB0223">
    <w:pPr>
      <w:pStyle w:val="Cabealho"/>
      <w:jc w:val="right"/>
    </w:pPr>
  </w:p>
  <w:p w:rsidR="00FE00AD" w:rsidRDefault="00FE00AD">
    <w:pPr>
      <w:pStyle w:val="Ttulo6"/>
      <w:spacing w:line="360" w:lineRule="auto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.3pt;height:76.7pt">
          <v:imagedata r:id="rId1" o:title="TST LOGO"/>
        </v:shape>
      </w:pic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470EF8">
      <w:rPr>
        <w:b/>
        <w:sz w:val="40"/>
        <w:szCs w:val="40"/>
      </w:rPr>
      <w:t>111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Pr="005D1DE4" w:rsidRDefault="002168DE">
    <w:pPr>
      <w:pStyle w:val="Cabealho"/>
      <w:jc w:val="right"/>
    </w:pPr>
    <w:r>
      <w:rPr>
        <w:i/>
        <w:iCs/>
      </w:rPr>
      <w:t>Período:</w:t>
    </w:r>
    <w:r w:rsidR="00FE00AD" w:rsidRPr="005D1DE4">
      <w:rPr>
        <w:i/>
        <w:iCs/>
      </w:rPr>
      <w:t xml:space="preserve"> </w:t>
    </w:r>
    <w:r w:rsidR="00470EF8">
      <w:rPr>
        <w:i/>
        <w:iCs/>
      </w:rPr>
      <w:t>16 a 22 de junho</w:t>
    </w:r>
    <w:r w:rsidR="00BC54BC">
      <w:rPr>
        <w:i/>
        <w:iCs/>
      </w:rPr>
      <w:t xml:space="preserve"> </w:t>
    </w:r>
    <w:r w:rsidR="004A094C">
      <w:rPr>
        <w:i/>
        <w:iCs/>
      </w:rPr>
      <w:t>de 201</w:t>
    </w:r>
    <w:r w:rsidR="00C54185">
      <w:rPr>
        <w:i/>
        <w:iCs/>
      </w:rPr>
      <w:t>5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228E6"/>
    <w:rsid w:val="00032056"/>
    <w:rsid w:val="000322FB"/>
    <w:rsid w:val="000425FC"/>
    <w:rsid w:val="00050E85"/>
    <w:rsid w:val="00056752"/>
    <w:rsid w:val="00057B87"/>
    <w:rsid w:val="0006020E"/>
    <w:rsid w:val="000733B4"/>
    <w:rsid w:val="00073880"/>
    <w:rsid w:val="000747F3"/>
    <w:rsid w:val="00075BDB"/>
    <w:rsid w:val="00080F10"/>
    <w:rsid w:val="0009237D"/>
    <w:rsid w:val="00093AE9"/>
    <w:rsid w:val="00093BA8"/>
    <w:rsid w:val="000A04E6"/>
    <w:rsid w:val="000B2973"/>
    <w:rsid w:val="000B4D41"/>
    <w:rsid w:val="000B67DF"/>
    <w:rsid w:val="000B7CDE"/>
    <w:rsid w:val="000C3022"/>
    <w:rsid w:val="000C5AC6"/>
    <w:rsid w:val="000C672B"/>
    <w:rsid w:val="000E0A91"/>
    <w:rsid w:val="000E1DC1"/>
    <w:rsid w:val="0011575C"/>
    <w:rsid w:val="0011692E"/>
    <w:rsid w:val="00137564"/>
    <w:rsid w:val="00137DC1"/>
    <w:rsid w:val="00142C28"/>
    <w:rsid w:val="0015612D"/>
    <w:rsid w:val="00161CDE"/>
    <w:rsid w:val="00163142"/>
    <w:rsid w:val="00176D15"/>
    <w:rsid w:val="00184590"/>
    <w:rsid w:val="00187A37"/>
    <w:rsid w:val="0019151D"/>
    <w:rsid w:val="00193208"/>
    <w:rsid w:val="00197B15"/>
    <w:rsid w:val="001C04D2"/>
    <w:rsid w:val="001C271F"/>
    <w:rsid w:val="001C6C93"/>
    <w:rsid w:val="001D4CF9"/>
    <w:rsid w:val="001D5AB0"/>
    <w:rsid w:val="001D757D"/>
    <w:rsid w:val="001E14A9"/>
    <w:rsid w:val="001E14BB"/>
    <w:rsid w:val="001E4B57"/>
    <w:rsid w:val="001E5BD1"/>
    <w:rsid w:val="001E713B"/>
    <w:rsid w:val="001F030F"/>
    <w:rsid w:val="00206810"/>
    <w:rsid w:val="002168DE"/>
    <w:rsid w:val="00224AC2"/>
    <w:rsid w:val="0023559D"/>
    <w:rsid w:val="002402B0"/>
    <w:rsid w:val="002449F9"/>
    <w:rsid w:val="002635ED"/>
    <w:rsid w:val="002662BA"/>
    <w:rsid w:val="00266D49"/>
    <w:rsid w:val="00271C5C"/>
    <w:rsid w:val="00271E67"/>
    <w:rsid w:val="002730B5"/>
    <w:rsid w:val="00276EA0"/>
    <w:rsid w:val="00280594"/>
    <w:rsid w:val="00285064"/>
    <w:rsid w:val="002A219D"/>
    <w:rsid w:val="002A546D"/>
    <w:rsid w:val="002B4738"/>
    <w:rsid w:val="002B6377"/>
    <w:rsid w:val="002C2904"/>
    <w:rsid w:val="002E78CB"/>
    <w:rsid w:val="0033397A"/>
    <w:rsid w:val="00352B27"/>
    <w:rsid w:val="0035374D"/>
    <w:rsid w:val="0036325E"/>
    <w:rsid w:val="003671FE"/>
    <w:rsid w:val="003708FD"/>
    <w:rsid w:val="0037667D"/>
    <w:rsid w:val="00380212"/>
    <w:rsid w:val="00383A89"/>
    <w:rsid w:val="00384075"/>
    <w:rsid w:val="003908C5"/>
    <w:rsid w:val="00396053"/>
    <w:rsid w:val="003A4086"/>
    <w:rsid w:val="003A5E5B"/>
    <w:rsid w:val="003B045C"/>
    <w:rsid w:val="003B0A59"/>
    <w:rsid w:val="003B3EB5"/>
    <w:rsid w:val="003B4E23"/>
    <w:rsid w:val="003B767E"/>
    <w:rsid w:val="003C6FE7"/>
    <w:rsid w:val="003D032E"/>
    <w:rsid w:val="003D4205"/>
    <w:rsid w:val="003F2078"/>
    <w:rsid w:val="0042772A"/>
    <w:rsid w:val="004323B0"/>
    <w:rsid w:val="00444E88"/>
    <w:rsid w:val="004477EC"/>
    <w:rsid w:val="0045657C"/>
    <w:rsid w:val="004655CC"/>
    <w:rsid w:val="00466DB9"/>
    <w:rsid w:val="00470EF8"/>
    <w:rsid w:val="00486521"/>
    <w:rsid w:val="00486DFC"/>
    <w:rsid w:val="004922D6"/>
    <w:rsid w:val="004A094C"/>
    <w:rsid w:val="004A14FC"/>
    <w:rsid w:val="004A5264"/>
    <w:rsid w:val="004A5908"/>
    <w:rsid w:val="004B21AD"/>
    <w:rsid w:val="004C011C"/>
    <w:rsid w:val="004C14EA"/>
    <w:rsid w:val="004C2118"/>
    <w:rsid w:val="004C2612"/>
    <w:rsid w:val="004D6000"/>
    <w:rsid w:val="004D6415"/>
    <w:rsid w:val="004D71E8"/>
    <w:rsid w:val="004E393E"/>
    <w:rsid w:val="004E4507"/>
    <w:rsid w:val="004E4619"/>
    <w:rsid w:val="004F0A7D"/>
    <w:rsid w:val="0051538E"/>
    <w:rsid w:val="00517E01"/>
    <w:rsid w:val="00521EEC"/>
    <w:rsid w:val="005460BD"/>
    <w:rsid w:val="00553197"/>
    <w:rsid w:val="0055409E"/>
    <w:rsid w:val="00556367"/>
    <w:rsid w:val="00556B35"/>
    <w:rsid w:val="00573E13"/>
    <w:rsid w:val="00584F82"/>
    <w:rsid w:val="00591DFA"/>
    <w:rsid w:val="005A30AA"/>
    <w:rsid w:val="005A5695"/>
    <w:rsid w:val="005B0A1C"/>
    <w:rsid w:val="005B2F00"/>
    <w:rsid w:val="005B3792"/>
    <w:rsid w:val="005B57DE"/>
    <w:rsid w:val="005C1886"/>
    <w:rsid w:val="005C761E"/>
    <w:rsid w:val="005D0E5F"/>
    <w:rsid w:val="005D1DE4"/>
    <w:rsid w:val="005E35BD"/>
    <w:rsid w:val="005E3D4D"/>
    <w:rsid w:val="005E7FD1"/>
    <w:rsid w:val="005F0545"/>
    <w:rsid w:val="005F2858"/>
    <w:rsid w:val="006002E3"/>
    <w:rsid w:val="006145AC"/>
    <w:rsid w:val="00615F98"/>
    <w:rsid w:val="00621F9C"/>
    <w:rsid w:val="00631166"/>
    <w:rsid w:val="00631F1C"/>
    <w:rsid w:val="006366A4"/>
    <w:rsid w:val="00643B60"/>
    <w:rsid w:val="006456B1"/>
    <w:rsid w:val="006564EC"/>
    <w:rsid w:val="0066084C"/>
    <w:rsid w:val="00661B23"/>
    <w:rsid w:val="00672CF9"/>
    <w:rsid w:val="00672E11"/>
    <w:rsid w:val="0068273B"/>
    <w:rsid w:val="00691234"/>
    <w:rsid w:val="006931CC"/>
    <w:rsid w:val="006947F2"/>
    <w:rsid w:val="00697919"/>
    <w:rsid w:val="006B3FCF"/>
    <w:rsid w:val="006B46CA"/>
    <w:rsid w:val="006C0391"/>
    <w:rsid w:val="006C28B3"/>
    <w:rsid w:val="006D1F66"/>
    <w:rsid w:val="006D306E"/>
    <w:rsid w:val="006D4497"/>
    <w:rsid w:val="006F6C15"/>
    <w:rsid w:val="00700B1B"/>
    <w:rsid w:val="0070727E"/>
    <w:rsid w:val="00710D3A"/>
    <w:rsid w:val="0071315F"/>
    <w:rsid w:val="00721942"/>
    <w:rsid w:val="00722BE7"/>
    <w:rsid w:val="00732DF2"/>
    <w:rsid w:val="007614F1"/>
    <w:rsid w:val="007618C5"/>
    <w:rsid w:val="00764066"/>
    <w:rsid w:val="00776118"/>
    <w:rsid w:val="007B0F83"/>
    <w:rsid w:val="007D29A1"/>
    <w:rsid w:val="007D469A"/>
    <w:rsid w:val="007E0EA7"/>
    <w:rsid w:val="007E3F23"/>
    <w:rsid w:val="007F142E"/>
    <w:rsid w:val="007F66BC"/>
    <w:rsid w:val="007F7B5E"/>
    <w:rsid w:val="00802B1A"/>
    <w:rsid w:val="0080615C"/>
    <w:rsid w:val="0081027F"/>
    <w:rsid w:val="0081742D"/>
    <w:rsid w:val="00817AB1"/>
    <w:rsid w:val="00821F4D"/>
    <w:rsid w:val="00823906"/>
    <w:rsid w:val="008409D3"/>
    <w:rsid w:val="00845559"/>
    <w:rsid w:val="00854DB8"/>
    <w:rsid w:val="00854EF2"/>
    <w:rsid w:val="008627C6"/>
    <w:rsid w:val="00863B86"/>
    <w:rsid w:val="00871F69"/>
    <w:rsid w:val="008842D0"/>
    <w:rsid w:val="00884AC4"/>
    <w:rsid w:val="0088579D"/>
    <w:rsid w:val="008A7953"/>
    <w:rsid w:val="008B3081"/>
    <w:rsid w:val="008B32D4"/>
    <w:rsid w:val="008C7AD0"/>
    <w:rsid w:val="008D0020"/>
    <w:rsid w:val="008D3C38"/>
    <w:rsid w:val="008D6A05"/>
    <w:rsid w:val="008E2AE5"/>
    <w:rsid w:val="008E3F89"/>
    <w:rsid w:val="008F26CB"/>
    <w:rsid w:val="008F6509"/>
    <w:rsid w:val="008F79D9"/>
    <w:rsid w:val="009027C8"/>
    <w:rsid w:val="0093467A"/>
    <w:rsid w:val="0094155C"/>
    <w:rsid w:val="00951531"/>
    <w:rsid w:val="00960A3B"/>
    <w:rsid w:val="00967DE0"/>
    <w:rsid w:val="00971E07"/>
    <w:rsid w:val="00980944"/>
    <w:rsid w:val="00986D77"/>
    <w:rsid w:val="00993A6E"/>
    <w:rsid w:val="009943EC"/>
    <w:rsid w:val="009A32D5"/>
    <w:rsid w:val="009B6012"/>
    <w:rsid w:val="009C102D"/>
    <w:rsid w:val="009C2A4F"/>
    <w:rsid w:val="009D4C59"/>
    <w:rsid w:val="009D7F91"/>
    <w:rsid w:val="009E20EF"/>
    <w:rsid w:val="009E26EE"/>
    <w:rsid w:val="009F21A2"/>
    <w:rsid w:val="00A00D70"/>
    <w:rsid w:val="00A32FBF"/>
    <w:rsid w:val="00A407EA"/>
    <w:rsid w:val="00A51749"/>
    <w:rsid w:val="00A521B6"/>
    <w:rsid w:val="00A56962"/>
    <w:rsid w:val="00A6412C"/>
    <w:rsid w:val="00A75419"/>
    <w:rsid w:val="00A76661"/>
    <w:rsid w:val="00A76D2A"/>
    <w:rsid w:val="00A82081"/>
    <w:rsid w:val="00A8557E"/>
    <w:rsid w:val="00A91181"/>
    <w:rsid w:val="00A935AC"/>
    <w:rsid w:val="00AA3DE0"/>
    <w:rsid w:val="00AB299E"/>
    <w:rsid w:val="00AB507C"/>
    <w:rsid w:val="00AD6E76"/>
    <w:rsid w:val="00AE3EAA"/>
    <w:rsid w:val="00AE5EDF"/>
    <w:rsid w:val="00AE758A"/>
    <w:rsid w:val="00B14F7F"/>
    <w:rsid w:val="00B16EB9"/>
    <w:rsid w:val="00B22F24"/>
    <w:rsid w:val="00B22F53"/>
    <w:rsid w:val="00B24DBE"/>
    <w:rsid w:val="00B34EB2"/>
    <w:rsid w:val="00B4728A"/>
    <w:rsid w:val="00B517C3"/>
    <w:rsid w:val="00B518B2"/>
    <w:rsid w:val="00B526EA"/>
    <w:rsid w:val="00B536FE"/>
    <w:rsid w:val="00B73FFA"/>
    <w:rsid w:val="00B874F1"/>
    <w:rsid w:val="00BC1DE7"/>
    <w:rsid w:val="00BC2C67"/>
    <w:rsid w:val="00BC54BC"/>
    <w:rsid w:val="00BC5AEE"/>
    <w:rsid w:val="00BD6029"/>
    <w:rsid w:val="00BE0541"/>
    <w:rsid w:val="00BE1ADB"/>
    <w:rsid w:val="00BF0693"/>
    <w:rsid w:val="00C070DE"/>
    <w:rsid w:val="00C26DFB"/>
    <w:rsid w:val="00C273FA"/>
    <w:rsid w:val="00C30D06"/>
    <w:rsid w:val="00C42067"/>
    <w:rsid w:val="00C432D0"/>
    <w:rsid w:val="00C4398E"/>
    <w:rsid w:val="00C54185"/>
    <w:rsid w:val="00C60B4A"/>
    <w:rsid w:val="00C65BDB"/>
    <w:rsid w:val="00C71A3B"/>
    <w:rsid w:val="00C76CFA"/>
    <w:rsid w:val="00C963F8"/>
    <w:rsid w:val="00C96BB1"/>
    <w:rsid w:val="00CA2F80"/>
    <w:rsid w:val="00CB0C2A"/>
    <w:rsid w:val="00CC4B2B"/>
    <w:rsid w:val="00CC579C"/>
    <w:rsid w:val="00CC5F5F"/>
    <w:rsid w:val="00CD3460"/>
    <w:rsid w:val="00CD4B61"/>
    <w:rsid w:val="00CD5043"/>
    <w:rsid w:val="00CE2928"/>
    <w:rsid w:val="00CE314A"/>
    <w:rsid w:val="00CF3D9D"/>
    <w:rsid w:val="00D01C50"/>
    <w:rsid w:val="00D11B24"/>
    <w:rsid w:val="00D11C18"/>
    <w:rsid w:val="00D133C8"/>
    <w:rsid w:val="00D14DB8"/>
    <w:rsid w:val="00D17339"/>
    <w:rsid w:val="00D244D5"/>
    <w:rsid w:val="00D2776A"/>
    <w:rsid w:val="00D413DB"/>
    <w:rsid w:val="00D420E2"/>
    <w:rsid w:val="00D4459D"/>
    <w:rsid w:val="00D573F9"/>
    <w:rsid w:val="00D6058B"/>
    <w:rsid w:val="00D63EC5"/>
    <w:rsid w:val="00D64BC3"/>
    <w:rsid w:val="00D72C05"/>
    <w:rsid w:val="00D73575"/>
    <w:rsid w:val="00D735BF"/>
    <w:rsid w:val="00D77672"/>
    <w:rsid w:val="00D80222"/>
    <w:rsid w:val="00D847CF"/>
    <w:rsid w:val="00DA0A99"/>
    <w:rsid w:val="00DA7603"/>
    <w:rsid w:val="00DA7E39"/>
    <w:rsid w:val="00DA7EDE"/>
    <w:rsid w:val="00DB0223"/>
    <w:rsid w:val="00DC0AB5"/>
    <w:rsid w:val="00DC3451"/>
    <w:rsid w:val="00DC50EB"/>
    <w:rsid w:val="00DD19F4"/>
    <w:rsid w:val="00DD3FA0"/>
    <w:rsid w:val="00DE5B2D"/>
    <w:rsid w:val="00DE5CE9"/>
    <w:rsid w:val="00E03064"/>
    <w:rsid w:val="00E04BD5"/>
    <w:rsid w:val="00E070D2"/>
    <w:rsid w:val="00E1539C"/>
    <w:rsid w:val="00E162B6"/>
    <w:rsid w:val="00E16E01"/>
    <w:rsid w:val="00E24A50"/>
    <w:rsid w:val="00E31469"/>
    <w:rsid w:val="00E35639"/>
    <w:rsid w:val="00E432CC"/>
    <w:rsid w:val="00E50711"/>
    <w:rsid w:val="00E60AD3"/>
    <w:rsid w:val="00E60EDA"/>
    <w:rsid w:val="00E62BBC"/>
    <w:rsid w:val="00E9503C"/>
    <w:rsid w:val="00E956D9"/>
    <w:rsid w:val="00EA1958"/>
    <w:rsid w:val="00EA29F5"/>
    <w:rsid w:val="00EA482D"/>
    <w:rsid w:val="00EB5FE6"/>
    <w:rsid w:val="00EB61A5"/>
    <w:rsid w:val="00EB6C1B"/>
    <w:rsid w:val="00EB7A09"/>
    <w:rsid w:val="00EC5AF4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06855"/>
    <w:rsid w:val="00F17A2C"/>
    <w:rsid w:val="00F26708"/>
    <w:rsid w:val="00F45608"/>
    <w:rsid w:val="00F511EE"/>
    <w:rsid w:val="00F558E7"/>
    <w:rsid w:val="00F62016"/>
    <w:rsid w:val="00F63F44"/>
    <w:rsid w:val="00F6746D"/>
    <w:rsid w:val="00F811CD"/>
    <w:rsid w:val="00F82D8F"/>
    <w:rsid w:val="00F83F62"/>
    <w:rsid w:val="00F9711D"/>
    <w:rsid w:val="00FA75E0"/>
    <w:rsid w:val="00FB20B1"/>
    <w:rsid w:val="00FB3AB4"/>
    <w:rsid w:val="00FC35EC"/>
    <w:rsid w:val="00FC56A4"/>
    <w:rsid w:val="00FD3D06"/>
    <w:rsid w:val="00FD5662"/>
    <w:rsid w:val="00FD72B6"/>
    <w:rsid w:val="00FE00AD"/>
    <w:rsid w:val="00FE206E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cacao4.tst.jus.br/consultaProcessual/consultaTstNumUnica.do?consulta=Consultar&amp;conscsjt=&amp;numeroTst=846&amp;digitoTst=13&amp;anoTst=2010&amp;orgaoTst=5&amp;tribunalTst=22&amp;varaTst=0104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licacao4.tst.jus.br/consultaProcessual/consultaTstNumUnica.do?consulta=Consultar&amp;conscsjt=&amp;numeroTst=11086&amp;digitoTst=96&amp;anoTst=2012&amp;orgaoTst=5&amp;tribunalTst=01&amp;varaTst=00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licacao4.tst.jus.br/consultaProcessual/consultaTstNumUnica.do?consulta=Consultar&amp;conscsjt=&amp;numeroTst=148100&amp;digitoTst=34&amp;anoTst=2009&amp;orgaoTst=5&amp;tribunalTst=03&amp;varaTst=011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aplicacao4.tst.jus.br/consultaProcessual/consultaTstNumUnica.do?consulta=Consultar&amp;conscsjt=&amp;numeroTst=849&amp;digitoTst=83&amp;anoTst=2013&amp;orgaoTst=5&amp;tribunalTst=03&amp;varaTst=01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licacao4.tst.jus.br/consultaProcessual/consultaTstNumUnica.do?consulta=Consultar&amp;conscsjt=&amp;numeroTst=2690740&amp;digitoTst=31&amp;anoTst=2000&amp;orgaoTst=5&amp;tribunalTst=09&amp;varaTst=0652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5D02C-90E1-4740-918F-E082C537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1265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8086</CharactersWithSpaces>
  <SharedDoc>false</SharedDoc>
  <HLinks>
    <vt:vector size="30" baseType="variant">
      <vt:variant>
        <vt:i4>6488113</vt:i4>
      </vt:variant>
      <vt:variant>
        <vt:i4>12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http://aplicacao4.tst.jus.br/consultaProcessual/consultaTstNumUnica.do?consulta=Consultar&amp;conscsjt=&amp;numeroTst=11086&amp;digitoTst=96&amp;anoTst=2012&amp;orgaoTst=5&amp;tribunalTst=01&amp;varaTst=0000</vt:lpwstr>
      </vt:variant>
      <vt:variant>
        <vt:lpwstr/>
      </vt:variant>
      <vt:variant>
        <vt:i4>1310788</vt:i4>
      </vt:variant>
      <vt:variant>
        <vt:i4>9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http://aplicacao4.tst.jus.br/consultaProcessual/consultaTstNumUnica.do?consulta=Consultar&amp;conscsjt=&amp;numeroTst=148100&amp;digitoTst=34&amp;anoTst=2009&amp;orgaoTst=5&amp;tribunalTst=03&amp;varaTst=0110</vt:lpwstr>
      </vt:variant>
      <vt:variant>
        <vt:lpwstr/>
      </vt:variant>
      <vt:variant>
        <vt:i4>5963783</vt:i4>
      </vt:variant>
      <vt:variant>
        <vt:i4>6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http://aplicacao4.tst.jus.br/consultaProcessual/consultaTstNumUnica.do?consulta=Consultar&amp;conscsjt=&amp;numeroTst=849&amp;digitoTst=83&amp;anoTst=2013&amp;orgaoTst=5&amp;tribunalTst=03&amp;varaTst=0138</vt:lpwstr>
      </vt:variant>
      <vt:variant>
        <vt:lpwstr/>
      </vt:variant>
      <vt:variant>
        <vt:i4>5242887</vt:i4>
      </vt:variant>
      <vt:variant>
        <vt:i4>3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http://aplicacao4.tst.jus.br/consultaProcessual/consultaTstNumUnica.do?consulta=Consultar&amp;conscsjt=&amp;numeroTst=2690740&amp;digitoTst=31&amp;anoTst=2000&amp;orgaoTst=5&amp;tribunalTst=09&amp;varaTst=0652</vt:lpwstr>
      </vt:variant>
      <vt:variant>
        <vt:lpwstr/>
      </vt:variant>
      <vt:variant>
        <vt:i4>5898243</vt:i4>
      </vt:variant>
      <vt:variant>
        <vt:i4>0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http://aplicacao4.tst.jus.br/consultaProcessual/consultaTstNumUnica.do?consulta=Consultar&amp;conscsjt=&amp;numeroTst=846&amp;digitoTst=13&amp;anoTst=2010&amp;orgaoTst=5&amp;tribunalTst=22&amp;varaTst=0104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2015-03-19T20:01:00Z</cp:lastPrinted>
  <dcterms:created xsi:type="dcterms:W3CDTF">2018-06-27T21:49:00Z</dcterms:created>
  <dcterms:modified xsi:type="dcterms:W3CDTF">2018-06-27T21:49:00Z</dcterms:modified>
</cp:coreProperties>
</file>