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C71A3B" w:rsidRPr="00C54185" w:rsidRDefault="00C71A3B" w:rsidP="00F82D8F">
      <w:pPr>
        <w:pStyle w:val="Corpo"/>
        <w:spacing w:line="240" w:lineRule="auto"/>
        <w:ind w:firstLine="0"/>
        <w:rPr>
          <w:rFonts w:ascii="Times New Roman" w:hAnsi="Times New Roman" w:cs="Times New Roman"/>
          <w:b/>
          <w:bCs/>
          <w:shadow/>
          <w:color w:val="auto"/>
          <w:sz w:val="10"/>
          <w:szCs w:val="10"/>
          <w:lang w:val="pt-BR"/>
        </w:rPr>
      </w:pPr>
    </w:p>
    <w:p w:rsidR="00631F1C" w:rsidRPr="00971E07" w:rsidRDefault="00BC54B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ÓRGÃO ESPECIAL</w:t>
      </w:r>
    </w:p>
    <w:p w:rsidR="004477EC" w:rsidRPr="00BC54BC" w:rsidRDefault="004477EC" w:rsidP="004A094C">
      <w:pPr>
        <w:jc w:val="both"/>
        <w:rPr>
          <w:b/>
          <w:bCs/>
          <w:i/>
        </w:rPr>
      </w:pPr>
    </w:p>
    <w:p w:rsidR="005326C2" w:rsidRDefault="005326C2" w:rsidP="005326C2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  <w:r w:rsidRPr="00D87F4B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Recurso ordinário em agravo regimental.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 Inclusão da C</w:t>
      </w:r>
      <w:r w:rsidRPr="00034F53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ompanhia Estadual 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d</w:t>
      </w:r>
      <w:r w:rsidRPr="00034F53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e Águas 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e</w:t>
      </w:r>
      <w:r w:rsidRPr="00034F53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 Esgotos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 - CEDAE em plano especial de execuções. Determinação judicial de intimação da agravada para manifestação acerca de petições e documentos alusivos a onze agravos regimentais. </w:t>
      </w:r>
      <w:r w:rsidRPr="00D87F4B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Ausência de cumprimento pela secretaria. Direito ao contraditório violado.</w:t>
      </w:r>
    </w:p>
    <w:p w:rsidR="005326C2" w:rsidRPr="00895CC6" w:rsidRDefault="005326C2" w:rsidP="005326C2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Apesar de o </w:t>
      </w:r>
      <w:r w:rsidRPr="00034F53">
        <w:rPr>
          <w:rFonts w:ascii="Times New Roman" w:eastAsia="Calibri" w:hAnsi="Times New Roman" w:cs="Times New Roman"/>
          <w:color w:val="auto"/>
          <w:lang w:val="pt-BR" w:eastAsia="en-US"/>
        </w:rPr>
        <w:t>agravo regimental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não </w:t>
      </w:r>
      <w:r w:rsidRPr="00034F53">
        <w:rPr>
          <w:rFonts w:ascii="Times New Roman" w:eastAsia="Calibri" w:hAnsi="Times New Roman" w:cs="Times New Roman"/>
          <w:color w:val="auto"/>
          <w:lang w:val="pt-BR" w:eastAsia="en-US"/>
        </w:rPr>
        <w:t xml:space="preserve">necessariamente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comportar</w:t>
      </w:r>
      <w:r w:rsidRPr="00034F53">
        <w:rPr>
          <w:rFonts w:ascii="Times New Roman" w:eastAsia="Calibri" w:hAnsi="Times New Roman" w:cs="Times New Roman"/>
          <w:color w:val="auto"/>
          <w:lang w:val="pt-BR" w:eastAsia="en-US"/>
        </w:rPr>
        <w:t xml:space="preserve"> contraditório,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o fato de haver </w:t>
      </w:r>
      <w:r w:rsidRPr="00D87F4B">
        <w:rPr>
          <w:rFonts w:ascii="Times New Roman" w:eastAsia="Calibri" w:hAnsi="Times New Roman" w:cs="Times New Roman"/>
          <w:color w:val="auto"/>
          <w:lang w:val="pt-BR" w:eastAsia="en-US"/>
        </w:rPr>
        <w:t>determinação judicial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, não cumprida </w:t>
      </w:r>
      <w:r w:rsidRPr="00D87F4B">
        <w:rPr>
          <w:rFonts w:ascii="Times New Roman" w:eastAsia="Calibri" w:hAnsi="Times New Roman" w:cs="Times New Roman"/>
          <w:color w:val="auto"/>
          <w:lang w:val="pt-BR" w:eastAsia="en-US"/>
        </w:rPr>
        <w:t>pela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secretaria,</w:t>
      </w:r>
      <w:r w:rsidRPr="00D87F4B">
        <w:rPr>
          <w:rFonts w:ascii="Times New Roman" w:eastAsia="Calibri" w:hAnsi="Times New Roman" w:cs="Times New Roman"/>
          <w:color w:val="auto"/>
          <w:lang w:val="pt-BR" w:eastAsia="en-US"/>
        </w:rPr>
        <w:t xml:space="preserve"> de intimação da agravada para manifestação acerca de petições e documentos alusivos a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diversos</w:t>
      </w:r>
      <w:r w:rsidRPr="00D87F4B">
        <w:rPr>
          <w:rFonts w:ascii="Times New Roman" w:eastAsia="Calibri" w:hAnsi="Times New Roman" w:cs="Times New Roman"/>
          <w:color w:val="auto"/>
          <w:lang w:val="pt-BR" w:eastAsia="en-US"/>
        </w:rPr>
        <w:t xml:space="preserve"> agravos regimentais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</w:t>
      </w:r>
      <w:r w:rsidRPr="00D87F4B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gera o </w:t>
      </w:r>
      <w:r w:rsidRPr="00D87F4B">
        <w:rPr>
          <w:rFonts w:ascii="Times New Roman" w:eastAsia="Calibri" w:hAnsi="Times New Roman" w:cs="Times New Roman"/>
          <w:color w:val="auto"/>
          <w:lang w:val="pt-BR" w:eastAsia="en-US"/>
        </w:rPr>
        <w:t>direito ao contraditório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, que, violado, implica nulidade. No caso, </w:t>
      </w:r>
      <w:r w:rsidRPr="00034F53">
        <w:rPr>
          <w:rFonts w:ascii="Times New Roman" w:eastAsia="Calibri" w:hAnsi="Times New Roman" w:cs="Times New Roman"/>
          <w:color w:val="auto"/>
          <w:lang w:val="pt-BR" w:eastAsia="en-US"/>
        </w:rPr>
        <w:t xml:space="preserve">a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p</w:t>
      </w:r>
      <w:r w:rsidRPr="00034F53">
        <w:rPr>
          <w:rFonts w:ascii="Times New Roman" w:eastAsia="Calibri" w:hAnsi="Times New Roman" w:cs="Times New Roman"/>
          <w:color w:val="auto"/>
          <w:lang w:val="pt-BR" w:eastAsia="en-US"/>
        </w:rPr>
        <w:t>residência do T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ribunal </w:t>
      </w:r>
      <w:r w:rsidRPr="00034F53">
        <w:rPr>
          <w:rFonts w:ascii="Times New Roman" w:eastAsia="Calibri" w:hAnsi="Times New Roman" w:cs="Times New Roman"/>
          <w:color w:val="auto"/>
          <w:lang w:val="pt-BR" w:eastAsia="en-US"/>
        </w:rPr>
        <w:t>R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egional da </w:t>
      </w:r>
      <w:r w:rsidRPr="00034F53">
        <w:rPr>
          <w:rFonts w:ascii="Times New Roman" w:eastAsia="Calibri" w:hAnsi="Times New Roman" w:cs="Times New Roman"/>
          <w:color w:val="auto"/>
          <w:lang w:val="pt-BR" w:eastAsia="en-US"/>
        </w:rPr>
        <w:t>1ª Região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 por decisão monocrática,</w:t>
      </w:r>
      <w:r w:rsidRPr="00034F53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incluiu a</w:t>
      </w:r>
      <w:r w:rsidRPr="004728D3">
        <w:rPr>
          <w:lang w:val="pt-BR"/>
        </w:rPr>
        <w:t xml:space="preserve"> </w:t>
      </w:r>
      <w:r w:rsidRPr="00ED68EB">
        <w:rPr>
          <w:rFonts w:ascii="Times New Roman" w:eastAsia="Calibri" w:hAnsi="Times New Roman" w:cs="Times New Roman"/>
          <w:color w:val="auto"/>
          <w:lang w:val="pt-BR" w:eastAsia="en-US"/>
        </w:rPr>
        <w:t>CEDAE</w:t>
      </w:r>
      <w:r w:rsidRPr="00034F53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em</w:t>
      </w:r>
      <w:r w:rsidRPr="00034F53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p</w:t>
      </w:r>
      <w:r w:rsidRPr="00034F53">
        <w:rPr>
          <w:rFonts w:ascii="Times New Roman" w:eastAsia="Calibri" w:hAnsi="Times New Roman" w:cs="Times New Roman"/>
          <w:color w:val="auto"/>
          <w:lang w:val="pt-BR" w:eastAsia="en-US"/>
        </w:rPr>
        <w:t xml:space="preserve">lano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e</w:t>
      </w:r>
      <w:r w:rsidRPr="00034F53">
        <w:rPr>
          <w:rFonts w:ascii="Times New Roman" w:eastAsia="Calibri" w:hAnsi="Times New Roman" w:cs="Times New Roman"/>
          <w:color w:val="auto"/>
          <w:lang w:val="pt-BR" w:eastAsia="en-US"/>
        </w:rPr>
        <w:t xml:space="preserve">special de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e</w:t>
      </w:r>
      <w:r w:rsidRPr="00034F53">
        <w:rPr>
          <w:rFonts w:ascii="Times New Roman" w:eastAsia="Calibri" w:hAnsi="Times New Roman" w:cs="Times New Roman"/>
          <w:color w:val="auto"/>
          <w:lang w:val="pt-BR" w:eastAsia="en-US"/>
        </w:rPr>
        <w:t>xecuções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. A essa decisão, interpuseram-se</w:t>
      </w:r>
      <w:r w:rsidRPr="00034F53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diversos</w:t>
      </w:r>
      <w:r w:rsidRPr="00034F53">
        <w:rPr>
          <w:rFonts w:ascii="Times New Roman" w:eastAsia="Calibri" w:hAnsi="Times New Roman" w:cs="Times New Roman"/>
          <w:color w:val="auto"/>
          <w:lang w:val="pt-BR" w:eastAsia="en-US"/>
        </w:rPr>
        <w:t xml:space="preserve"> agravos regimentais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 os quais foram acolhidos pelo órgão colegiado competente do TRT fluminense. Ocorre que, anteriormente, p</w:t>
      </w:r>
      <w:r w:rsidRPr="00034F53">
        <w:rPr>
          <w:rFonts w:ascii="Times New Roman" w:eastAsia="Calibri" w:hAnsi="Times New Roman" w:cs="Times New Roman"/>
          <w:color w:val="auto"/>
          <w:lang w:val="pt-BR" w:eastAsia="en-US"/>
        </w:rPr>
        <w:t>or meio d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e</w:t>
      </w:r>
      <w:r w:rsidRPr="00034F53">
        <w:rPr>
          <w:rFonts w:ascii="Times New Roman" w:eastAsia="Calibri" w:hAnsi="Times New Roman" w:cs="Times New Roman"/>
          <w:color w:val="auto"/>
          <w:lang w:val="pt-BR" w:eastAsia="en-US"/>
        </w:rPr>
        <w:t xml:space="preserve"> despacho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</w:t>
      </w:r>
      <w:r w:rsidRPr="00034F53">
        <w:rPr>
          <w:rFonts w:ascii="Times New Roman" w:eastAsia="Calibri" w:hAnsi="Times New Roman" w:cs="Times New Roman"/>
          <w:color w:val="auto"/>
          <w:lang w:val="pt-BR" w:eastAsia="en-US"/>
        </w:rPr>
        <w:t xml:space="preserve"> a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p</w:t>
      </w:r>
      <w:r w:rsidRPr="00034F53">
        <w:rPr>
          <w:rFonts w:ascii="Times New Roman" w:eastAsia="Calibri" w:hAnsi="Times New Roman" w:cs="Times New Roman"/>
          <w:color w:val="auto"/>
          <w:lang w:val="pt-BR" w:eastAsia="en-US"/>
        </w:rPr>
        <w:t xml:space="preserve">residência do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Tribunal </w:t>
      </w:r>
      <w:r>
        <w:rPr>
          <w:rFonts w:ascii="Times New Roman" w:eastAsia="Calibri" w:hAnsi="Times New Roman" w:cs="Times New Roman"/>
          <w:i/>
          <w:color w:val="auto"/>
          <w:lang w:val="pt-BR" w:eastAsia="en-US"/>
        </w:rPr>
        <w:t>a quo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havia </w:t>
      </w:r>
      <w:r w:rsidRPr="00034F53">
        <w:rPr>
          <w:rFonts w:ascii="Times New Roman" w:eastAsia="Calibri" w:hAnsi="Times New Roman" w:cs="Times New Roman"/>
          <w:color w:val="auto"/>
          <w:lang w:val="pt-BR" w:eastAsia="en-US"/>
        </w:rPr>
        <w:t>conced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ido</w:t>
      </w:r>
      <w:r w:rsidRPr="00034F53">
        <w:rPr>
          <w:rFonts w:ascii="Times New Roman" w:eastAsia="Calibri" w:hAnsi="Times New Roman" w:cs="Times New Roman"/>
          <w:color w:val="auto"/>
          <w:lang w:val="pt-BR" w:eastAsia="en-US"/>
        </w:rPr>
        <w:t xml:space="preserve"> à reclamada prazo de oito dias a fim de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se</w:t>
      </w:r>
      <w:r w:rsidRPr="00034F53">
        <w:rPr>
          <w:rFonts w:ascii="Times New Roman" w:eastAsia="Calibri" w:hAnsi="Times New Roman" w:cs="Times New Roman"/>
          <w:color w:val="auto"/>
          <w:lang w:val="pt-BR" w:eastAsia="en-US"/>
        </w:rPr>
        <w:t xml:space="preserve"> manifestar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sobre os agravos regimentais interpostos, c</w:t>
      </w:r>
      <w:r w:rsidRPr="00034F53">
        <w:rPr>
          <w:rFonts w:ascii="Times New Roman" w:eastAsia="Calibri" w:hAnsi="Times New Roman" w:cs="Times New Roman"/>
          <w:color w:val="auto"/>
          <w:lang w:val="pt-BR" w:eastAsia="en-US"/>
        </w:rPr>
        <w:t>ontudo não houve intimação dessa concessão de prazo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 por lapso da secretaria do aludido órgão judicante</w:t>
      </w:r>
      <w:r w:rsidRPr="00034F53">
        <w:rPr>
          <w:rFonts w:ascii="Times New Roman" w:eastAsia="Calibri" w:hAnsi="Times New Roman" w:cs="Times New Roman"/>
          <w:color w:val="auto"/>
          <w:lang w:val="pt-BR" w:eastAsia="en-US"/>
        </w:rPr>
        <w:t>.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Assim, entendeu </w:t>
      </w:r>
      <w:r w:rsidRPr="009469BC">
        <w:rPr>
          <w:rFonts w:ascii="Times New Roman" w:eastAsia="Calibri" w:hAnsi="Times New Roman" w:cs="Times New Roman"/>
          <w:color w:val="auto"/>
          <w:lang w:val="pt-BR" w:eastAsia="en-US"/>
        </w:rPr>
        <w:t xml:space="preserve">o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Órgão Especial do </w:t>
      </w:r>
      <w:r w:rsidRPr="009469BC">
        <w:rPr>
          <w:rFonts w:ascii="Times New Roman" w:eastAsia="Calibri" w:hAnsi="Times New Roman" w:cs="Times New Roman"/>
          <w:color w:val="auto"/>
          <w:lang w:val="pt-BR" w:eastAsia="en-US"/>
        </w:rPr>
        <w:t>Tribunal Superior do Trabalho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, que </w:t>
      </w:r>
      <w:r w:rsidRPr="003C6326">
        <w:rPr>
          <w:rFonts w:ascii="Times New Roman" w:eastAsia="Calibri" w:hAnsi="Times New Roman" w:cs="Times New Roman"/>
          <w:color w:val="auto"/>
          <w:lang w:val="pt-BR" w:eastAsia="en-US"/>
        </w:rPr>
        <w:t>poderia a CEDAE, se ouvida antes da apreciação dos agravos regimentais, convencer o Regional de que era seu o direito de beneficiar-se no plano de execução coletiva instituído por aquela Corte.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Com esses fundamentos, o </w:t>
      </w:r>
      <w:r w:rsidRPr="008164FF">
        <w:rPr>
          <w:rFonts w:ascii="Times New Roman" w:eastAsia="Calibri" w:hAnsi="Times New Roman" w:cs="Times New Roman"/>
          <w:color w:val="auto"/>
          <w:lang w:val="pt-BR" w:eastAsia="en-US"/>
        </w:rPr>
        <w:t>Órgão Especial do Tribunal Superior do Trabalho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decidiu</w:t>
      </w:r>
      <w:r w:rsidRPr="00A11CFA">
        <w:rPr>
          <w:rFonts w:ascii="Times New Roman" w:eastAsia="Calibri" w:hAnsi="Times New Roman" w:cs="Times New Roman"/>
          <w:color w:val="auto"/>
          <w:lang w:val="pt-BR" w:eastAsia="en-US"/>
        </w:rPr>
        <w:t xml:space="preserve">: </w:t>
      </w:r>
      <w:r w:rsidRPr="00694C2C">
        <w:rPr>
          <w:rFonts w:ascii="Times New Roman" w:eastAsia="Calibri" w:hAnsi="Times New Roman" w:cs="Times New Roman"/>
          <w:color w:val="auto"/>
          <w:lang w:val="pt-BR" w:eastAsia="en-US"/>
        </w:rPr>
        <w:t>a) por unanimidade, indeferir os pedidos aviados nas petições protocoladas após 04/02/2015, deferindo o ingresso na lide dos litisconsortes relacionados às fls. 1.300/1.307; b) no mérito, quanto à preliminar de nulidade por cerceamento de defesa, por maioria, dar provimento ao recurso ordinário para declarar a nulidade do acórdão regional que apreciou os agravos regimentais e restabelecer a subsistência da decisão da Presidência da Corte Regional, até que se proceda a novo julgamento, determinando que retornem os autos ao Tribunal Regional do Trabalho da 1ª Região, a fim de que se processem os agravos regimentais com observância do contraditório e os julguem, como tal ou como recurso em matéria administrativa, segundo o que parecer de direito. Ficaram vencidos os Ministros Ives Gandra Martins Filho e João Batista Brito Pereira, que superavam a preliminar de nulidade, nos termos do art. 249, § 2º, do CPC, e davam provimento ao recurso ordinário para admitir a centralização da execução, e os Ministros João Oreste Dalazen, Maria Cristina Irigoyen Peduzzi, Renato de Lacerda Paiva e Delaíde Miranda Arantes que, igualmente, superavam a preliminar de nulidade, mas negavam provimento ao recurso ordinário.</w:t>
      </w:r>
      <w:r w:rsidRPr="00A11CFA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hyperlink r:id="rId8" w:history="1">
        <w:r w:rsidRPr="00F30569">
          <w:rPr>
            <w:rStyle w:val="Hyperlink"/>
            <w:rFonts w:ascii="Times New Roman" w:hAnsi="Times New Roman" w:cs="Courier New"/>
            <w:lang w:val="pt-BR"/>
          </w:rPr>
          <w:t>TST-RO-2315-95.2013.5</w:t>
        </w:r>
        <w:r w:rsidRPr="00F30569">
          <w:rPr>
            <w:rStyle w:val="Hyperlink"/>
            <w:rFonts w:ascii="Times New Roman" w:hAnsi="Times New Roman" w:cs="Courier New"/>
            <w:lang w:val="pt-BR"/>
          </w:rPr>
          <w:t>.</w:t>
        </w:r>
        <w:r w:rsidRPr="00F30569">
          <w:rPr>
            <w:rStyle w:val="Hyperlink"/>
            <w:rFonts w:ascii="Times New Roman" w:hAnsi="Times New Roman" w:cs="Courier New"/>
            <w:lang w:val="pt-BR"/>
          </w:rPr>
          <w:t>01.0000</w:t>
        </w:r>
      </w:hyperlink>
      <w:r w:rsidRPr="00A11CFA">
        <w:rPr>
          <w:rFonts w:ascii="Times New Roman" w:hAnsi="Times New Roman"/>
          <w:u w:val="single"/>
          <w:lang w:val="pt-BR"/>
        </w:rPr>
        <w:t>, OE, rel. Min. Augusto César Leite de Carvalho, 1.6.2015</w:t>
      </w:r>
    </w:p>
    <w:p w:rsidR="006456B1" w:rsidRPr="00BC54BC" w:rsidRDefault="006456B1" w:rsidP="00C54185">
      <w:pPr>
        <w:pStyle w:val="EXPLICAO"/>
        <w:spacing w:line="240" w:lineRule="auto"/>
        <w:ind w:left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54185" w:rsidRPr="00971E07" w:rsidRDefault="00C54185" w:rsidP="00C54185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C26DFB" w:rsidRPr="00BC54BC" w:rsidRDefault="00C26DFB">
      <w:pPr>
        <w:jc w:val="both"/>
        <w:rPr>
          <w:u w:val="single"/>
        </w:rPr>
      </w:pPr>
    </w:p>
    <w:p w:rsidR="00F6530C" w:rsidRDefault="00F6530C" w:rsidP="00F6530C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</w:pPr>
      <w:r w:rsidRPr="00FC5C43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Prescrição. Actio na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ta. Indenização por danos morais e materiais</w:t>
      </w:r>
      <w:r w:rsidRPr="00FC5C43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. Ação criminal proposta pelo empregador após a dispensa por justa causa. Falsificação de atestado médico. Absolvição criminal superveniente.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 Art. 200 do Código Civil.</w:t>
      </w:r>
    </w:p>
    <w:p w:rsidR="00F6530C" w:rsidRPr="006C6941" w:rsidRDefault="00F6530C" w:rsidP="00F6530C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Nos termos do art. 200 do Código Civil, conta-se a prescrição </w:t>
      </w:r>
      <w:r w:rsidRPr="001D06F1">
        <w:rPr>
          <w:rFonts w:ascii="Times New Roman" w:eastAsia="Calibri" w:hAnsi="Times New Roman" w:cs="Times New Roman"/>
          <w:color w:val="auto"/>
          <w:lang w:val="pt-BR" w:eastAsia="en-US"/>
        </w:rPr>
        <w:t xml:space="preserve">da pretensão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relativa </w:t>
      </w:r>
      <w:r w:rsidRPr="001D06F1">
        <w:rPr>
          <w:rFonts w:ascii="Times New Roman" w:eastAsia="Calibri" w:hAnsi="Times New Roman" w:cs="Times New Roman"/>
          <w:color w:val="auto"/>
          <w:lang w:val="pt-BR" w:eastAsia="en-US"/>
        </w:rPr>
        <w:t>à indenização por danos morais e mater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i</w:t>
      </w:r>
      <w:r w:rsidRPr="001D06F1">
        <w:rPr>
          <w:rFonts w:ascii="Times New Roman" w:eastAsia="Calibri" w:hAnsi="Times New Roman" w:cs="Times New Roman"/>
          <w:color w:val="auto"/>
          <w:lang w:val="pt-BR" w:eastAsia="en-US"/>
        </w:rPr>
        <w:t>ais decorrentes de falsa imputação de crime efetuada por ex-empregador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a partir do trânsito em julgado da sentença penal definitiva. No caso, entendeu-se que</w:t>
      </w:r>
      <w:r w:rsidRPr="004A5A0B">
        <w:rPr>
          <w:lang w:val="pt-BR"/>
        </w:rPr>
        <w:t xml:space="preserve"> </w:t>
      </w:r>
      <w:r w:rsidRPr="00A26225">
        <w:rPr>
          <w:rFonts w:ascii="Times New Roman" w:eastAsia="Calibri" w:hAnsi="Times New Roman" w:cs="Times New Roman"/>
          <w:color w:val="auto"/>
          <w:lang w:val="pt-BR" w:eastAsia="en-US"/>
        </w:rPr>
        <w:t xml:space="preserve">a causa de </w:t>
      </w:r>
      <w:r w:rsidRPr="00A26225">
        <w:rPr>
          <w:rFonts w:ascii="Times New Roman" w:eastAsia="Calibri" w:hAnsi="Times New Roman" w:cs="Times New Roman"/>
          <w:color w:val="auto"/>
          <w:lang w:val="pt-BR" w:eastAsia="en-US"/>
        </w:rPr>
        <w:lastRenderedPageBreak/>
        <w:t>pedir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da reclamação trabalhista</w:t>
      </w:r>
      <w:r w:rsidRPr="00A26225">
        <w:rPr>
          <w:rFonts w:ascii="Times New Roman" w:eastAsia="Calibri" w:hAnsi="Times New Roman" w:cs="Times New Roman"/>
          <w:color w:val="auto"/>
          <w:lang w:val="pt-BR" w:eastAsia="en-US"/>
        </w:rPr>
        <w:t xml:space="preserve"> não est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ava</w:t>
      </w:r>
      <w:r w:rsidRPr="00A26225">
        <w:rPr>
          <w:rFonts w:ascii="Times New Roman" w:eastAsia="Calibri" w:hAnsi="Times New Roman" w:cs="Times New Roman"/>
          <w:color w:val="auto"/>
          <w:lang w:val="pt-BR" w:eastAsia="en-US"/>
        </w:rPr>
        <w:t xml:space="preserve"> alicerçada na reversão da justa causa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aplicada</w:t>
      </w:r>
      <w:r w:rsidRPr="00A26225">
        <w:rPr>
          <w:rFonts w:ascii="Times New Roman" w:eastAsia="Calibri" w:hAnsi="Times New Roman" w:cs="Times New Roman"/>
          <w:color w:val="auto"/>
          <w:lang w:val="pt-BR" w:eastAsia="en-US"/>
        </w:rPr>
        <w:t xml:space="preserve">, mas sim na má-fé da empresa em falsificar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o atestado </w:t>
      </w:r>
      <w:r w:rsidRPr="00A26225">
        <w:rPr>
          <w:rFonts w:ascii="Times New Roman" w:eastAsia="Calibri" w:hAnsi="Times New Roman" w:cs="Times New Roman"/>
          <w:color w:val="auto"/>
          <w:lang w:val="pt-BR" w:eastAsia="en-US"/>
        </w:rPr>
        <w:t>mé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dico e imputá-lo à reclamante, de modo que a ciência inequívoca da responsabilidade pelo dano somente ocorreria com o trânsito em julgado da sentença penal absolutória. Assim, </w:t>
      </w:r>
      <w:r w:rsidRPr="00B74229">
        <w:rPr>
          <w:rFonts w:ascii="Times New Roman" w:eastAsia="Calibri" w:hAnsi="Times New Roman" w:cs="Times New Roman"/>
          <w:color w:val="auto"/>
          <w:lang w:val="pt-BR" w:eastAsia="en-US"/>
        </w:rPr>
        <w:t xml:space="preserve">verificado o trânsito em julgado da ação penal em 16/01/2007,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a qual</w:t>
      </w:r>
      <w:r w:rsidRPr="00B74229">
        <w:rPr>
          <w:rFonts w:ascii="Times New Roman" w:eastAsia="Calibri" w:hAnsi="Times New Roman" w:cs="Times New Roman"/>
          <w:color w:val="auto"/>
          <w:lang w:val="pt-BR" w:eastAsia="en-US"/>
        </w:rPr>
        <w:t xml:space="preserve"> atribuiu à própria empresa a autoria e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a </w:t>
      </w:r>
      <w:r w:rsidRPr="00B74229">
        <w:rPr>
          <w:rFonts w:ascii="Times New Roman" w:eastAsia="Calibri" w:hAnsi="Times New Roman" w:cs="Times New Roman"/>
          <w:color w:val="auto"/>
          <w:lang w:val="pt-BR" w:eastAsia="en-US"/>
        </w:rPr>
        <w:t>materialidade da adulteração do atestado médico, e o ajuizamento da reclamação em 14/08/2008, antes de esgotado o prazo prescricional bienal, nã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o há prescrição a ser declarada. Sob</w:t>
      </w:r>
      <w:r w:rsidRPr="009C5D63">
        <w:rPr>
          <w:rFonts w:ascii="Times New Roman" w:eastAsia="Calibri" w:hAnsi="Times New Roman" w:cs="Times New Roman"/>
          <w:color w:val="auto"/>
          <w:lang w:val="pt-BR" w:eastAsia="en-US"/>
        </w:rPr>
        <w:t xml:space="preserve"> esse entendimento, a SBDI-I,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por unanimidade, conheceu</w:t>
      </w:r>
      <w:r w:rsidRPr="007528DE">
        <w:rPr>
          <w:rFonts w:ascii="Times New Roman" w:eastAsia="Calibri" w:hAnsi="Times New Roman" w:cs="Times New Roman"/>
          <w:color w:val="auto"/>
          <w:lang w:val="pt-BR" w:eastAsia="en-US"/>
        </w:rPr>
        <w:t xml:space="preserve"> do recurso de embargos por divergência ju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risprudencial, e, no mérito,</w:t>
      </w:r>
      <w:r w:rsidRPr="004A5A0B">
        <w:rPr>
          <w:lang w:val="pt-BR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por maioria, deu</w:t>
      </w:r>
      <w:r w:rsidRPr="00B74229">
        <w:rPr>
          <w:rFonts w:ascii="Times New Roman" w:eastAsia="Calibri" w:hAnsi="Times New Roman" w:cs="Times New Roman"/>
          <w:color w:val="auto"/>
          <w:lang w:val="pt-BR" w:eastAsia="en-US"/>
        </w:rPr>
        <w:t>-lhe provimento para, afastada a prescrição total, determinar o retorno dos autos ao T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ribunal </w:t>
      </w:r>
      <w:r w:rsidRPr="00B74229">
        <w:rPr>
          <w:rFonts w:ascii="Times New Roman" w:eastAsia="Calibri" w:hAnsi="Times New Roman" w:cs="Times New Roman"/>
          <w:color w:val="auto"/>
          <w:lang w:val="pt-BR" w:eastAsia="en-US"/>
        </w:rPr>
        <w:t>R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egional do </w:t>
      </w:r>
      <w:r w:rsidRPr="00B74229">
        <w:rPr>
          <w:rFonts w:ascii="Times New Roman" w:eastAsia="Calibri" w:hAnsi="Times New Roman" w:cs="Times New Roman"/>
          <w:color w:val="auto"/>
          <w:lang w:val="pt-BR" w:eastAsia="en-US"/>
        </w:rPr>
        <w:t>T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rabalho</w:t>
      </w:r>
      <w:r w:rsidRPr="00B74229">
        <w:rPr>
          <w:rFonts w:ascii="Times New Roman" w:eastAsia="Calibri" w:hAnsi="Times New Roman" w:cs="Times New Roman"/>
          <w:color w:val="auto"/>
          <w:lang w:val="pt-BR" w:eastAsia="en-US"/>
        </w:rPr>
        <w:t xml:space="preserve"> da 2ª Região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</w:t>
      </w:r>
      <w:r w:rsidRPr="00B74229">
        <w:rPr>
          <w:rFonts w:ascii="Times New Roman" w:eastAsia="Calibri" w:hAnsi="Times New Roman" w:cs="Times New Roman"/>
          <w:color w:val="auto"/>
          <w:lang w:val="pt-BR" w:eastAsia="en-US"/>
        </w:rPr>
        <w:t xml:space="preserve"> a fim de que prossiga no julgamento do recurso ordinário da recl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amada, como entender de direito. V</w:t>
      </w:r>
      <w:r w:rsidRPr="00B74229">
        <w:rPr>
          <w:rFonts w:ascii="Times New Roman" w:eastAsia="Calibri" w:hAnsi="Times New Roman" w:cs="Times New Roman"/>
          <w:color w:val="auto"/>
          <w:lang w:val="pt-BR" w:eastAsia="en-US"/>
        </w:rPr>
        <w:t>encidos os Ministros Renato de Lacerda Paiva, relator, Aloysio Corrêa da Veiga, Luiz Philippe Vieira de Mello Filho e G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uilherme Augusto Caputo Bastos. </w:t>
      </w:r>
      <w:hyperlink r:id="rId9" w:history="1">
        <w:r w:rsidRPr="00F30569">
          <w:rPr>
            <w:rStyle w:val="Hyperlink"/>
            <w:rFonts w:ascii="Times New Roman" w:hAnsi="Times New Roman" w:cs="Courier New"/>
            <w:lang w:val="pt-BR"/>
          </w:rPr>
          <w:t>TST-E-RR-201300-40.2008.5.02.0361</w:t>
        </w:r>
      </w:hyperlink>
      <w:r>
        <w:rPr>
          <w:rFonts w:ascii="Times New Roman" w:hAnsi="Times New Roman"/>
          <w:u w:val="single"/>
          <w:lang w:val="pt-BR"/>
        </w:rPr>
        <w:t xml:space="preserve">, SBDI-I, </w:t>
      </w:r>
      <w:r w:rsidRPr="001B59AA">
        <w:rPr>
          <w:rFonts w:ascii="Times New Roman" w:hAnsi="Times New Roman"/>
          <w:u w:val="single"/>
          <w:lang w:val="pt-BR"/>
        </w:rPr>
        <w:t>red.</w:t>
      </w:r>
      <w:r>
        <w:rPr>
          <w:rFonts w:ascii="Times New Roman" w:hAnsi="Times New Roman"/>
          <w:u w:val="single"/>
          <w:lang w:val="pt-BR"/>
        </w:rPr>
        <w:t xml:space="preserve"> </w:t>
      </w:r>
      <w:r w:rsidRPr="001B59AA">
        <w:rPr>
          <w:rFonts w:ascii="Times New Roman" w:hAnsi="Times New Roman"/>
          <w:u w:val="single"/>
          <w:lang w:val="pt-BR"/>
        </w:rPr>
        <w:t xml:space="preserve">Min. </w:t>
      </w:r>
      <w:r w:rsidRPr="00EA6C1A">
        <w:rPr>
          <w:rFonts w:ascii="Times New Roman" w:hAnsi="Times New Roman"/>
          <w:u w:val="single"/>
          <w:lang w:val="pt-BR"/>
        </w:rPr>
        <w:t>Alexandre de Souza Agra Belmonte</w:t>
      </w:r>
      <w:r w:rsidRPr="009C5D63">
        <w:rPr>
          <w:rFonts w:ascii="Times New Roman" w:hAnsi="Times New Roman"/>
          <w:u w:val="single"/>
          <w:lang w:val="pt-BR"/>
        </w:rPr>
        <w:t xml:space="preserve">, </w:t>
      </w:r>
      <w:r>
        <w:rPr>
          <w:rFonts w:ascii="Times New Roman" w:hAnsi="Times New Roman"/>
          <w:u w:val="single"/>
          <w:lang w:val="pt-BR"/>
        </w:rPr>
        <w:t>28</w:t>
      </w:r>
      <w:r w:rsidRPr="009C5D63">
        <w:rPr>
          <w:rFonts w:ascii="Times New Roman" w:hAnsi="Times New Roman"/>
          <w:u w:val="single"/>
          <w:lang w:val="pt-BR"/>
        </w:rPr>
        <w:t>.</w:t>
      </w:r>
      <w:r>
        <w:rPr>
          <w:rFonts w:ascii="Times New Roman" w:hAnsi="Times New Roman"/>
          <w:u w:val="single"/>
          <w:lang w:val="pt-BR"/>
        </w:rPr>
        <w:t>5.2015.</w:t>
      </w:r>
    </w:p>
    <w:p w:rsidR="00542A50" w:rsidRDefault="00542A50" w:rsidP="00BC54BC">
      <w:pPr>
        <w:jc w:val="both"/>
        <w:rPr>
          <w:b/>
          <w:i/>
          <w:sz w:val="24"/>
          <w:szCs w:val="24"/>
        </w:rPr>
      </w:pPr>
    </w:p>
    <w:p w:rsidR="00C6113C" w:rsidRDefault="00D15C5D" w:rsidP="00D15C5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Dano moral</w:t>
      </w:r>
      <w:r w:rsidRPr="007216F5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Empregado bancário. Monitoramento de conta corrente.  Procedimento indiscriminado em relação aos outros correntistas. Possibilidade. Cumprimento do artigo 11, inciso II e § 2º, da Lei nº 9.613/98. </w:t>
      </w:r>
    </w:p>
    <w:p w:rsidR="00D15C5D" w:rsidRPr="00D15C5D" w:rsidRDefault="00D15C5D" w:rsidP="00D15C5D">
      <w:pPr>
        <w:jc w:val="both"/>
        <w:rPr>
          <w:sz w:val="24"/>
          <w:szCs w:val="24"/>
          <w:u w:val="single"/>
        </w:rPr>
      </w:pPr>
      <w:r w:rsidRPr="00AC655F">
        <w:rPr>
          <w:sz w:val="24"/>
          <w:szCs w:val="24"/>
        </w:rPr>
        <w:t xml:space="preserve">Não </w:t>
      </w:r>
      <w:r>
        <w:rPr>
          <w:sz w:val="24"/>
          <w:szCs w:val="24"/>
        </w:rPr>
        <w:t>configura</w:t>
      </w:r>
      <w:r w:rsidRPr="00AC655F">
        <w:rPr>
          <w:sz w:val="24"/>
          <w:szCs w:val="24"/>
        </w:rPr>
        <w:t xml:space="preserve"> dano moral</w:t>
      </w:r>
      <w:r>
        <w:rPr>
          <w:sz w:val="24"/>
          <w:szCs w:val="24"/>
        </w:rPr>
        <w:t xml:space="preserve"> a quebra do sigilo bancário pelo empregador, quando este mesmo procedimento é adotado indistintamente em relação a todos os correntistas, </w:t>
      </w:r>
      <w:r w:rsidRPr="00AC655F">
        <w:rPr>
          <w:sz w:val="24"/>
          <w:szCs w:val="24"/>
        </w:rPr>
        <w:t xml:space="preserve">na estrita observância </w:t>
      </w:r>
      <w:r>
        <w:rPr>
          <w:sz w:val="24"/>
          <w:szCs w:val="24"/>
        </w:rPr>
        <w:t xml:space="preserve">à determinação legal inserta no artigo 11, inciso II e § 2º da Lei nº 9.613/98. Sob esses fundamentos, a SBDI-I, por unanimidade, não conheceu do recurso de embargos interposto pelo reclamante. </w:t>
      </w:r>
      <w:hyperlink r:id="rId10" w:history="1">
        <w:r w:rsidRPr="00F30569">
          <w:rPr>
            <w:rStyle w:val="Hyperlink"/>
            <w:sz w:val="24"/>
            <w:szCs w:val="24"/>
          </w:rPr>
          <w:t>TST-E-RR-1447-77.2010.5.05.0561</w:t>
        </w:r>
      </w:hyperlink>
      <w:r w:rsidRPr="00D15C5D">
        <w:rPr>
          <w:sz w:val="24"/>
          <w:szCs w:val="24"/>
          <w:u w:val="single"/>
        </w:rPr>
        <w:t>, SBDI-I, rel. Min. Lelio Bentes Corrêa, 28.05.2015.</w:t>
      </w:r>
    </w:p>
    <w:p w:rsidR="00BC54BC" w:rsidRPr="00BC54BC" w:rsidRDefault="00BC54BC" w:rsidP="00C54185">
      <w:pPr>
        <w:jc w:val="both"/>
      </w:pPr>
    </w:p>
    <w:p w:rsidR="00C54185" w:rsidRPr="00BC54BC" w:rsidRDefault="00C54185" w:rsidP="00C54185">
      <w:pPr>
        <w:jc w:val="both"/>
      </w:pPr>
    </w:p>
    <w:p w:rsidR="00BC54BC" w:rsidRPr="00971E07" w:rsidRDefault="00BC54BC" w:rsidP="00BC54B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BC54BC" w:rsidRPr="00BC54BC" w:rsidRDefault="00BC54BC" w:rsidP="00BC54BC">
      <w:pPr>
        <w:jc w:val="both"/>
        <w:rPr>
          <w:u w:val="single"/>
        </w:rPr>
      </w:pPr>
    </w:p>
    <w:p w:rsidR="00C6113C" w:rsidRDefault="00C6113C" w:rsidP="00BC54BC">
      <w:pPr>
        <w:jc w:val="both"/>
        <w:rPr>
          <w:b/>
          <w:i/>
          <w:sz w:val="24"/>
          <w:szCs w:val="24"/>
        </w:rPr>
      </w:pPr>
    </w:p>
    <w:p w:rsidR="00C6113C" w:rsidRPr="00FB05EB" w:rsidRDefault="00C6113C" w:rsidP="0030320C">
      <w:pPr>
        <w:jc w:val="both"/>
        <w:rPr>
          <w:b/>
          <w:i/>
          <w:sz w:val="24"/>
          <w:szCs w:val="24"/>
        </w:rPr>
      </w:pPr>
      <w:r w:rsidRPr="00FB05EB">
        <w:rPr>
          <w:b/>
          <w:i/>
          <w:sz w:val="24"/>
          <w:szCs w:val="24"/>
        </w:rPr>
        <w:t xml:space="preserve">Ação rescisória. Decadência pronunciada no Tribunal de origem. Precedência em relação ao exame de questão relativa à insuficiência de depósito prévio. Efeito </w:t>
      </w:r>
      <w:r w:rsidRPr="00FD3345">
        <w:rPr>
          <w:b/>
          <w:i/>
          <w:sz w:val="24"/>
          <w:szCs w:val="24"/>
        </w:rPr>
        <w:t>devolutivo</w:t>
      </w:r>
      <w:r w:rsidRPr="00FB05EB">
        <w:rPr>
          <w:b/>
          <w:i/>
          <w:sz w:val="24"/>
          <w:szCs w:val="24"/>
        </w:rPr>
        <w:t xml:space="preserve"> do recurso ordinário.   </w:t>
      </w:r>
    </w:p>
    <w:p w:rsidR="00C6113C" w:rsidRPr="00FB05EB" w:rsidRDefault="00C6113C" w:rsidP="0030320C">
      <w:pPr>
        <w:jc w:val="both"/>
        <w:rPr>
          <w:sz w:val="24"/>
          <w:szCs w:val="24"/>
        </w:rPr>
      </w:pPr>
      <w:r w:rsidRPr="00FB05EB">
        <w:rPr>
          <w:sz w:val="24"/>
          <w:szCs w:val="24"/>
        </w:rPr>
        <w:t>Pronunciada a decadência pelo Tribunal Regional</w:t>
      </w:r>
      <w:r>
        <w:rPr>
          <w:sz w:val="24"/>
          <w:szCs w:val="24"/>
        </w:rPr>
        <w:t xml:space="preserve"> do Trabalho da 3ª Região,</w:t>
      </w:r>
      <w:r w:rsidRPr="00FB05EB">
        <w:rPr>
          <w:sz w:val="24"/>
          <w:szCs w:val="24"/>
        </w:rPr>
        <w:t xml:space="preserve"> e devolvida a questão, por meio de recurso ordinário, ao Tribunal Superior do Trabalho, deve-se, em função do efeito </w:t>
      </w:r>
      <w:r w:rsidRPr="00FD3345">
        <w:rPr>
          <w:sz w:val="24"/>
          <w:szCs w:val="24"/>
        </w:rPr>
        <w:t>devolutivo</w:t>
      </w:r>
      <w:r w:rsidRPr="00FB05EB">
        <w:rPr>
          <w:sz w:val="24"/>
          <w:szCs w:val="24"/>
        </w:rPr>
        <w:t xml:space="preserve">, analisar primeiramente a ocorrência ou não da decadência para, caso afastada, só então se passar à verificação do preenchimento dos pressupostos processuais alusivos à ação rescisória. No caso, ainda que tenha sido constatada a insuficiência do valor recolhido a título de depósito prévio, no momento do ajuizamento da ação rescisória, e que o autor não demostrou de forma inequívoca a impossibilidade em arcar com as despesas do processo, o que ensejaria sua extinção sem resolução de mérito, com arrimo no inciso IV do artigo 267 do CPC, prevaleceu o entendimento de que o exame da decadência deveria anteceder ao dos pressupostos de constituição e de desenvolvimento válido e regular do processo, uma vez </w:t>
      </w:r>
      <w:r w:rsidRPr="00BC308E">
        <w:rPr>
          <w:sz w:val="24"/>
          <w:szCs w:val="24"/>
        </w:rPr>
        <w:t xml:space="preserve">que é necessário apreciar-se primeiro o que foi objeto da decisão recorrida. </w:t>
      </w:r>
      <w:r w:rsidRPr="00FB05EB">
        <w:rPr>
          <w:sz w:val="24"/>
          <w:szCs w:val="24"/>
        </w:rPr>
        <w:t xml:space="preserve">Nesse contexto, a SBDI-II decidiu, por maioria, vencidos os Ministros Emmanoel Pereira, Relator, Alberto Luiz Bresciani de Fontan Pereira, Delaíde Miranda Arantes, Douglas Alencar Rodrigues, negar provimento ao recurso ordinário. </w:t>
      </w:r>
      <w:hyperlink r:id="rId11" w:history="1">
        <w:r w:rsidRPr="00F30569">
          <w:rPr>
            <w:rStyle w:val="Hyperlink"/>
            <w:sz w:val="24"/>
            <w:szCs w:val="24"/>
          </w:rPr>
          <w:t>TST-RO-349600-59.2010.5.03.0000</w:t>
        </w:r>
      </w:hyperlink>
      <w:r w:rsidRPr="00FB05EB">
        <w:rPr>
          <w:sz w:val="24"/>
          <w:szCs w:val="24"/>
          <w:u w:val="single"/>
        </w:rPr>
        <w:t>, SBDI-II, rel. Min. Emmanoel Pereira, red. p/acórdão Min. Luiz Philippe Vieira de Mello Filho, 26.5.2015.</w:t>
      </w:r>
    </w:p>
    <w:p w:rsidR="00C6113C" w:rsidRDefault="00C6113C" w:rsidP="00BC54BC">
      <w:pPr>
        <w:jc w:val="both"/>
        <w:rPr>
          <w:b/>
          <w:i/>
          <w:sz w:val="24"/>
          <w:szCs w:val="24"/>
        </w:rPr>
      </w:pPr>
    </w:p>
    <w:p w:rsidR="00C6113C" w:rsidRDefault="00C6113C" w:rsidP="00BC54BC">
      <w:pPr>
        <w:jc w:val="both"/>
        <w:rPr>
          <w:b/>
          <w:i/>
          <w:sz w:val="24"/>
          <w:szCs w:val="24"/>
        </w:rPr>
      </w:pPr>
    </w:p>
    <w:p w:rsidR="00BC54BC" w:rsidRDefault="00BC54BC" w:rsidP="00C54185">
      <w:pPr>
        <w:jc w:val="both"/>
        <w:rPr>
          <w:sz w:val="24"/>
          <w:szCs w:val="24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21" w:rsidRDefault="00E61F21">
      <w:r>
        <w:separator/>
      </w:r>
    </w:p>
  </w:endnote>
  <w:endnote w:type="continuationSeparator" w:id="0">
    <w:p w:rsidR="00E61F21" w:rsidRDefault="00E6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253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322530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21" w:rsidRDefault="00E61F21">
      <w:r>
        <w:separator/>
      </w:r>
    </w:p>
  </w:footnote>
  <w:footnote w:type="continuationSeparator" w:id="0">
    <w:p w:rsidR="00E61F21" w:rsidRDefault="00E61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0F51F4">
      <w:rPr>
        <w:shadow/>
        <w:sz w:val="24"/>
        <w:szCs w:val="24"/>
      </w:rPr>
      <w:t>109</w:t>
    </w:r>
  </w:p>
  <w:p w:rsidR="00FE00AD" w:rsidRDefault="00187A37">
    <w:pPr>
      <w:pStyle w:val="Ttulo6"/>
      <w:spacing w:line="360" w:lineRule="auto"/>
      <w:jc w:val="right"/>
      <w:rPr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0F51F4">
      <w:rPr>
        <w:sz w:val="20"/>
        <w:szCs w:val="20"/>
      </w:rPr>
      <w:t>26 de maio a 1º de junho</w:t>
    </w:r>
    <w:r w:rsidR="007F66BC">
      <w:rPr>
        <w:sz w:val="20"/>
        <w:szCs w:val="20"/>
      </w:rPr>
      <w:t xml:space="preserve"> de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45pt;height:76.7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0F51F4">
      <w:rPr>
        <w:b/>
        <w:sz w:val="40"/>
        <w:szCs w:val="40"/>
      </w:rPr>
      <w:t>109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0F51F4">
      <w:rPr>
        <w:i/>
        <w:iCs/>
      </w:rPr>
      <w:t>26 de maio a 1º de junho</w:t>
    </w:r>
    <w:r w:rsidR="00BC54BC">
      <w:rPr>
        <w:i/>
        <w:iCs/>
      </w:rPr>
      <w:t xml:space="preserve"> </w:t>
    </w:r>
    <w:r w:rsidR="004A094C">
      <w:rPr>
        <w:i/>
        <w:iCs/>
      </w:rPr>
      <w:t>de 201</w:t>
    </w:r>
    <w:r w:rsidR="00C54185">
      <w:rPr>
        <w:i/>
        <w:iCs/>
      </w:rPr>
      <w:t>5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0E1DC1"/>
    <w:rsid w:val="000F51F4"/>
    <w:rsid w:val="0011575C"/>
    <w:rsid w:val="0011692E"/>
    <w:rsid w:val="00137564"/>
    <w:rsid w:val="00137DC1"/>
    <w:rsid w:val="00142C28"/>
    <w:rsid w:val="0015612D"/>
    <w:rsid w:val="00161CDE"/>
    <w:rsid w:val="00163142"/>
    <w:rsid w:val="00176D15"/>
    <w:rsid w:val="00184590"/>
    <w:rsid w:val="00187A37"/>
    <w:rsid w:val="0019151D"/>
    <w:rsid w:val="00193208"/>
    <w:rsid w:val="00197B15"/>
    <w:rsid w:val="001B0572"/>
    <w:rsid w:val="001C04D2"/>
    <w:rsid w:val="001C271F"/>
    <w:rsid w:val="001C6C93"/>
    <w:rsid w:val="001D4CF9"/>
    <w:rsid w:val="001D5AB0"/>
    <w:rsid w:val="001D757D"/>
    <w:rsid w:val="001E14A9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0320C"/>
    <w:rsid w:val="00322530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477EC"/>
    <w:rsid w:val="0045657C"/>
    <w:rsid w:val="004655CC"/>
    <w:rsid w:val="00466DB9"/>
    <w:rsid w:val="00486521"/>
    <w:rsid w:val="00486DFC"/>
    <w:rsid w:val="004922D6"/>
    <w:rsid w:val="004A094C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326C2"/>
    <w:rsid w:val="00542A50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B2F00"/>
    <w:rsid w:val="005B57DE"/>
    <w:rsid w:val="005C1886"/>
    <w:rsid w:val="005C5AAB"/>
    <w:rsid w:val="005C761E"/>
    <w:rsid w:val="005D0E5F"/>
    <w:rsid w:val="005D1DE4"/>
    <w:rsid w:val="005E35BD"/>
    <w:rsid w:val="005E3D4D"/>
    <w:rsid w:val="005E7FD1"/>
    <w:rsid w:val="005F2858"/>
    <w:rsid w:val="006002E3"/>
    <w:rsid w:val="0060670D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0B1B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66BC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437EB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54BC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54185"/>
    <w:rsid w:val="00C60B4A"/>
    <w:rsid w:val="00C6113C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1C18"/>
    <w:rsid w:val="00D133C8"/>
    <w:rsid w:val="00D14DB8"/>
    <w:rsid w:val="00D15C5D"/>
    <w:rsid w:val="00D244D5"/>
    <w:rsid w:val="00D2776A"/>
    <w:rsid w:val="00D413DB"/>
    <w:rsid w:val="00D420E2"/>
    <w:rsid w:val="00D4459D"/>
    <w:rsid w:val="00D573F9"/>
    <w:rsid w:val="00D6058B"/>
    <w:rsid w:val="00D63EC5"/>
    <w:rsid w:val="00D64BC3"/>
    <w:rsid w:val="00D72C05"/>
    <w:rsid w:val="00D77672"/>
    <w:rsid w:val="00D80222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AD3"/>
    <w:rsid w:val="00E60EDA"/>
    <w:rsid w:val="00E61F21"/>
    <w:rsid w:val="00E62BBC"/>
    <w:rsid w:val="00E9503C"/>
    <w:rsid w:val="00E956D9"/>
    <w:rsid w:val="00EA1958"/>
    <w:rsid w:val="00EA29F5"/>
    <w:rsid w:val="00EA482D"/>
    <w:rsid w:val="00EB5FE6"/>
    <w:rsid w:val="00EB61A5"/>
    <w:rsid w:val="00EB6C1B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30569"/>
    <w:rsid w:val="00F45608"/>
    <w:rsid w:val="00F511EE"/>
    <w:rsid w:val="00F558E7"/>
    <w:rsid w:val="00F62016"/>
    <w:rsid w:val="00F63F44"/>
    <w:rsid w:val="00F6530C"/>
    <w:rsid w:val="00F6746D"/>
    <w:rsid w:val="00F811CD"/>
    <w:rsid w:val="00F82D8F"/>
    <w:rsid w:val="00F83F62"/>
    <w:rsid w:val="00F9711D"/>
    <w:rsid w:val="00FA75E0"/>
    <w:rsid w:val="00FB20B1"/>
    <w:rsid w:val="00FB3AB4"/>
    <w:rsid w:val="00FC35EC"/>
    <w:rsid w:val="00FC56A4"/>
    <w:rsid w:val="00FD3D06"/>
    <w:rsid w:val="00FD5662"/>
    <w:rsid w:val="00FD72B6"/>
    <w:rsid w:val="00FE00AD"/>
    <w:rsid w:val="00FE206E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styleId="HiperlinkVisitado">
    <w:name w:val="FollowedHyperlink"/>
    <w:uiPriority w:val="99"/>
    <w:semiHidden/>
    <w:unhideWhenUsed/>
    <w:rsid w:val="00F305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onsulta=Consultar&amp;conscsjt=&amp;numeroTst=2315&amp;digitoTst=95&amp;anoTst=2013&amp;orgaoTst=5&amp;tribunalTst=01&amp;varaTst=000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icacao4.tst.jus.br/consultaProcessual/consultaTstNumUnica.do?consulta=Consultar&amp;conscsjt=&amp;numeroTst=349600&amp;digitoTst=59&amp;anoTst=2010&amp;orgaoTst=5&amp;tribunalTst=03&amp;varaTst=0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aplicacao4.tst.jus.br/consultaProcessual/consultaTstNumUnica.do?consulta=Consultar&amp;conscsjt=&amp;numeroTst=1447&amp;digitoTst=77&amp;anoTst=2010&amp;orgaoTst=5&amp;tribunalTst=05&amp;varaTst=05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201300&amp;digitoTst=40&amp;anoTst=2008&amp;orgaoTst=5&amp;tribunalTst=02&amp;varaTst=0361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A173-28C8-43B1-B553-85EB5580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1291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8251</CharactersWithSpaces>
  <SharedDoc>false</SharedDoc>
  <HLinks>
    <vt:vector size="24" baseType="variant">
      <vt:variant>
        <vt:i4>1376322</vt:i4>
      </vt:variant>
      <vt:variant>
        <vt:i4>9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http://aplicacao4.tst.jus.br/consultaProcessual/consultaTstNumUnica.do?consulta=Consultar&amp;conscsjt=&amp;numeroTst=349600&amp;digitoTst=59&amp;anoTst=2010&amp;orgaoTst=5&amp;tribunalTst=03&amp;varaTst=0000</vt:lpwstr>
      </vt:variant>
      <vt:variant>
        <vt:lpwstr/>
      </vt:variant>
      <vt:variant>
        <vt:i4>2228339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http://aplicacao4.tst.jus.br/consultaProcessual/consultaTstNumUnica.do?consulta=Consultar&amp;conscsjt=&amp;numeroTst=1447&amp;digitoTst=77&amp;anoTst=2010&amp;orgaoTst=5&amp;tribunalTst=05&amp;varaTst=0561</vt:lpwstr>
      </vt:variant>
      <vt:variant>
        <vt:lpwstr/>
      </vt:variant>
      <vt:variant>
        <vt:i4>1441869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http://aplicacao4.tst.jus.br/consultaProcessual/consultaTstNumUnica.do?consulta=Consultar&amp;conscsjt=&amp;numeroTst=201300&amp;digitoTst=40&amp;anoTst=2008&amp;orgaoTst=5&amp;tribunalTst=02&amp;varaTst=0361</vt:lpwstr>
      </vt:variant>
      <vt:variant>
        <vt:lpwstr/>
      </vt:variant>
      <vt:variant>
        <vt:i4>2949238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http://aplicacao4.tst.jus.br/consultaProcessual/consultaTstNumUnica.do?consulta=Consultar&amp;conscsjt=&amp;numeroTst=2315&amp;digitoTst=95&amp;anoTst=2013&amp;orgaoTst=5&amp;tribunalTst=01&amp;varaTst=0000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2018-06-27T21:49:00Z</dcterms:created>
  <dcterms:modified xsi:type="dcterms:W3CDTF">2018-06-27T21:49:00Z</dcterms:modified>
</cp:coreProperties>
</file>