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Pr="00187A37" w:rsidRDefault="00C26DFB" w:rsidP="00DC50EB">
            <w:pPr>
              <w:pStyle w:val="Cabealho"/>
              <w:tabs>
                <w:tab w:val="clear" w:pos="4419"/>
                <w:tab w:val="clear" w:pos="8838"/>
              </w:tabs>
              <w:jc w:val="both"/>
              <w:rPr>
                <w:sz w:val="10"/>
                <w:szCs w:val="10"/>
              </w:rPr>
            </w:pPr>
            <w:r w:rsidRPr="00187A37">
              <w:rPr>
                <w:sz w:val="16"/>
                <w:szCs w:val="16"/>
              </w:rPr>
              <w:t>Este Informativo, elaborado a partir de notas tomadas nas sessões de julgamentos, contém resumos não</w:t>
            </w:r>
            <w:r w:rsidR="00DC50EB" w:rsidRPr="00187A37">
              <w:rPr>
                <w:sz w:val="16"/>
                <w:szCs w:val="16"/>
              </w:rPr>
              <w:t xml:space="preserve"> </w:t>
            </w:r>
            <w:r w:rsidRPr="00187A37">
              <w:rPr>
                <w:sz w:val="16"/>
                <w:szCs w:val="16"/>
              </w:rPr>
              <w:t>oficiais de decisões proferidas pelo Tribunal.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Pr="00187A37">
              <w:rPr>
                <w:sz w:val="16"/>
                <w:szCs w:val="16"/>
              </w:rPr>
              <w:t>da Justiça</w:t>
            </w:r>
            <w:r w:rsidR="00980944" w:rsidRPr="00187A37">
              <w:rPr>
                <w:sz w:val="16"/>
                <w:szCs w:val="16"/>
              </w:rPr>
              <w:t xml:space="preserve"> do Trabalho</w:t>
            </w:r>
            <w:r w:rsidRPr="00187A37">
              <w:rPr>
                <w:sz w:val="16"/>
                <w:szCs w:val="16"/>
              </w:rPr>
              <w:t>.</w:t>
            </w:r>
          </w:p>
        </w:tc>
      </w:tr>
    </w:tbl>
    <w:p w:rsidR="00631F1C" w:rsidRPr="00971E07" w:rsidRDefault="00C75D42"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Pr>
          <w:rFonts w:ascii="Times New Roman" w:hAnsi="Times New Roman" w:cs="Times New Roman"/>
          <w:b/>
          <w:bCs/>
          <w:shadow/>
          <w:color w:val="auto"/>
          <w:sz w:val="26"/>
          <w:szCs w:val="26"/>
          <w:lang w:val="pt-BR"/>
        </w:rPr>
        <w:t>TRIBUNAL PLENO</w:t>
      </w:r>
    </w:p>
    <w:p w:rsidR="006456B1" w:rsidRPr="00C75D42" w:rsidRDefault="006456B1" w:rsidP="00C54185">
      <w:pPr>
        <w:pStyle w:val="EXPLICAO"/>
        <w:spacing w:line="240" w:lineRule="auto"/>
        <w:ind w:left="0"/>
        <w:rPr>
          <w:rFonts w:ascii="Times New Roman" w:hAnsi="Times New Roman" w:cs="Times New Roman"/>
          <w:b/>
          <w:color w:val="auto"/>
          <w:sz w:val="28"/>
          <w:szCs w:val="28"/>
        </w:rPr>
      </w:pPr>
    </w:p>
    <w:p w:rsidR="00C75D42" w:rsidRPr="00C75D42" w:rsidRDefault="00C75D42" w:rsidP="00C75D42">
      <w:pPr>
        <w:jc w:val="both"/>
        <w:rPr>
          <w:b/>
          <w:i/>
          <w:sz w:val="24"/>
          <w:szCs w:val="24"/>
        </w:rPr>
      </w:pPr>
      <w:r w:rsidRPr="00C75D42">
        <w:rPr>
          <w:b/>
          <w:i/>
          <w:sz w:val="24"/>
          <w:szCs w:val="24"/>
        </w:rPr>
        <w:t>Empresa Brasileira de Correios e Telégrafos – ECT. Automação de serviços. Aproveitamento do empregado em função diversa, com acréscimo da jornada de trabalho. Licitude. Pagamento do período acrescido de forma simples, sem o adicional.</w:t>
      </w:r>
    </w:p>
    <w:p w:rsidR="00C75D42" w:rsidRPr="00C75D42" w:rsidRDefault="00C75D42" w:rsidP="00C75D42">
      <w:pPr>
        <w:jc w:val="both"/>
        <w:rPr>
          <w:sz w:val="24"/>
          <w:szCs w:val="24"/>
          <w:u w:val="single"/>
        </w:rPr>
      </w:pPr>
      <w:r w:rsidRPr="00C75D42">
        <w:rPr>
          <w:rFonts w:cs="Courier New"/>
          <w:color w:val="000000"/>
          <w:sz w:val="24"/>
          <w:szCs w:val="24"/>
        </w:rPr>
        <w:t xml:space="preserve">O aproveitamento de empregado da Empresa Brasileira de Correios e Telégrafos – ECT sujeito à jornada reduzida do art. 227 da CLT em outra função com carga horária maior, e com o objetivo de preservar o emprego frente à automação de serviços (substituição das antigas máquinas de Telex por computadores) é lícito, devendo o período acrescido ser pago de forma simples, sem o adicional de horas extras. Na espécie, ressaltou-se que, não obstante a imutabilidade das cláusulas essenciais do contrato de trabalho, prevista no art. 468 da CLT, a jornada especial a que inicialmente submetido o empregado decorre de imperativo legal, sendo inafastável pela vontade das partes. Assim, não há falar em direito adquirido à jornada de seis horas, e, cessando a causa motivadora da jornada diferenciada, é permitido ao empregador exigir a duração normal do trabalho a que se refere o </w:t>
      </w:r>
      <w:r w:rsidRPr="00C75D42">
        <w:rPr>
          <w:rFonts w:cs="Courier New"/>
          <w:i/>
          <w:color w:val="000000"/>
          <w:sz w:val="24"/>
          <w:szCs w:val="24"/>
        </w:rPr>
        <w:t>caput</w:t>
      </w:r>
      <w:r w:rsidRPr="00C75D42">
        <w:rPr>
          <w:rFonts w:cs="Courier New"/>
          <w:color w:val="000000"/>
          <w:sz w:val="24"/>
          <w:szCs w:val="24"/>
        </w:rPr>
        <w:t xml:space="preserve"> do art. 58 da CLT. Noutro giro, registrou-se que a partir do implemento de duas horas adicionais à jornada de trabalho, sem qualquer acréscimo remuneratório, houve patente redução de salário, em afronta ao princípio constitucional da irredutibilidade salarial (art. 7º, VI, da CF). Desse modo, mostra-se razoável garantir ao empregado o pagamento das 7ª e 8ª horas de forma simples, sem o adicional, pois a partir da adoção da jornada de oito horas o que ocorreu foi uma espécie de novação objetiva no contrato de trabalho e não dilatação da jornada normal. Com esse posicionamento, o Tribunal Pleno decidiu, por unanimidade, conhecer dos embargos da ECT, por divergência jurisprudencial, e, no mérito, por maioria, negar-lhes provimento, mantendo, portanto, a decisão turmária que determinara o pagamento das 7ª e 8ª horas de forma simples. Vencidos os Ministros Márcio Eurico Vitral Amaro, relator, Ives Gandra Martins Filho, Brito Pereira, Renato de Lacerda Paiva, Aloysio Corrêa da Veiga, Dora Maria da Costa, Fernando Eizo Ono, Guilherme Augusto Caputo Bastos e Antonio José de Barros Levenhagen, os quais davam provimento ao recurso para reformar o acórdão da Turma e julgar improcedente o pedido. Decidiu-se, outrossim, submeter o tema à Comissão de Jurisprudência e de Precedentes Normativos para a elaboração de projeto de súmula contemplando a tese consagrada no presente caso. </w:t>
      </w:r>
      <w:hyperlink r:id="rId8" w:history="1">
        <w:r w:rsidRPr="00F42933">
          <w:rPr>
            <w:rStyle w:val="Hyperlink"/>
            <w:rFonts w:cs="Courier New"/>
            <w:sz w:val="24"/>
            <w:szCs w:val="24"/>
          </w:rPr>
          <w:t>TST-E-RR-110600-80.2009.5.04.0020</w:t>
        </w:r>
      </w:hyperlink>
      <w:r w:rsidRPr="00C75D42">
        <w:rPr>
          <w:rFonts w:cs="Courier New"/>
          <w:color w:val="000000"/>
          <w:sz w:val="24"/>
          <w:szCs w:val="24"/>
          <w:u w:val="single"/>
        </w:rPr>
        <w:t>, Tribunal Pleno, rel. Min. Márcio Eurico Vitral Amaro, red. p/ acórdão Min. João Oreste Dalazen, 24.3.2015</w:t>
      </w:r>
    </w:p>
    <w:p w:rsidR="00C75D42" w:rsidRPr="00C75D42" w:rsidRDefault="00C75D42" w:rsidP="00E31469">
      <w:pPr>
        <w:pStyle w:val="Corpo"/>
        <w:spacing w:line="240" w:lineRule="auto"/>
        <w:ind w:firstLine="0"/>
        <w:rPr>
          <w:rFonts w:ascii="Times New Roman" w:hAnsi="Times New Roman"/>
          <w:sz w:val="28"/>
          <w:szCs w:val="28"/>
          <w:u w:val="single"/>
          <w:lang w:val="pt-BR"/>
        </w:rPr>
      </w:pPr>
    </w:p>
    <w:p w:rsidR="00C75D42" w:rsidRPr="00C75D42" w:rsidRDefault="00C75D42" w:rsidP="00C75D42">
      <w:pPr>
        <w:jc w:val="both"/>
        <w:rPr>
          <w:b/>
          <w:i/>
          <w:sz w:val="24"/>
          <w:szCs w:val="24"/>
        </w:rPr>
      </w:pPr>
      <w:r w:rsidRPr="00C75D42">
        <w:rPr>
          <w:b/>
          <w:i/>
          <w:sz w:val="24"/>
          <w:szCs w:val="24"/>
        </w:rPr>
        <w:t>Equiparação salarial em cadeia. Tempo de serviço na função. Confronto com o paradigma remoto.  Irrelevância. Comprovação necessária apenas em relação ao paradigma imediato.</w:t>
      </w:r>
    </w:p>
    <w:p w:rsidR="00C75D42" w:rsidRPr="00C75D42" w:rsidRDefault="00C75D42" w:rsidP="00C75D42">
      <w:pPr>
        <w:jc w:val="both"/>
        <w:rPr>
          <w:sz w:val="24"/>
          <w:szCs w:val="24"/>
        </w:rPr>
      </w:pPr>
      <w:r w:rsidRPr="00C75D42">
        <w:rPr>
          <w:rFonts w:cs="Courier New"/>
          <w:color w:val="000000"/>
          <w:sz w:val="24"/>
          <w:szCs w:val="24"/>
        </w:rPr>
        <w:t xml:space="preserve">O fato de haver uma diferença de tempo de serviço na função superior a dois anos entre o reclamante e os paradigmas remotos ou, ainda, de estes não terem convivido nem exercido simultaneamente essa função, não obstam o direito à equiparação salarial do autor com seus paradigmas imediatos, em relação aos quais houve comprovação das exigências estabelecidas em lei. Os requisitos firmados pelo art. 461, § 1º, da CLT apenas são plausíveis em relação ao fato constitutivo da pretensão inicial, ou seja, à equiparação com o paradigma imediato, não podendo alcançar os paradigmas remotos, sob pena de inviabilizar qualquer pedido envolvendo equiparação salarial em cadeia pela simples alegação de decurso do tempo superior a dois anos. Nesse contexto, estaria o empregador autorizado a ferir o princípio da isonomia salarial e o art. 461 da CLT em </w:t>
      </w:r>
      <w:r w:rsidRPr="00C75D42">
        <w:rPr>
          <w:rFonts w:cs="Courier New"/>
          <w:color w:val="000000"/>
          <w:sz w:val="24"/>
          <w:szCs w:val="24"/>
        </w:rPr>
        <w:lastRenderedPageBreak/>
        <w:t>prejuízo aos demais empregados componentes da cadeia equiparatória, o que não se mostra razoável. Assim, o Tribunal Pleno, por maioria, conheceu dos embargos interpostos pela reclamante, por contrariedade à Súmula nº 6, VI, do TST, e, no mérito, deu-lhes provimento para restabelecer a decisão do Regional, que convalidou a sentença, na qual foram deferidas as diferença</w:t>
      </w:r>
      <w:r w:rsidR="00F42933">
        <w:rPr>
          <w:rFonts w:cs="Courier New"/>
          <w:color w:val="000000"/>
          <w:sz w:val="24"/>
          <w:szCs w:val="24"/>
        </w:rPr>
        <w:t>s</w:t>
      </w:r>
      <w:r w:rsidRPr="00C75D42">
        <w:rPr>
          <w:rFonts w:cs="Courier New"/>
          <w:color w:val="000000"/>
          <w:sz w:val="24"/>
          <w:szCs w:val="24"/>
        </w:rPr>
        <w:t xml:space="preserve"> salariais decorrentes da equiparação salarial e os reflexos. Vencidos, quanto à fundamentação, os Ministros João Oreste Dalazen, Ives Gandra Martins Filho e Fernando Eizo Ono. Decidiu-se, ademais, encaminhar a matéria à Comissão de Jurisprudência e de Precedentes Normativos para que formule proposta de nova redação para o item VI da Súmula nº 6 do TST com base na tese firmada no presente caso. </w:t>
      </w:r>
      <w:hyperlink r:id="rId9" w:history="1">
        <w:r w:rsidRPr="00ED318B">
          <w:rPr>
            <w:rStyle w:val="Hyperlink"/>
            <w:rFonts w:cs="Courier New"/>
            <w:sz w:val="24"/>
            <w:szCs w:val="24"/>
          </w:rPr>
          <w:t>TST-E-ED-RR-160100-88.2009.5.03.0038</w:t>
        </w:r>
      </w:hyperlink>
      <w:r w:rsidRPr="00C75D42">
        <w:rPr>
          <w:rFonts w:cs="Courier New"/>
          <w:color w:val="000000"/>
          <w:sz w:val="24"/>
          <w:szCs w:val="24"/>
          <w:u w:val="single"/>
        </w:rPr>
        <w:t>, Tribunal Pleno, rel. Min. José Roberto Freire Pimenta, 24.3.2015</w:t>
      </w:r>
    </w:p>
    <w:p w:rsidR="00E31469" w:rsidRPr="00C75D42" w:rsidRDefault="00E31469" w:rsidP="00C54185">
      <w:pPr>
        <w:pStyle w:val="EXPLICAO"/>
        <w:spacing w:line="240" w:lineRule="auto"/>
        <w:ind w:left="0"/>
        <w:rPr>
          <w:rFonts w:ascii="Times New Roman" w:hAnsi="Times New Roman" w:cs="Times New Roman"/>
          <w:b/>
          <w:color w:val="auto"/>
          <w:sz w:val="28"/>
          <w:szCs w:val="28"/>
        </w:rPr>
      </w:pPr>
    </w:p>
    <w:p w:rsidR="00C54185" w:rsidRPr="00971E07" w:rsidRDefault="00C54185" w:rsidP="00C54185">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E31469" w:rsidRPr="00C75D42" w:rsidRDefault="00E31469" w:rsidP="00BC54BC">
      <w:pPr>
        <w:pStyle w:val="Corpo"/>
        <w:spacing w:line="240" w:lineRule="auto"/>
        <w:ind w:firstLine="0"/>
        <w:rPr>
          <w:rFonts w:ascii="Times New Roman" w:hAnsi="Times New Roman"/>
          <w:sz w:val="28"/>
          <w:szCs w:val="28"/>
          <w:u w:val="single"/>
          <w:lang w:val="pt-BR"/>
        </w:rPr>
      </w:pPr>
    </w:p>
    <w:p w:rsidR="00C75D42" w:rsidRPr="00875C32" w:rsidRDefault="00C75D42" w:rsidP="00C75D42">
      <w:pPr>
        <w:jc w:val="both"/>
        <w:rPr>
          <w:b/>
          <w:i/>
          <w:sz w:val="24"/>
          <w:szCs w:val="24"/>
        </w:rPr>
      </w:pPr>
      <w:r w:rsidRPr="00875C32">
        <w:rPr>
          <w:b/>
          <w:i/>
          <w:sz w:val="24"/>
          <w:szCs w:val="24"/>
        </w:rPr>
        <w:t>Coisa julgada. Arguição e juntada de documentos comprobatórios apenas em sede de recurso ordinário. Matéria de ordem pública não sujeita à preclusão.  Súmula nº 8 do TST. Não incidência.</w:t>
      </w:r>
    </w:p>
    <w:p w:rsidR="00C75D42" w:rsidRPr="00875C32" w:rsidRDefault="00C75D42" w:rsidP="00C75D42">
      <w:pPr>
        <w:jc w:val="both"/>
        <w:rPr>
          <w:sz w:val="24"/>
          <w:szCs w:val="24"/>
        </w:rPr>
      </w:pPr>
      <w:r w:rsidRPr="00875C32">
        <w:rPr>
          <w:sz w:val="24"/>
          <w:szCs w:val="24"/>
        </w:rPr>
        <w:t>A arguição de coisa julgada somente em sede de recurso ordinário, acompanhada de documentos para sua comprovação, não obsta o conhecimento da referida preliminar de ofício (art. 267, § 3º, V, do CPC), ensejando apenas a responsabilidade da parte pelas custas de retardamento, conforme a parte final do §3º do art. 267 do CPC. No caso, prevaleceu a tese de que a arguição de matéria de ordem pública não sofre, em grau ordinário, o efeito da preclusão, e que a Súmula nº 8 do TST não trata da juntada de documentos relativos a questões dessa natureza, não incidindo na hipótese, portanto. Nesse contexto, a SBDI-I, por unanimidade, conheceu dos embargos do reclamado, por divergência jurisprudencial, e, no mérito, por maioria, deu-lhes provimento para restabelecer o acórdão do Regional</w:t>
      </w:r>
      <w:r>
        <w:rPr>
          <w:sz w:val="24"/>
          <w:szCs w:val="24"/>
        </w:rPr>
        <w:t>, que acolhera a preliminar de coisa julgada e declarara extinto o processo, sem resolução de mérito</w:t>
      </w:r>
      <w:r w:rsidRPr="00875C32">
        <w:rPr>
          <w:sz w:val="24"/>
          <w:szCs w:val="24"/>
        </w:rPr>
        <w:t xml:space="preserve">. Vencidos os Ministros José Roberto Freire Pimenta, Lelio Bentes Corrêa e Alexandre Agra Belmonte. </w:t>
      </w:r>
      <w:hyperlink r:id="rId10" w:history="1">
        <w:r w:rsidRPr="00ED318B">
          <w:rPr>
            <w:rStyle w:val="Hyperlink"/>
            <w:sz w:val="24"/>
            <w:szCs w:val="24"/>
          </w:rPr>
          <w:t>TST-E-RR-114400-29.2008.5.03.0037</w:t>
        </w:r>
      </w:hyperlink>
      <w:r w:rsidRPr="00875C32">
        <w:rPr>
          <w:sz w:val="24"/>
          <w:szCs w:val="24"/>
          <w:u w:val="single"/>
        </w:rPr>
        <w:t>, SBDI-I, rel. Min. Márcio Eurico Vitral Amaro, 19.3.2015</w:t>
      </w:r>
    </w:p>
    <w:p w:rsidR="00E31469" w:rsidRPr="00C75D42" w:rsidRDefault="00E31469" w:rsidP="00BC54BC">
      <w:pPr>
        <w:pStyle w:val="Corpo"/>
        <w:spacing w:line="240" w:lineRule="auto"/>
        <w:ind w:firstLine="0"/>
        <w:rPr>
          <w:rFonts w:ascii="Times New Roman" w:hAnsi="Times New Roman"/>
          <w:sz w:val="28"/>
          <w:szCs w:val="28"/>
          <w:u w:val="single"/>
          <w:lang w:val="pt-BR"/>
        </w:rPr>
      </w:pPr>
    </w:p>
    <w:p w:rsidR="00C75D42" w:rsidRDefault="00C75D42" w:rsidP="00C75D42">
      <w:pPr>
        <w:jc w:val="both"/>
        <w:rPr>
          <w:b/>
          <w:i/>
          <w:sz w:val="24"/>
          <w:szCs w:val="24"/>
        </w:rPr>
      </w:pPr>
      <w:r w:rsidRPr="006D3F41">
        <w:rPr>
          <w:b/>
          <w:i/>
          <w:sz w:val="24"/>
          <w:szCs w:val="24"/>
        </w:rPr>
        <w:t>Diárias de viagem</w:t>
      </w:r>
      <w:r>
        <w:rPr>
          <w:b/>
          <w:i/>
          <w:sz w:val="24"/>
          <w:szCs w:val="24"/>
        </w:rPr>
        <w:t>. Depósito em conta corrente. P</w:t>
      </w:r>
      <w:r w:rsidRPr="006D3F41">
        <w:rPr>
          <w:b/>
          <w:i/>
          <w:sz w:val="24"/>
          <w:szCs w:val="24"/>
        </w:rPr>
        <w:t>restação de contas. Súmula nº</w:t>
      </w:r>
      <w:r>
        <w:rPr>
          <w:b/>
          <w:i/>
          <w:sz w:val="24"/>
          <w:szCs w:val="24"/>
        </w:rPr>
        <w:t xml:space="preserve"> </w:t>
      </w:r>
      <w:r w:rsidRPr="006D3F41">
        <w:rPr>
          <w:b/>
          <w:i/>
          <w:sz w:val="24"/>
          <w:szCs w:val="24"/>
        </w:rPr>
        <w:t xml:space="preserve">101 do TST. </w:t>
      </w:r>
      <w:r>
        <w:rPr>
          <w:b/>
          <w:i/>
          <w:sz w:val="24"/>
          <w:szCs w:val="24"/>
        </w:rPr>
        <w:t xml:space="preserve">Não incidência. </w:t>
      </w:r>
    </w:p>
    <w:p w:rsidR="00C75D42" w:rsidRPr="00DF5591" w:rsidRDefault="00C75D42" w:rsidP="00C75D42">
      <w:pPr>
        <w:jc w:val="both"/>
        <w:rPr>
          <w:sz w:val="24"/>
          <w:szCs w:val="24"/>
        </w:rPr>
      </w:pPr>
      <w:r>
        <w:rPr>
          <w:sz w:val="24"/>
          <w:szCs w:val="24"/>
        </w:rPr>
        <w:t xml:space="preserve">A Súmula nº 101 do TST, ao tratar da natureza jurídica das diárias de viagem, não abordou a premissa fática registrada no acórdão do TRT, segundo a qual o reclamante “recebia diárias em razão dos deslocamentos, mediante depósito em conta corrente” e “prestava contas dos gastos efetivos para pagamento das diárias”. Assim, a SBDI-I, por unanimidade, </w:t>
      </w:r>
      <w:r w:rsidRPr="00DF5591">
        <w:rPr>
          <w:sz w:val="24"/>
          <w:szCs w:val="24"/>
        </w:rPr>
        <w:t>conheceu d</w:t>
      </w:r>
      <w:r>
        <w:rPr>
          <w:sz w:val="24"/>
          <w:szCs w:val="24"/>
        </w:rPr>
        <w:t>os</w:t>
      </w:r>
      <w:r w:rsidRPr="00DF5591">
        <w:rPr>
          <w:sz w:val="24"/>
          <w:szCs w:val="24"/>
        </w:rPr>
        <w:t xml:space="preserve"> embargos</w:t>
      </w:r>
      <w:r>
        <w:rPr>
          <w:sz w:val="24"/>
          <w:szCs w:val="24"/>
        </w:rPr>
        <w:t xml:space="preserve"> interpostos pela reclamada</w:t>
      </w:r>
      <w:r w:rsidRPr="00DF5591">
        <w:rPr>
          <w:sz w:val="24"/>
          <w:szCs w:val="24"/>
        </w:rPr>
        <w:t xml:space="preserve"> por contrariedade à Súmula nº 101 do TST (má aplicação),</w:t>
      </w:r>
      <w:r>
        <w:rPr>
          <w:sz w:val="24"/>
          <w:szCs w:val="24"/>
        </w:rPr>
        <w:t xml:space="preserve"> e, no mérito, </w:t>
      </w:r>
      <w:r w:rsidRPr="00DF5591">
        <w:rPr>
          <w:sz w:val="24"/>
          <w:szCs w:val="24"/>
        </w:rPr>
        <w:t>deu</w:t>
      </w:r>
      <w:r>
        <w:rPr>
          <w:sz w:val="24"/>
          <w:szCs w:val="24"/>
        </w:rPr>
        <w:t>-lhes</w:t>
      </w:r>
      <w:r w:rsidRPr="00DF5591">
        <w:rPr>
          <w:sz w:val="24"/>
          <w:szCs w:val="24"/>
        </w:rPr>
        <w:t xml:space="preserve"> provimento para determinar o retorno dos autos à Turma de origem a fim de que, afastado o conhecimento do recurso de revista adesivo do autor por aplicação da súmula em questão, prossiga no julgamento do recurso como entender de direito.</w:t>
      </w:r>
      <w:r>
        <w:rPr>
          <w:sz w:val="24"/>
          <w:szCs w:val="24"/>
        </w:rPr>
        <w:t xml:space="preserve"> </w:t>
      </w:r>
      <w:hyperlink r:id="rId11" w:history="1">
        <w:r w:rsidRPr="00ED318B">
          <w:rPr>
            <w:rStyle w:val="Hyperlink"/>
            <w:rFonts w:cs="Courier New"/>
            <w:sz w:val="24"/>
            <w:szCs w:val="24"/>
          </w:rPr>
          <w:t>TST-E-ED-RR-489900-35.2003.5.09.0005</w:t>
        </w:r>
      </w:hyperlink>
      <w:r w:rsidRPr="006D3F41">
        <w:rPr>
          <w:rFonts w:cs="Courier New"/>
          <w:color w:val="000000"/>
          <w:sz w:val="24"/>
          <w:szCs w:val="24"/>
          <w:u w:val="single"/>
        </w:rPr>
        <w:t>, SBDI-I, rel. Mi</w:t>
      </w:r>
      <w:r>
        <w:rPr>
          <w:rFonts w:cs="Courier New"/>
          <w:color w:val="000000"/>
          <w:sz w:val="24"/>
          <w:szCs w:val="24"/>
          <w:u w:val="single"/>
        </w:rPr>
        <w:t>n. Renato de Lacerda Paiva, 19.</w:t>
      </w:r>
      <w:r w:rsidRPr="006D3F41">
        <w:rPr>
          <w:rFonts w:cs="Courier New"/>
          <w:color w:val="000000"/>
          <w:sz w:val="24"/>
          <w:szCs w:val="24"/>
          <w:u w:val="single"/>
        </w:rPr>
        <w:t>3.2015</w:t>
      </w:r>
    </w:p>
    <w:p w:rsidR="005F0545" w:rsidRPr="00C75D42" w:rsidRDefault="005F0545" w:rsidP="005F0545">
      <w:pPr>
        <w:pStyle w:val="Corpo"/>
        <w:spacing w:line="240" w:lineRule="auto"/>
        <w:ind w:firstLine="0"/>
        <w:rPr>
          <w:rFonts w:ascii="Times New Roman" w:hAnsi="Times New Roman"/>
          <w:sz w:val="28"/>
          <w:szCs w:val="28"/>
          <w:u w:val="single"/>
          <w:lang w:val="pt-BR"/>
        </w:rPr>
      </w:pPr>
    </w:p>
    <w:p w:rsidR="00C75D42" w:rsidRDefault="00C75D42" w:rsidP="00C75D42">
      <w:pPr>
        <w:pStyle w:val="Corpo"/>
        <w:spacing w:line="240" w:lineRule="auto"/>
        <w:ind w:firstLine="0"/>
        <w:rPr>
          <w:rFonts w:ascii="Times New Roman" w:eastAsia="Calibri" w:hAnsi="Times New Roman" w:cs="Times New Roman"/>
          <w:color w:val="auto"/>
          <w:lang w:val="pt-BR" w:eastAsia="en-US"/>
        </w:rPr>
      </w:pPr>
      <w:r w:rsidRPr="008608BA">
        <w:rPr>
          <w:rFonts w:ascii="Times New Roman" w:eastAsia="Calibri" w:hAnsi="Times New Roman" w:cs="Times New Roman"/>
          <w:b/>
          <w:i/>
          <w:color w:val="auto"/>
          <w:lang w:val="pt-BR" w:eastAsia="en-US"/>
        </w:rPr>
        <w:t>Sindicato. Legitimidade para atuar como substituto processual.</w:t>
      </w:r>
      <w:r>
        <w:rPr>
          <w:rFonts w:ascii="Times New Roman" w:eastAsia="Calibri" w:hAnsi="Times New Roman" w:cs="Times New Roman"/>
          <w:b/>
          <w:i/>
          <w:color w:val="auto"/>
          <w:lang w:val="pt-BR" w:eastAsia="en-US"/>
        </w:rPr>
        <w:t xml:space="preserve"> Direito individual heterogêneo.</w:t>
      </w:r>
      <w:r w:rsidRPr="008608BA">
        <w:rPr>
          <w:rFonts w:ascii="Times New Roman" w:eastAsia="Calibri" w:hAnsi="Times New Roman" w:cs="Times New Roman"/>
          <w:b/>
          <w:i/>
          <w:color w:val="auto"/>
          <w:lang w:val="pt-BR" w:eastAsia="en-US"/>
        </w:rPr>
        <w:t xml:space="preserve"> </w:t>
      </w:r>
      <w:r>
        <w:rPr>
          <w:rFonts w:ascii="Times New Roman" w:eastAsia="Calibri" w:hAnsi="Times New Roman" w:cs="Times New Roman"/>
          <w:b/>
          <w:i/>
          <w:color w:val="auto"/>
          <w:lang w:val="pt-BR" w:eastAsia="en-US"/>
        </w:rPr>
        <w:t>Pedido de e</w:t>
      </w:r>
      <w:r w:rsidRPr="008608BA">
        <w:rPr>
          <w:rFonts w:ascii="Times New Roman" w:eastAsia="Calibri" w:hAnsi="Times New Roman" w:cs="Times New Roman"/>
          <w:b/>
          <w:i/>
          <w:color w:val="auto"/>
          <w:lang w:val="pt-BR" w:eastAsia="en-US"/>
        </w:rPr>
        <w:t>quiparação salarial</w:t>
      </w:r>
      <w:r>
        <w:rPr>
          <w:rFonts w:ascii="Times New Roman" w:eastAsia="Calibri" w:hAnsi="Times New Roman" w:cs="Times New Roman"/>
          <w:b/>
          <w:i/>
          <w:color w:val="auto"/>
          <w:lang w:val="pt-BR" w:eastAsia="en-US"/>
        </w:rPr>
        <w:t xml:space="preserve"> em benefício de um único empregado</w:t>
      </w:r>
      <w:r w:rsidRPr="008608BA">
        <w:rPr>
          <w:rFonts w:ascii="Times New Roman" w:eastAsia="Calibri" w:hAnsi="Times New Roman" w:cs="Times New Roman"/>
          <w:b/>
          <w:i/>
          <w:color w:val="auto"/>
          <w:lang w:val="pt-BR" w:eastAsia="en-US"/>
        </w:rPr>
        <w:t>.</w:t>
      </w:r>
      <w:r>
        <w:rPr>
          <w:rFonts w:ascii="Times New Roman" w:eastAsia="Calibri" w:hAnsi="Times New Roman" w:cs="Times New Roman"/>
          <w:b/>
          <w:i/>
          <w:color w:val="auto"/>
          <w:lang w:val="pt-BR" w:eastAsia="en-US"/>
        </w:rPr>
        <w:t xml:space="preserve"> Possibilidade.</w:t>
      </w:r>
      <w:r w:rsidRPr="008608BA">
        <w:rPr>
          <w:rFonts w:ascii="Times New Roman" w:eastAsia="Calibri" w:hAnsi="Times New Roman" w:cs="Times New Roman"/>
          <w:b/>
          <w:i/>
          <w:color w:val="auto"/>
          <w:lang w:val="pt-BR" w:eastAsia="en-US"/>
        </w:rPr>
        <w:t xml:space="preserve"> Art</w:t>
      </w:r>
      <w:r>
        <w:rPr>
          <w:rFonts w:ascii="Times New Roman" w:eastAsia="Calibri" w:hAnsi="Times New Roman" w:cs="Times New Roman"/>
          <w:b/>
          <w:i/>
          <w:color w:val="auto"/>
          <w:lang w:val="pt-BR" w:eastAsia="en-US"/>
        </w:rPr>
        <w:t xml:space="preserve">. </w:t>
      </w:r>
      <w:r w:rsidRPr="008608BA">
        <w:rPr>
          <w:rFonts w:ascii="Times New Roman" w:eastAsia="Calibri" w:hAnsi="Times New Roman" w:cs="Times New Roman"/>
          <w:b/>
          <w:i/>
          <w:color w:val="auto"/>
          <w:lang w:val="pt-BR" w:eastAsia="en-US"/>
        </w:rPr>
        <w:t>8º,</w:t>
      </w:r>
      <w:r>
        <w:rPr>
          <w:rFonts w:ascii="Times New Roman" w:eastAsia="Calibri" w:hAnsi="Times New Roman" w:cs="Times New Roman"/>
          <w:b/>
          <w:i/>
          <w:color w:val="auto"/>
          <w:lang w:val="pt-BR" w:eastAsia="en-US"/>
        </w:rPr>
        <w:t xml:space="preserve"> III</w:t>
      </w:r>
      <w:r w:rsidRPr="008608BA">
        <w:rPr>
          <w:rFonts w:ascii="Times New Roman" w:eastAsia="Calibri" w:hAnsi="Times New Roman" w:cs="Times New Roman"/>
          <w:b/>
          <w:i/>
          <w:color w:val="auto"/>
          <w:lang w:val="pt-BR" w:eastAsia="en-US"/>
        </w:rPr>
        <w:t xml:space="preserve">, da </w:t>
      </w:r>
      <w:r>
        <w:rPr>
          <w:rFonts w:ascii="Times New Roman" w:eastAsia="Calibri" w:hAnsi="Times New Roman" w:cs="Times New Roman"/>
          <w:b/>
          <w:i/>
          <w:color w:val="auto"/>
          <w:lang w:val="pt-BR" w:eastAsia="en-US"/>
        </w:rPr>
        <w:t>CF.</w:t>
      </w:r>
    </w:p>
    <w:p w:rsidR="00C75D42" w:rsidRDefault="00C75D42" w:rsidP="00C75D42">
      <w:pPr>
        <w:pStyle w:val="Corpo"/>
        <w:spacing w:line="240" w:lineRule="auto"/>
        <w:ind w:firstLine="0"/>
        <w:rPr>
          <w:rFonts w:ascii="Times New Roman" w:hAnsi="Times New Roman"/>
          <w:u w:val="single"/>
          <w:lang w:val="pt-BR"/>
        </w:rPr>
      </w:pPr>
      <w:r>
        <w:rPr>
          <w:rFonts w:ascii="Times New Roman" w:eastAsia="Calibri" w:hAnsi="Times New Roman" w:cs="Times New Roman"/>
          <w:color w:val="auto"/>
          <w:lang w:val="pt-BR" w:eastAsia="en-US"/>
        </w:rPr>
        <w:t xml:space="preserve">O </w:t>
      </w:r>
      <w:r w:rsidRPr="0029774F">
        <w:rPr>
          <w:rFonts w:ascii="Times New Roman" w:eastAsia="Calibri" w:hAnsi="Times New Roman" w:cs="Times New Roman"/>
          <w:color w:val="auto"/>
          <w:lang w:val="pt-BR" w:eastAsia="en-US"/>
        </w:rPr>
        <w:t>art</w:t>
      </w:r>
      <w:r>
        <w:rPr>
          <w:rFonts w:ascii="Times New Roman" w:eastAsia="Calibri" w:hAnsi="Times New Roman" w:cs="Times New Roman"/>
          <w:color w:val="auto"/>
          <w:lang w:val="pt-BR" w:eastAsia="en-US"/>
        </w:rPr>
        <w:t xml:space="preserve">. </w:t>
      </w:r>
      <w:r w:rsidRPr="0029774F">
        <w:rPr>
          <w:rFonts w:ascii="Times New Roman" w:eastAsia="Calibri" w:hAnsi="Times New Roman" w:cs="Times New Roman"/>
          <w:color w:val="auto"/>
          <w:lang w:val="pt-BR" w:eastAsia="en-US"/>
        </w:rPr>
        <w:t>8º, III, da C</w:t>
      </w:r>
      <w:r>
        <w:rPr>
          <w:rFonts w:ascii="Times New Roman" w:eastAsia="Calibri" w:hAnsi="Times New Roman" w:cs="Times New Roman"/>
          <w:color w:val="auto"/>
          <w:lang w:val="pt-BR" w:eastAsia="en-US"/>
        </w:rPr>
        <w:t>F</w:t>
      </w:r>
      <w:r w:rsidRPr="0029774F">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autoriza</w:t>
      </w:r>
      <w:r w:rsidRPr="0029774F">
        <w:rPr>
          <w:rFonts w:ascii="Times New Roman" w:eastAsia="Calibri" w:hAnsi="Times New Roman" w:cs="Times New Roman"/>
          <w:color w:val="auto"/>
          <w:lang w:val="pt-BR" w:eastAsia="en-US"/>
        </w:rPr>
        <w:t xml:space="preserve"> expressamente a atuação ampla dos entes sindicais na defesa dos direitos e interesses individuais e coletivos dos integrantes da categoria respectiva, de maneira irrestrita</w:t>
      </w:r>
      <w:r>
        <w:rPr>
          <w:rFonts w:ascii="Times New Roman" w:eastAsia="Calibri" w:hAnsi="Times New Roman" w:cs="Times New Roman"/>
          <w:color w:val="auto"/>
          <w:lang w:val="pt-BR" w:eastAsia="en-US"/>
        </w:rPr>
        <w:t>. Assim sendo, reconhece-se a legitimidade d</w:t>
      </w:r>
      <w:r w:rsidRPr="0029774F">
        <w:rPr>
          <w:rFonts w:ascii="Times New Roman" w:eastAsia="Calibri" w:hAnsi="Times New Roman" w:cs="Times New Roman"/>
          <w:color w:val="auto"/>
          <w:lang w:val="pt-BR" w:eastAsia="en-US"/>
        </w:rPr>
        <w:t xml:space="preserve">o </w:t>
      </w:r>
      <w:r>
        <w:rPr>
          <w:rFonts w:ascii="Times New Roman" w:eastAsia="Calibri" w:hAnsi="Times New Roman" w:cs="Times New Roman"/>
          <w:color w:val="auto"/>
          <w:lang w:val="pt-BR" w:eastAsia="en-US"/>
        </w:rPr>
        <w:t>s</w:t>
      </w:r>
      <w:r w:rsidRPr="0029774F">
        <w:rPr>
          <w:rFonts w:ascii="Times New Roman" w:eastAsia="Calibri" w:hAnsi="Times New Roman" w:cs="Times New Roman"/>
          <w:color w:val="auto"/>
          <w:lang w:val="pt-BR" w:eastAsia="en-US"/>
        </w:rPr>
        <w:t xml:space="preserve">indicato </w:t>
      </w:r>
      <w:r>
        <w:rPr>
          <w:rFonts w:ascii="Times New Roman" w:eastAsia="Calibri" w:hAnsi="Times New Roman" w:cs="Times New Roman"/>
          <w:color w:val="auto"/>
          <w:lang w:val="pt-BR" w:eastAsia="en-US"/>
        </w:rPr>
        <w:t>profissional</w:t>
      </w:r>
      <w:r w:rsidRPr="0029774F">
        <w:rPr>
          <w:rFonts w:ascii="Times New Roman" w:eastAsia="Calibri" w:hAnsi="Times New Roman" w:cs="Times New Roman"/>
          <w:color w:val="auto"/>
          <w:lang w:val="pt-BR" w:eastAsia="en-US"/>
        </w:rPr>
        <w:t xml:space="preserve"> para </w:t>
      </w:r>
      <w:r>
        <w:rPr>
          <w:rFonts w:ascii="Times New Roman" w:eastAsia="Calibri" w:hAnsi="Times New Roman" w:cs="Times New Roman"/>
          <w:color w:val="auto"/>
          <w:lang w:val="pt-BR" w:eastAsia="en-US"/>
        </w:rPr>
        <w:t>pleitear,</w:t>
      </w:r>
      <w:r w:rsidRPr="0029774F">
        <w:rPr>
          <w:rFonts w:ascii="Times New Roman" w:eastAsia="Calibri" w:hAnsi="Times New Roman" w:cs="Times New Roman"/>
          <w:color w:val="auto"/>
          <w:lang w:val="pt-BR" w:eastAsia="en-US"/>
        </w:rPr>
        <w:t xml:space="preserve"> na qualidade de substituto processual</w:t>
      </w:r>
      <w:r>
        <w:rPr>
          <w:rFonts w:ascii="Times New Roman" w:eastAsia="Calibri" w:hAnsi="Times New Roman" w:cs="Times New Roman"/>
          <w:color w:val="auto"/>
          <w:lang w:val="pt-BR" w:eastAsia="en-US"/>
        </w:rPr>
        <w:t xml:space="preserve">, </w:t>
      </w:r>
      <w:r w:rsidRPr="0029774F">
        <w:rPr>
          <w:rFonts w:ascii="Times New Roman" w:eastAsia="Calibri" w:hAnsi="Times New Roman" w:cs="Times New Roman"/>
          <w:color w:val="auto"/>
          <w:lang w:val="pt-BR" w:eastAsia="en-US"/>
        </w:rPr>
        <w:t xml:space="preserve">equiparação salarial em benefício de um único </w:t>
      </w:r>
      <w:r>
        <w:rPr>
          <w:rFonts w:ascii="Times New Roman" w:eastAsia="Calibri" w:hAnsi="Times New Roman" w:cs="Times New Roman"/>
          <w:color w:val="auto"/>
          <w:lang w:val="pt-BR" w:eastAsia="en-US"/>
        </w:rPr>
        <w:t xml:space="preserve">empregado, ainda que se trate de direito individual heterogêneo do substituído. </w:t>
      </w:r>
      <w:r w:rsidRPr="00DB6EA1">
        <w:rPr>
          <w:rFonts w:ascii="Times New Roman" w:eastAsia="Calibri" w:hAnsi="Times New Roman" w:cs="Times New Roman"/>
          <w:color w:val="auto"/>
          <w:lang w:val="pt-BR" w:eastAsia="en-US"/>
        </w:rPr>
        <w:t>Com esse entendimento, a S</w:t>
      </w:r>
      <w:r>
        <w:rPr>
          <w:rFonts w:ascii="Times New Roman" w:eastAsia="Calibri" w:hAnsi="Times New Roman" w:cs="Times New Roman"/>
          <w:color w:val="auto"/>
          <w:lang w:val="pt-BR" w:eastAsia="en-US"/>
        </w:rPr>
        <w:t>B</w:t>
      </w:r>
      <w:r w:rsidRPr="00DB6EA1">
        <w:rPr>
          <w:rFonts w:ascii="Times New Roman" w:eastAsia="Calibri" w:hAnsi="Times New Roman" w:cs="Times New Roman"/>
          <w:color w:val="auto"/>
          <w:lang w:val="pt-BR" w:eastAsia="en-US"/>
        </w:rPr>
        <w:t>D</w:t>
      </w:r>
      <w:r>
        <w:rPr>
          <w:rFonts w:ascii="Times New Roman" w:eastAsia="Calibri" w:hAnsi="Times New Roman" w:cs="Times New Roman"/>
          <w:color w:val="auto"/>
          <w:lang w:val="pt-BR" w:eastAsia="en-US"/>
        </w:rPr>
        <w:t>I-I</w:t>
      </w:r>
      <w:r w:rsidRPr="00DB6EA1">
        <w:rPr>
          <w:rFonts w:ascii="Times New Roman" w:eastAsia="Calibri" w:hAnsi="Times New Roman" w:cs="Times New Roman"/>
          <w:color w:val="auto"/>
          <w:lang w:val="pt-BR" w:eastAsia="en-US"/>
        </w:rPr>
        <w:t xml:space="preserve">, </w:t>
      </w:r>
      <w:r w:rsidRPr="00AD42A4">
        <w:rPr>
          <w:rFonts w:ascii="Times New Roman" w:eastAsia="Calibri" w:hAnsi="Times New Roman" w:cs="Times New Roman"/>
          <w:color w:val="auto"/>
          <w:lang w:val="pt-BR" w:eastAsia="en-US"/>
        </w:rPr>
        <w:t>por unanimidade, conhece</w:t>
      </w:r>
      <w:r>
        <w:rPr>
          <w:rFonts w:ascii="Times New Roman" w:eastAsia="Calibri" w:hAnsi="Times New Roman" w:cs="Times New Roman"/>
          <w:color w:val="auto"/>
          <w:lang w:val="pt-BR" w:eastAsia="en-US"/>
        </w:rPr>
        <w:t>u</w:t>
      </w:r>
      <w:r w:rsidRPr="00AD42A4">
        <w:rPr>
          <w:rFonts w:ascii="Times New Roman" w:eastAsia="Calibri" w:hAnsi="Times New Roman" w:cs="Times New Roman"/>
          <w:color w:val="auto"/>
          <w:lang w:val="pt-BR" w:eastAsia="en-US"/>
        </w:rPr>
        <w:t xml:space="preserve"> do recurso de embargos</w:t>
      </w:r>
      <w:r>
        <w:rPr>
          <w:rFonts w:ascii="Times New Roman" w:eastAsia="Calibri" w:hAnsi="Times New Roman" w:cs="Times New Roman"/>
          <w:color w:val="auto"/>
          <w:lang w:val="pt-BR" w:eastAsia="en-US"/>
        </w:rPr>
        <w:t xml:space="preserve"> da reclamada,</w:t>
      </w:r>
      <w:r w:rsidRPr="00AD42A4">
        <w:rPr>
          <w:rFonts w:ascii="Times New Roman" w:eastAsia="Calibri" w:hAnsi="Times New Roman" w:cs="Times New Roman"/>
          <w:color w:val="auto"/>
          <w:lang w:val="pt-BR" w:eastAsia="en-US"/>
        </w:rPr>
        <w:t xml:space="preserve"> por divergência jurisprudencial e, no </w:t>
      </w:r>
      <w:r w:rsidRPr="00AD42A4">
        <w:rPr>
          <w:rFonts w:ascii="Times New Roman" w:eastAsia="Calibri" w:hAnsi="Times New Roman" w:cs="Times New Roman"/>
          <w:color w:val="auto"/>
          <w:lang w:val="pt-BR" w:eastAsia="en-US"/>
        </w:rPr>
        <w:lastRenderedPageBreak/>
        <w:t>mérito, por maioria, neg</w:t>
      </w:r>
      <w:r>
        <w:rPr>
          <w:rFonts w:ascii="Times New Roman" w:eastAsia="Calibri" w:hAnsi="Times New Roman" w:cs="Times New Roman"/>
          <w:color w:val="auto"/>
          <w:lang w:val="pt-BR" w:eastAsia="en-US"/>
        </w:rPr>
        <w:t>ou</w:t>
      </w:r>
      <w:r w:rsidRPr="00AD42A4">
        <w:rPr>
          <w:rFonts w:ascii="Times New Roman" w:eastAsia="Calibri" w:hAnsi="Times New Roman" w:cs="Times New Roman"/>
          <w:color w:val="auto"/>
          <w:lang w:val="pt-BR" w:eastAsia="en-US"/>
        </w:rPr>
        <w:t>-lhe provimento</w:t>
      </w:r>
      <w:r>
        <w:rPr>
          <w:rFonts w:ascii="Times New Roman" w:eastAsia="Calibri" w:hAnsi="Times New Roman" w:cs="Times New Roman"/>
          <w:color w:val="auto"/>
          <w:lang w:val="pt-BR" w:eastAsia="en-US"/>
        </w:rPr>
        <w:t>. Ve</w:t>
      </w:r>
      <w:r w:rsidRPr="00AD42A4">
        <w:rPr>
          <w:rFonts w:ascii="Times New Roman" w:eastAsia="Calibri" w:hAnsi="Times New Roman" w:cs="Times New Roman"/>
          <w:color w:val="auto"/>
          <w:lang w:val="pt-BR" w:eastAsia="en-US"/>
        </w:rPr>
        <w:t>ncido o Ministro Márcio Eurico Vitral Amaro.</w:t>
      </w:r>
      <w:r w:rsidRPr="00DB6EA1">
        <w:rPr>
          <w:rFonts w:ascii="Times New Roman" w:eastAsia="Calibri" w:hAnsi="Times New Roman" w:cs="Times New Roman"/>
          <w:color w:val="auto"/>
          <w:lang w:val="pt-BR" w:eastAsia="en-US"/>
        </w:rPr>
        <w:t xml:space="preserve"> </w:t>
      </w:r>
      <w:hyperlink r:id="rId12" w:history="1">
        <w:r w:rsidRPr="00ED318B">
          <w:rPr>
            <w:rStyle w:val="Hyperlink"/>
            <w:rFonts w:ascii="Times New Roman" w:hAnsi="Times New Roman" w:cs="Courier New"/>
            <w:lang w:val="pt-BR"/>
          </w:rPr>
          <w:t>TST-E-RR-990-38.2010.5.03.0064</w:t>
        </w:r>
      </w:hyperlink>
      <w:r w:rsidRPr="00DB6EA1">
        <w:rPr>
          <w:rFonts w:ascii="Times New Roman" w:hAnsi="Times New Roman"/>
          <w:u w:val="single"/>
          <w:lang w:val="pt-BR"/>
        </w:rPr>
        <w:t>, SB</w:t>
      </w:r>
      <w:r>
        <w:rPr>
          <w:rFonts w:ascii="Times New Roman" w:hAnsi="Times New Roman"/>
          <w:u w:val="single"/>
          <w:lang w:val="pt-BR"/>
        </w:rPr>
        <w:t>DI-I</w:t>
      </w:r>
      <w:r w:rsidRPr="00DB6EA1">
        <w:rPr>
          <w:rFonts w:ascii="Times New Roman" w:hAnsi="Times New Roman"/>
          <w:u w:val="single"/>
          <w:lang w:val="pt-BR"/>
        </w:rPr>
        <w:t xml:space="preserve">, rel. Min. </w:t>
      </w:r>
      <w:r>
        <w:rPr>
          <w:rFonts w:ascii="Times New Roman" w:hAnsi="Times New Roman"/>
          <w:u w:val="single"/>
          <w:lang w:val="pt-BR"/>
        </w:rPr>
        <w:t>Lelio Bentes Corrêa</w:t>
      </w:r>
      <w:r w:rsidRPr="00DB6EA1">
        <w:rPr>
          <w:rFonts w:ascii="Times New Roman" w:hAnsi="Times New Roman"/>
          <w:u w:val="single"/>
          <w:lang w:val="pt-BR"/>
        </w:rPr>
        <w:t xml:space="preserve">, </w:t>
      </w:r>
      <w:r>
        <w:rPr>
          <w:rFonts w:ascii="Times New Roman" w:hAnsi="Times New Roman"/>
          <w:u w:val="single"/>
          <w:lang w:val="pt-BR"/>
        </w:rPr>
        <w:t>19</w:t>
      </w:r>
      <w:r w:rsidRPr="00DB6EA1">
        <w:rPr>
          <w:rFonts w:ascii="Times New Roman" w:hAnsi="Times New Roman"/>
          <w:u w:val="single"/>
          <w:lang w:val="pt-BR"/>
        </w:rPr>
        <w:t>.3.2015</w:t>
      </w:r>
    </w:p>
    <w:p w:rsidR="00BC54BC" w:rsidRPr="00BC54BC" w:rsidRDefault="00BC54BC" w:rsidP="00C54185">
      <w:pPr>
        <w:jc w:val="both"/>
      </w:pP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0"/>
          <w:szCs w:val="20"/>
        </w:rPr>
      </w:pPr>
      <w:r w:rsidRPr="005D1DE4">
        <w:rPr>
          <w:b w:val="0"/>
          <w:bCs w:val="0"/>
          <w:snapToGrid w:val="0"/>
          <w:sz w:val="20"/>
          <w:szCs w:val="20"/>
        </w:rPr>
        <w:t xml:space="preserve">Informativo TST é mantido pela </w:t>
      </w: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0"/>
          <w:szCs w:val="20"/>
        </w:rPr>
      </w:pPr>
      <w:r w:rsidRPr="005D1DE4">
        <w:rPr>
          <w:b w:val="0"/>
          <w:bCs w:val="0"/>
          <w:snapToGrid w:val="0"/>
          <w:sz w:val="20"/>
          <w:szCs w:val="20"/>
        </w:rPr>
        <w:t>Coordenadoria de Jurisprudência – CJUR</w:t>
      </w:r>
    </w:p>
    <w:p w:rsidR="00184590"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2"/>
          <w:szCs w:val="22"/>
        </w:rPr>
      </w:pPr>
      <w:r w:rsidRPr="005D1DE4">
        <w:rPr>
          <w:snapToGrid w:val="0"/>
        </w:rPr>
        <w:t>cjur@tst.jus.br</w:t>
      </w:r>
    </w:p>
    <w:sectPr w:rsidR="007614F1" w:rsidRPr="005D1DE4" w:rsidSect="00D11B24">
      <w:headerReference w:type="default" r:id="rId13"/>
      <w:footerReference w:type="default" r:id="rId14"/>
      <w:headerReference w:type="first" r:id="rId15"/>
      <w:footerReference w:type="first" r:id="rId16"/>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A3E" w:rsidRDefault="00913A3E">
      <w:r>
        <w:separator/>
      </w:r>
    </w:p>
  </w:endnote>
  <w:endnote w:type="continuationSeparator" w:id="0">
    <w:p w:rsidR="00913A3E" w:rsidRDefault="0091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D4EE2">
      <w:rPr>
        <w:rStyle w:val="Nmerodepgina"/>
        <w:noProof/>
      </w:rPr>
      <w:t>3</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AD4EE2">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A3E" w:rsidRDefault="00913A3E">
      <w:r>
        <w:separator/>
      </w:r>
    </w:p>
  </w:footnote>
  <w:footnote w:type="continuationSeparator" w:id="0">
    <w:p w:rsidR="00913A3E" w:rsidRDefault="00913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7F66BC">
      <w:rPr>
        <w:shadow/>
        <w:sz w:val="24"/>
        <w:szCs w:val="24"/>
      </w:rPr>
      <w:t>10</w:t>
    </w:r>
    <w:r w:rsidR="00C75D42">
      <w:rPr>
        <w:shadow/>
        <w:sz w:val="24"/>
        <w:szCs w:val="24"/>
      </w:rPr>
      <w:t>2</w:t>
    </w:r>
  </w:p>
  <w:p w:rsidR="00FE00AD" w:rsidRDefault="00187A37">
    <w:pPr>
      <w:pStyle w:val="Ttulo6"/>
      <w:spacing w:line="360" w:lineRule="auto"/>
      <w:jc w:val="right"/>
      <w:rPr>
        <w:sz w:val="20"/>
        <w:szCs w:val="20"/>
      </w:rPr>
    </w:pPr>
    <w:r>
      <w:rPr>
        <w:noProof/>
      </w:rPr>
      <w:pict>
        <v:line id="_x0000_s2049" style="position:absolute;left:0;text-align:left;flip:x;z-index:251657216" from=".9pt,10.15pt" to="497.7pt,10.15pt" o:allowincell="f" strokecolor="#969696"/>
      </w:pict>
    </w:r>
    <w:r w:rsidR="002168DE">
      <w:rPr>
        <w:sz w:val="20"/>
        <w:szCs w:val="20"/>
      </w:rPr>
      <w:t xml:space="preserve">Período: </w:t>
    </w:r>
    <w:r w:rsidR="00C75D42">
      <w:rPr>
        <w:sz w:val="20"/>
        <w:szCs w:val="20"/>
      </w:rPr>
      <w:t>17</w:t>
    </w:r>
    <w:r w:rsidR="00DD19F4">
      <w:rPr>
        <w:sz w:val="20"/>
        <w:szCs w:val="20"/>
      </w:rPr>
      <w:t xml:space="preserve"> </w:t>
    </w:r>
    <w:r w:rsidR="007F66BC">
      <w:rPr>
        <w:sz w:val="20"/>
        <w:szCs w:val="20"/>
      </w:rPr>
      <w:t xml:space="preserve">a </w:t>
    </w:r>
    <w:r w:rsidR="00C75D42">
      <w:rPr>
        <w:sz w:val="20"/>
        <w:szCs w:val="20"/>
      </w:rPr>
      <w:t>24</w:t>
    </w:r>
    <w:r w:rsidR="007F66BC">
      <w:rPr>
        <w:sz w:val="20"/>
        <w:szCs w:val="20"/>
      </w:rPr>
      <w:t xml:space="preserve"> de março de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45pt;height:76.75pt">
          <v:imagedata r:id="rId1" o:title="TST LOGO"/>
        </v:shape>
      </w:pic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BC54BC">
      <w:rPr>
        <w:b/>
        <w:sz w:val="40"/>
        <w:szCs w:val="40"/>
      </w:rPr>
      <w:t>10</w:t>
    </w:r>
    <w:r w:rsidR="00C75D42">
      <w:rPr>
        <w:b/>
        <w:sz w:val="40"/>
        <w:szCs w:val="40"/>
      </w:rPr>
      <w:t>2</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FE00AD" w:rsidRPr="005D1DE4">
      <w:rPr>
        <w:i/>
        <w:iCs/>
      </w:rPr>
      <w:t xml:space="preserve"> </w:t>
    </w:r>
    <w:r w:rsidR="00C75D42">
      <w:rPr>
        <w:i/>
        <w:iCs/>
      </w:rPr>
      <w:t>17</w:t>
    </w:r>
    <w:r w:rsidR="00BC54BC">
      <w:rPr>
        <w:i/>
        <w:iCs/>
      </w:rPr>
      <w:t xml:space="preserve"> </w:t>
    </w:r>
    <w:r w:rsidR="004477EC">
      <w:rPr>
        <w:i/>
        <w:iCs/>
      </w:rPr>
      <w:t xml:space="preserve">a </w:t>
    </w:r>
    <w:r w:rsidR="00C75D42">
      <w:rPr>
        <w:i/>
        <w:iCs/>
      </w:rPr>
      <w:t xml:space="preserve">24 </w:t>
    </w:r>
    <w:r w:rsidR="00BC54BC">
      <w:rPr>
        <w:i/>
        <w:iCs/>
      </w:rPr>
      <w:t xml:space="preserve">de março </w:t>
    </w:r>
    <w:r w:rsidR="004A094C">
      <w:rPr>
        <w:i/>
        <w:iCs/>
      </w:rPr>
      <w:t>de 201</w:t>
    </w:r>
    <w:r w:rsidR="00C54185">
      <w:rPr>
        <w:i/>
        <w:iCs/>
      </w:rPr>
      <w:t>5</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32056"/>
    <w:rsid w:val="000322FB"/>
    <w:rsid w:val="000425FC"/>
    <w:rsid w:val="00050E85"/>
    <w:rsid w:val="00056752"/>
    <w:rsid w:val="00057B87"/>
    <w:rsid w:val="0006020E"/>
    <w:rsid w:val="000733B4"/>
    <w:rsid w:val="00073880"/>
    <w:rsid w:val="00075BDB"/>
    <w:rsid w:val="00080F10"/>
    <w:rsid w:val="0009237D"/>
    <w:rsid w:val="00093AE9"/>
    <w:rsid w:val="00093BA8"/>
    <w:rsid w:val="000A04E6"/>
    <w:rsid w:val="000B2973"/>
    <w:rsid w:val="000B4D41"/>
    <w:rsid w:val="000B67DF"/>
    <w:rsid w:val="000B7CDE"/>
    <w:rsid w:val="000C3022"/>
    <w:rsid w:val="000C5AC6"/>
    <w:rsid w:val="000C672B"/>
    <w:rsid w:val="000E0A91"/>
    <w:rsid w:val="000E1DC1"/>
    <w:rsid w:val="00111326"/>
    <w:rsid w:val="0011575C"/>
    <w:rsid w:val="0011692E"/>
    <w:rsid w:val="00137564"/>
    <w:rsid w:val="00137DC1"/>
    <w:rsid w:val="00142C28"/>
    <w:rsid w:val="0015612D"/>
    <w:rsid w:val="00161CDE"/>
    <w:rsid w:val="00163142"/>
    <w:rsid w:val="00176D15"/>
    <w:rsid w:val="00184590"/>
    <w:rsid w:val="00187A37"/>
    <w:rsid w:val="0019151D"/>
    <w:rsid w:val="00193208"/>
    <w:rsid w:val="00197B15"/>
    <w:rsid w:val="001C04D2"/>
    <w:rsid w:val="001C271F"/>
    <w:rsid w:val="001C6C93"/>
    <w:rsid w:val="001D4CF9"/>
    <w:rsid w:val="001D5AB0"/>
    <w:rsid w:val="001D757D"/>
    <w:rsid w:val="001E14A9"/>
    <w:rsid w:val="001E14BB"/>
    <w:rsid w:val="001E4B57"/>
    <w:rsid w:val="001E5BD1"/>
    <w:rsid w:val="001E713B"/>
    <w:rsid w:val="001F030F"/>
    <w:rsid w:val="00206810"/>
    <w:rsid w:val="002168DE"/>
    <w:rsid w:val="00224AC2"/>
    <w:rsid w:val="0023559D"/>
    <w:rsid w:val="002402B0"/>
    <w:rsid w:val="002449F9"/>
    <w:rsid w:val="002635ED"/>
    <w:rsid w:val="002662BA"/>
    <w:rsid w:val="00266D49"/>
    <w:rsid w:val="00271C5C"/>
    <w:rsid w:val="00271E67"/>
    <w:rsid w:val="002730B5"/>
    <w:rsid w:val="00280594"/>
    <w:rsid w:val="00285064"/>
    <w:rsid w:val="002A219D"/>
    <w:rsid w:val="002A546D"/>
    <w:rsid w:val="002B4738"/>
    <w:rsid w:val="002B6377"/>
    <w:rsid w:val="002C2904"/>
    <w:rsid w:val="002E78CB"/>
    <w:rsid w:val="0033397A"/>
    <w:rsid w:val="00352B27"/>
    <w:rsid w:val="0035374D"/>
    <w:rsid w:val="0036325E"/>
    <w:rsid w:val="003671FE"/>
    <w:rsid w:val="003708FD"/>
    <w:rsid w:val="0037667D"/>
    <w:rsid w:val="00384075"/>
    <w:rsid w:val="003908C5"/>
    <w:rsid w:val="00396053"/>
    <w:rsid w:val="003A4086"/>
    <w:rsid w:val="003A5E5B"/>
    <w:rsid w:val="003B045C"/>
    <w:rsid w:val="003B0A59"/>
    <w:rsid w:val="003B3EB5"/>
    <w:rsid w:val="003B4E23"/>
    <w:rsid w:val="003B767E"/>
    <w:rsid w:val="003C6FE7"/>
    <w:rsid w:val="003D032E"/>
    <w:rsid w:val="003D4205"/>
    <w:rsid w:val="003F2078"/>
    <w:rsid w:val="0042772A"/>
    <w:rsid w:val="004323B0"/>
    <w:rsid w:val="00444E88"/>
    <w:rsid w:val="004477EC"/>
    <w:rsid w:val="0045657C"/>
    <w:rsid w:val="004655CC"/>
    <w:rsid w:val="00466DB9"/>
    <w:rsid w:val="00486521"/>
    <w:rsid w:val="00486DFC"/>
    <w:rsid w:val="004922D6"/>
    <w:rsid w:val="004A094C"/>
    <w:rsid w:val="004A14FC"/>
    <w:rsid w:val="004A5264"/>
    <w:rsid w:val="004B21AD"/>
    <w:rsid w:val="004C011C"/>
    <w:rsid w:val="004C14EA"/>
    <w:rsid w:val="004C2118"/>
    <w:rsid w:val="004C2612"/>
    <w:rsid w:val="004D6000"/>
    <w:rsid w:val="004D6415"/>
    <w:rsid w:val="004D71E8"/>
    <w:rsid w:val="004E393E"/>
    <w:rsid w:val="004E4507"/>
    <w:rsid w:val="004E4619"/>
    <w:rsid w:val="004F0A7D"/>
    <w:rsid w:val="0051538E"/>
    <w:rsid w:val="00517E01"/>
    <w:rsid w:val="00521EEC"/>
    <w:rsid w:val="005460BD"/>
    <w:rsid w:val="00553197"/>
    <w:rsid w:val="0055409E"/>
    <w:rsid w:val="00556367"/>
    <w:rsid w:val="00556B35"/>
    <w:rsid w:val="00573E13"/>
    <w:rsid w:val="00584F82"/>
    <w:rsid w:val="00591DFA"/>
    <w:rsid w:val="005A5695"/>
    <w:rsid w:val="005B2F00"/>
    <w:rsid w:val="005B3792"/>
    <w:rsid w:val="005B57DE"/>
    <w:rsid w:val="005C1886"/>
    <w:rsid w:val="005C761E"/>
    <w:rsid w:val="005D0E5F"/>
    <w:rsid w:val="005D1DE4"/>
    <w:rsid w:val="005E35BD"/>
    <w:rsid w:val="005E3D4D"/>
    <w:rsid w:val="005E7FD1"/>
    <w:rsid w:val="005F0545"/>
    <w:rsid w:val="005F2858"/>
    <w:rsid w:val="006002E3"/>
    <w:rsid w:val="006145AC"/>
    <w:rsid w:val="00615F98"/>
    <w:rsid w:val="00621F9C"/>
    <w:rsid w:val="00631166"/>
    <w:rsid w:val="00631F1C"/>
    <w:rsid w:val="006366A4"/>
    <w:rsid w:val="00643B60"/>
    <w:rsid w:val="006456B1"/>
    <w:rsid w:val="006564EC"/>
    <w:rsid w:val="0066084C"/>
    <w:rsid w:val="00672CF9"/>
    <w:rsid w:val="00672E11"/>
    <w:rsid w:val="0068273B"/>
    <w:rsid w:val="00691234"/>
    <w:rsid w:val="006931CC"/>
    <w:rsid w:val="006947F2"/>
    <w:rsid w:val="00697919"/>
    <w:rsid w:val="006B3FCF"/>
    <w:rsid w:val="006B46CA"/>
    <w:rsid w:val="006C0391"/>
    <w:rsid w:val="006C28B3"/>
    <w:rsid w:val="006D1F66"/>
    <w:rsid w:val="006D306E"/>
    <w:rsid w:val="006D4497"/>
    <w:rsid w:val="006F6C15"/>
    <w:rsid w:val="00700B1B"/>
    <w:rsid w:val="0070727E"/>
    <w:rsid w:val="00710D3A"/>
    <w:rsid w:val="0071315F"/>
    <w:rsid w:val="00721942"/>
    <w:rsid w:val="00722BE7"/>
    <w:rsid w:val="00732DF2"/>
    <w:rsid w:val="007614F1"/>
    <w:rsid w:val="007618C5"/>
    <w:rsid w:val="00764066"/>
    <w:rsid w:val="00776118"/>
    <w:rsid w:val="007B0F83"/>
    <w:rsid w:val="007D29A1"/>
    <w:rsid w:val="007E0EA7"/>
    <w:rsid w:val="007E3F23"/>
    <w:rsid w:val="007F142E"/>
    <w:rsid w:val="007F66BC"/>
    <w:rsid w:val="007F7B5E"/>
    <w:rsid w:val="00802B1A"/>
    <w:rsid w:val="0080615C"/>
    <w:rsid w:val="0081027F"/>
    <w:rsid w:val="0081742D"/>
    <w:rsid w:val="00821F4D"/>
    <w:rsid w:val="00823906"/>
    <w:rsid w:val="008409D3"/>
    <w:rsid w:val="00845559"/>
    <w:rsid w:val="00854DB8"/>
    <w:rsid w:val="00854EF2"/>
    <w:rsid w:val="00863B86"/>
    <w:rsid w:val="00871F69"/>
    <w:rsid w:val="008842D0"/>
    <w:rsid w:val="00884AC4"/>
    <w:rsid w:val="0088579D"/>
    <w:rsid w:val="008A7953"/>
    <w:rsid w:val="008B3081"/>
    <w:rsid w:val="008B32D4"/>
    <w:rsid w:val="008C7AD0"/>
    <w:rsid w:val="008D0020"/>
    <w:rsid w:val="008D3C38"/>
    <w:rsid w:val="008D6A05"/>
    <w:rsid w:val="008E2AE5"/>
    <w:rsid w:val="008E3F89"/>
    <w:rsid w:val="008F26CB"/>
    <w:rsid w:val="008F6509"/>
    <w:rsid w:val="008F79D9"/>
    <w:rsid w:val="009027C8"/>
    <w:rsid w:val="00913A3E"/>
    <w:rsid w:val="0093467A"/>
    <w:rsid w:val="0094155C"/>
    <w:rsid w:val="00951531"/>
    <w:rsid w:val="00960A3B"/>
    <w:rsid w:val="00967DE0"/>
    <w:rsid w:val="00971E07"/>
    <w:rsid w:val="00980944"/>
    <w:rsid w:val="00986D77"/>
    <w:rsid w:val="009943EC"/>
    <w:rsid w:val="009A32D5"/>
    <w:rsid w:val="009B6012"/>
    <w:rsid w:val="009C102D"/>
    <w:rsid w:val="009C2A4F"/>
    <w:rsid w:val="009D4C59"/>
    <w:rsid w:val="009D7F91"/>
    <w:rsid w:val="009E20EF"/>
    <w:rsid w:val="009E26EE"/>
    <w:rsid w:val="009F21A2"/>
    <w:rsid w:val="00A32FBF"/>
    <w:rsid w:val="00A407EA"/>
    <w:rsid w:val="00A51749"/>
    <w:rsid w:val="00A521B6"/>
    <w:rsid w:val="00A56962"/>
    <w:rsid w:val="00A6412C"/>
    <w:rsid w:val="00A75419"/>
    <w:rsid w:val="00A76661"/>
    <w:rsid w:val="00A76D2A"/>
    <w:rsid w:val="00A82081"/>
    <w:rsid w:val="00A8557E"/>
    <w:rsid w:val="00A91181"/>
    <w:rsid w:val="00A935AC"/>
    <w:rsid w:val="00AB299E"/>
    <w:rsid w:val="00AB507C"/>
    <w:rsid w:val="00AD4EE2"/>
    <w:rsid w:val="00AD6E76"/>
    <w:rsid w:val="00AE3EAA"/>
    <w:rsid w:val="00AE5EDF"/>
    <w:rsid w:val="00B14F7F"/>
    <w:rsid w:val="00B16EB9"/>
    <w:rsid w:val="00B22F24"/>
    <w:rsid w:val="00B22F53"/>
    <w:rsid w:val="00B24DBE"/>
    <w:rsid w:val="00B34EB2"/>
    <w:rsid w:val="00B517C3"/>
    <w:rsid w:val="00B518B2"/>
    <w:rsid w:val="00B526EA"/>
    <w:rsid w:val="00B536FE"/>
    <w:rsid w:val="00B73FFA"/>
    <w:rsid w:val="00B874F1"/>
    <w:rsid w:val="00BC1DE7"/>
    <w:rsid w:val="00BC2C67"/>
    <w:rsid w:val="00BC54BC"/>
    <w:rsid w:val="00BC5AEE"/>
    <w:rsid w:val="00BD6029"/>
    <w:rsid w:val="00BE0541"/>
    <w:rsid w:val="00BE1ADB"/>
    <w:rsid w:val="00C070DE"/>
    <w:rsid w:val="00C26DFB"/>
    <w:rsid w:val="00C273FA"/>
    <w:rsid w:val="00C30D06"/>
    <w:rsid w:val="00C42067"/>
    <w:rsid w:val="00C432D0"/>
    <w:rsid w:val="00C4398E"/>
    <w:rsid w:val="00C54185"/>
    <w:rsid w:val="00C60B4A"/>
    <w:rsid w:val="00C65BDB"/>
    <w:rsid w:val="00C71A3B"/>
    <w:rsid w:val="00C75D42"/>
    <w:rsid w:val="00C76CFA"/>
    <w:rsid w:val="00C963F8"/>
    <w:rsid w:val="00C96BB1"/>
    <w:rsid w:val="00CA2F80"/>
    <w:rsid w:val="00CB0C2A"/>
    <w:rsid w:val="00CC4B2B"/>
    <w:rsid w:val="00CC579C"/>
    <w:rsid w:val="00CC5F5F"/>
    <w:rsid w:val="00CD3460"/>
    <w:rsid w:val="00CD4B61"/>
    <w:rsid w:val="00CD5043"/>
    <w:rsid w:val="00CE2928"/>
    <w:rsid w:val="00CE314A"/>
    <w:rsid w:val="00D01C50"/>
    <w:rsid w:val="00D11B24"/>
    <w:rsid w:val="00D11C18"/>
    <w:rsid w:val="00D133C8"/>
    <w:rsid w:val="00D14DB8"/>
    <w:rsid w:val="00D244D5"/>
    <w:rsid w:val="00D2776A"/>
    <w:rsid w:val="00D413DB"/>
    <w:rsid w:val="00D420E2"/>
    <w:rsid w:val="00D4459D"/>
    <w:rsid w:val="00D573F9"/>
    <w:rsid w:val="00D6058B"/>
    <w:rsid w:val="00D63EC5"/>
    <w:rsid w:val="00D64BC3"/>
    <w:rsid w:val="00D72C05"/>
    <w:rsid w:val="00D735BF"/>
    <w:rsid w:val="00D77672"/>
    <w:rsid w:val="00D80222"/>
    <w:rsid w:val="00D847CF"/>
    <w:rsid w:val="00DA0A99"/>
    <w:rsid w:val="00DA7603"/>
    <w:rsid w:val="00DA7E39"/>
    <w:rsid w:val="00DA7EDE"/>
    <w:rsid w:val="00DC0AB5"/>
    <w:rsid w:val="00DC3451"/>
    <w:rsid w:val="00DC50EB"/>
    <w:rsid w:val="00DD19F4"/>
    <w:rsid w:val="00DD3FA0"/>
    <w:rsid w:val="00DE5B2D"/>
    <w:rsid w:val="00DE5CE9"/>
    <w:rsid w:val="00E03064"/>
    <w:rsid w:val="00E04BD5"/>
    <w:rsid w:val="00E070D2"/>
    <w:rsid w:val="00E1539C"/>
    <w:rsid w:val="00E162B6"/>
    <w:rsid w:val="00E16E01"/>
    <w:rsid w:val="00E24A50"/>
    <w:rsid w:val="00E31469"/>
    <w:rsid w:val="00E35639"/>
    <w:rsid w:val="00E432CC"/>
    <w:rsid w:val="00E50711"/>
    <w:rsid w:val="00E60AD3"/>
    <w:rsid w:val="00E60EDA"/>
    <w:rsid w:val="00E62BBC"/>
    <w:rsid w:val="00E9503C"/>
    <w:rsid w:val="00E956D9"/>
    <w:rsid w:val="00EA1958"/>
    <w:rsid w:val="00EA29F5"/>
    <w:rsid w:val="00EA482D"/>
    <w:rsid w:val="00EB5FE6"/>
    <w:rsid w:val="00EB61A5"/>
    <w:rsid w:val="00EB6C1B"/>
    <w:rsid w:val="00EB7A09"/>
    <w:rsid w:val="00EC5AF4"/>
    <w:rsid w:val="00ED318B"/>
    <w:rsid w:val="00ED661C"/>
    <w:rsid w:val="00EE41B5"/>
    <w:rsid w:val="00EE66C9"/>
    <w:rsid w:val="00EF11A9"/>
    <w:rsid w:val="00EF38E1"/>
    <w:rsid w:val="00EF749A"/>
    <w:rsid w:val="00EF771E"/>
    <w:rsid w:val="00F02565"/>
    <w:rsid w:val="00F05542"/>
    <w:rsid w:val="00F06855"/>
    <w:rsid w:val="00F17A2C"/>
    <w:rsid w:val="00F26708"/>
    <w:rsid w:val="00F42933"/>
    <w:rsid w:val="00F45608"/>
    <w:rsid w:val="00F511EE"/>
    <w:rsid w:val="00F558E7"/>
    <w:rsid w:val="00F62016"/>
    <w:rsid w:val="00F63F44"/>
    <w:rsid w:val="00F6746D"/>
    <w:rsid w:val="00F811CD"/>
    <w:rsid w:val="00F82D8F"/>
    <w:rsid w:val="00F83F62"/>
    <w:rsid w:val="00F9711D"/>
    <w:rsid w:val="00FA75E0"/>
    <w:rsid w:val="00FB20B1"/>
    <w:rsid w:val="00FB3AB4"/>
    <w:rsid w:val="00FC35EC"/>
    <w:rsid w:val="00FC56A4"/>
    <w:rsid w:val="00FD3D06"/>
    <w:rsid w:val="00FD5662"/>
    <w:rsid w:val="00FD72B6"/>
    <w:rsid w:val="00FE00AD"/>
    <w:rsid w:val="00FE206E"/>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plicacao5.tst.jus.br/consultaProcessual/consultaTstNumUnica.do?consulta=Consultar&amp;conscsjt=&amp;numeroTst=110600&amp;digitoTst=80&amp;anoTst=2009&amp;orgaoTst=5&amp;tribunalTst=04&amp;varaTst=0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licacao5.tst.jus.br/consultaProcessual/consultaTstNumUnica.do?consulta=Consultar&amp;conscsjt=&amp;numeroTst=990&amp;digitoTst=38&amp;anoTst=2010&amp;orgaoTst=5&amp;tribunalTst=03&amp;varaTst=006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licacao5.tst.jus.br/consultaProcessual/consultaTstNumUnica.do?consulta=Consultar&amp;conscsjt=&amp;numeroTst=489900&amp;digitoTst=35&amp;anoTst=2003&amp;orgaoTst=5&amp;tribunalTst=09&amp;varaTst=000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plicacao5.tst.jus.br/consultaProcessual/consultaTstNumUnica.do?consulta=Consultar&amp;conscsjt=&amp;numeroTst=114400&amp;digitoTst=29&amp;anoTst=2008&amp;orgaoTst=5&amp;tribunalTst=03&amp;varaTst=0037" TargetMode="External"/><Relationship Id="rId4" Type="http://schemas.openxmlformats.org/officeDocument/2006/relationships/settings" Target="settings.xml"/><Relationship Id="rId9" Type="http://schemas.openxmlformats.org/officeDocument/2006/relationships/hyperlink" Target="https://aplicacao5.tst.jus.br/consultaProcessual/consultaTstNumUnica.do?consulta=Consultar&amp;conscsjt=&amp;numeroTst=160100&amp;digitoTst=88&amp;anoTst=2009&amp;orgaoTst=5&amp;tribunalTst=03&amp;varaTst=0038"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9E0D9-EC10-4AB1-87BF-20793CD7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1440</Words>
  <Characters>7781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9203</CharactersWithSpaces>
  <SharedDoc>false</SharedDoc>
  <HLinks>
    <vt:vector size="30" baseType="variant">
      <vt:variant>
        <vt:i4>2621488</vt:i4>
      </vt:variant>
      <vt:variant>
        <vt:i4>12</vt:i4>
      </vt:variant>
      <vt:variant>
        <vt:i4>0</vt:i4>
      </vt:variant>
      <vt:variant>
        <vt:i4>5</vt:i4>
      </vt:variant>
      <vt:variant>
        <vt:lpwstr>https://aplicacao5.tst.jus.br/consultaProcessual/consultaTstNumUnica.do?consulta=Consultar&amp;conscsjt=&amp;numeroTst=990&amp;digitoTst=38&amp;anoTst=2010&amp;orgaoTst=5&amp;tribunalTst=03&amp;varaTst=0064</vt:lpwstr>
      </vt:variant>
      <vt:variant>
        <vt:lpwstr/>
      </vt:variant>
      <vt:variant>
        <vt:i4>5832778</vt:i4>
      </vt:variant>
      <vt:variant>
        <vt:i4>9</vt:i4>
      </vt:variant>
      <vt:variant>
        <vt:i4>0</vt:i4>
      </vt:variant>
      <vt:variant>
        <vt:i4>5</vt:i4>
      </vt:variant>
      <vt:variant>
        <vt:lpwstr>https://aplicacao5.tst.jus.br/consultaProcessual/consultaTstNumUnica.do?consulta=Consultar&amp;conscsjt=&amp;numeroTst=489900&amp;digitoTst=35&amp;anoTst=2003&amp;orgaoTst=5&amp;tribunalTst=09&amp;varaTst=0005</vt:lpwstr>
      </vt:variant>
      <vt:variant>
        <vt:lpwstr/>
      </vt:variant>
      <vt:variant>
        <vt:i4>6225999</vt:i4>
      </vt:variant>
      <vt:variant>
        <vt:i4>6</vt:i4>
      </vt:variant>
      <vt:variant>
        <vt:i4>0</vt:i4>
      </vt:variant>
      <vt:variant>
        <vt:i4>5</vt:i4>
      </vt:variant>
      <vt:variant>
        <vt:lpwstr>https://aplicacao5.tst.jus.br/consultaProcessual/consultaTstNumUnica.do?consulta=Consultar&amp;conscsjt=&amp;numeroTst=114400&amp;digitoTst=29&amp;anoTst=2008&amp;orgaoTst=5&amp;tribunalTst=03&amp;varaTst=0037</vt:lpwstr>
      </vt:variant>
      <vt:variant>
        <vt:lpwstr/>
      </vt:variant>
      <vt:variant>
        <vt:i4>5963847</vt:i4>
      </vt:variant>
      <vt:variant>
        <vt:i4>3</vt:i4>
      </vt:variant>
      <vt:variant>
        <vt:i4>0</vt:i4>
      </vt:variant>
      <vt:variant>
        <vt:i4>5</vt:i4>
      </vt:variant>
      <vt:variant>
        <vt:lpwstr>https://aplicacao5.tst.jus.br/consultaProcessual/consultaTstNumUnica.do?consulta=Consultar&amp;conscsjt=&amp;numeroTst=160100&amp;digitoTst=88&amp;anoTst=2009&amp;orgaoTst=5&amp;tribunalTst=03&amp;varaTst=0038</vt:lpwstr>
      </vt:variant>
      <vt:variant>
        <vt:lpwstr/>
      </vt:variant>
      <vt:variant>
        <vt:i4>5570631</vt:i4>
      </vt:variant>
      <vt:variant>
        <vt:i4>0</vt:i4>
      </vt:variant>
      <vt:variant>
        <vt:i4>0</vt:i4>
      </vt:variant>
      <vt:variant>
        <vt:i4>5</vt:i4>
      </vt:variant>
      <vt:variant>
        <vt:lpwstr>https://aplicacao5.tst.jus.br/consultaProcessual/consultaTstNumUnica.do?consulta=Consultar&amp;conscsjt=&amp;numeroTst=110600&amp;digitoTst=80&amp;anoTst=2009&amp;orgaoTst=5&amp;tribunalTst=04&amp;varaTst=0020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2015-03-19T20:01:00Z</cp:lastPrinted>
  <dcterms:created xsi:type="dcterms:W3CDTF">2018-06-27T21:49:00Z</dcterms:created>
  <dcterms:modified xsi:type="dcterms:W3CDTF">2018-06-27T21:49:00Z</dcterms:modified>
</cp:coreProperties>
</file>