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1A7589" w:rsidRPr="003509A3" w:rsidTr="0055082E">
        <w:trPr>
          <w:trHeight w:val="537"/>
        </w:trPr>
        <w:tc>
          <w:tcPr>
            <w:tcW w:w="9639" w:type="dxa"/>
            <w:tcBorders>
              <w:top w:val="single" w:sz="4" w:space="0" w:color="auto"/>
            </w:tcBorders>
          </w:tcPr>
          <w:p w:rsidR="001A7589" w:rsidRPr="003509A3" w:rsidRDefault="001A7589" w:rsidP="002D05F7">
            <w:pPr>
              <w:pStyle w:val="Cabealho"/>
              <w:widowControl w:val="0"/>
              <w:tabs>
                <w:tab w:val="clear" w:pos="4419"/>
                <w:tab w:val="clear" w:pos="8838"/>
              </w:tabs>
              <w:jc w:val="both"/>
              <w:rPr>
                <w:rFonts w:ascii="Open Sans" w:hAnsi="Open Sans" w:cs="Open Sans"/>
              </w:rPr>
            </w:pPr>
            <w:r w:rsidRPr="003509A3">
              <w:rPr>
                <w:rFonts w:ascii="Open Sans" w:hAnsi="Open Sans" w:cs="Open Sans"/>
              </w:rPr>
              <w:t>Este Informativo, elaborado a partir de notas tomadas nas sessões de julgamento, contém resumos não oficiais de decisões proferidas pelo Tribunal. A fidelidade dos resumos ao conteúdo efetivo das decisões, embora seja uma das metas perseguidas neste trabalho, somente poderá ser aferida após a sua publicação no Diário Eletrônico da Justiça do Trabalho.</w:t>
            </w:r>
          </w:p>
        </w:tc>
      </w:tr>
    </w:tbl>
    <w:p w:rsidR="007204D6" w:rsidRDefault="007204D6" w:rsidP="002D05F7">
      <w:pPr>
        <w:pStyle w:val="Identificao"/>
        <w:widowControl w:val="0"/>
        <w:rPr>
          <w:rFonts w:ascii="Open Sans" w:hAnsi="Open Sans" w:cs="Open Sans"/>
          <w:lang w:val="pt-BR"/>
        </w:rPr>
      </w:pPr>
    </w:p>
    <w:p w:rsidR="00702ABA" w:rsidRPr="003E0231" w:rsidRDefault="00702ABA" w:rsidP="00702ABA">
      <w:pPr>
        <w:pStyle w:val="Corpo"/>
        <w:widowControl w:val="0"/>
        <w:pBdr>
          <w:top w:val="single" w:sz="4" w:space="1" w:color="auto"/>
          <w:left w:val="single" w:sz="4" w:space="0" w:color="auto"/>
          <w:bottom w:val="single" w:sz="4" w:space="1" w:color="auto"/>
          <w:right w:val="single" w:sz="4" w:space="0" w:color="auto"/>
        </w:pBdr>
        <w:shd w:val="solid" w:color="B8CCE4" w:fill="B8CCE4"/>
        <w:spacing w:line="240" w:lineRule="auto"/>
        <w:ind w:firstLine="0"/>
        <w:jc w:val="center"/>
        <w:rPr>
          <w:rFonts w:ascii="Open Sans" w:hAnsi="Open Sans" w:cs="Open Sans"/>
          <w:b/>
          <w:bCs/>
          <w:iCs/>
          <w:sz w:val="28"/>
          <w:szCs w:val="28"/>
          <w:lang w:val="pt-BR"/>
        </w:rPr>
      </w:pPr>
      <w:r w:rsidRPr="003509A3">
        <w:rPr>
          <w:rFonts w:ascii="Open Sans" w:hAnsi="Open Sans" w:cs="Open Sans"/>
          <w:b/>
          <w:bCs/>
          <w:iCs/>
          <w:sz w:val="28"/>
          <w:szCs w:val="28"/>
          <w:lang w:val="pt-BR"/>
        </w:rPr>
        <w:t xml:space="preserve">SUBSEÇÃO </w:t>
      </w:r>
      <w:r>
        <w:rPr>
          <w:rFonts w:ascii="Open Sans" w:hAnsi="Open Sans" w:cs="Open Sans"/>
          <w:b/>
          <w:bCs/>
          <w:iCs/>
          <w:sz w:val="28"/>
          <w:szCs w:val="28"/>
          <w:lang w:val="pt-BR"/>
        </w:rPr>
        <w:t>I</w:t>
      </w:r>
      <w:r w:rsidRPr="003509A3">
        <w:rPr>
          <w:rFonts w:ascii="Open Sans" w:hAnsi="Open Sans" w:cs="Open Sans"/>
          <w:b/>
          <w:bCs/>
          <w:iCs/>
          <w:sz w:val="28"/>
          <w:szCs w:val="28"/>
          <w:lang w:val="pt-BR"/>
        </w:rPr>
        <w:t xml:space="preserve"> ESPECIALIZADA EM DISSÍDIOS INDIVIDUAIS</w:t>
      </w:r>
    </w:p>
    <w:p w:rsidR="00CF0AA1" w:rsidRPr="005D3C22" w:rsidRDefault="00CF0AA1" w:rsidP="005D3C22">
      <w:pPr>
        <w:pStyle w:val="Identificao"/>
        <w:widowControl w:val="0"/>
        <w:rPr>
          <w:rFonts w:ascii="Open Sans" w:hAnsi="Open Sans" w:cs="Open Sans"/>
          <w:lang w:val="pt-BR"/>
        </w:rPr>
      </w:pPr>
    </w:p>
    <w:p w:rsidR="000F307F" w:rsidRPr="005D3C22" w:rsidRDefault="000F307F" w:rsidP="005D3C22">
      <w:pPr>
        <w:pStyle w:val="Identificao"/>
        <w:widowControl w:val="0"/>
        <w:rPr>
          <w:rFonts w:ascii="Open Sans" w:hAnsi="Open Sans" w:cs="Open Sans"/>
          <w:b/>
          <w:i/>
        </w:rPr>
      </w:pPr>
      <w:proofErr w:type="gramStart"/>
      <w:r w:rsidRPr="005D3C22">
        <w:rPr>
          <w:rFonts w:ascii="Open Sans" w:hAnsi="Open Sans" w:cs="Open Sans"/>
          <w:b/>
          <w:i/>
        </w:rPr>
        <w:t>Recurso de embargos.</w:t>
      </w:r>
      <w:proofErr w:type="gramEnd"/>
      <w:r w:rsidRPr="005D3C22">
        <w:rPr>
          <w:rFonts w:ascii="Open Sans" w:hAnsi="Open Sans" w:cs="Open Sans"/>
          <w:b/>
          <w:i/>
        </w:rPr>
        <w:t xml:space="preserve"> </w:t>
      </w:r>
      <w:proofErr w:type="gramStart"/>
      <w:r w:rsidRPr="005D3C22">
        <w:rPr>
          <w:rFonts w:ascii="Open Sans" w:hAnsi="Open Sans" w:cs="Open Sans"/>
          <w:b/>
          <w:i/>
        </w:rPr>
        <w:t>Divergência jurisprudencial.</w:t>
      </w:r>
      <w:proofErr w:type="gramEnd"/>
      <w:r w:rsidRPr="005D3C22">
        <w:rPr>
          <w:rFonts w:ascii="Open Sans" w:hAnsi="Open Sans" w:cs="Open Sans"/>
          <w:b/>
          <w:i/>
        </w:rPr>
        <w:t xml:space="preserve"> </w:t>
      </w:r>
      <w:proofErr w:type="gramStart"/>
      <w:r w:rsidRPr="005D3C22">
        <w:rPr>
          <w:rFonts w:ascii="Open Sans" w:hAnsi="Open Sans" w:cs="Open Sans"/>
          <w:b/>
          <w:i/>
        </w:rPr>
        <w:t>Juntada de cópias de arestos com código validador.</w:t>
      </w:r>
      <w:proofErr w:type="gramEnd"/>
      <w:r w:rsidRPr="005D3C22">
        <w:rPr>
          <w:rFonts w:ascii="Open Sans" w:hAnsi="Open Sans" w:cs="Open Sans"/>
          <w:b/>
          <w:i/>
        </w:rPr>
        <w:t xml:space="preserve"> </w:t>
      </w:r>
      <w:proofErr w:type="gramStart"/>
      <w:r w:rsidRPr="005D3C22">
        <w:rPr>
          <w:rFonts w:ascii="Open Sans" w:hAnsi="Open Sans" w:cs="Open Sans"/>
          <w:b/>
          <w:i/>
        </w:rPr>
        <w:t>Ausência de indicação do número dos processos nas razões recursais.</w:t>
      </w:r>
      <w:proofErr w:type="gramEnd"/>
      <w:r w:rsidRPr="005D3C22">
        <w:rPr>
          <w:rFonts w:ascii="Open Sans" w:hAnsi="Open Sans" w:cs="Open Sans"/>
          <w:b/>
          <w:i/>
        </w:rPr>
        <w:t xml:space="preserve"> </w:t>
      </w:r>
      <w:proofErr w:type="gramStart"/>
      <w:r w:rsidRPr="005D3C22">
        <w:rPr>
          <w:rFonts w:ascii="Open Sans" w:hAnsi="Open Sans" w:cs="Open Sans"/>
          <w:b/>
          <w:i/>
        </w:rPr>
        <w:t>Arestos formalmente inválidos.</w:t>
      </w:r>
      <w:proofErr w:type="gramEnd"/>
      <w:r w:rsidRPr="005D3C22">
        <w:rPr>
          <w:rFonts w:ascii="Open Sans" w:hAnsi="Open Sans" w:cs="Open Sans"/>
          <w:b/>
          <w:i/>
        </w:rPr>
        <w:t xml:space="preserve"> Inobservância da Súmula 337, IV, "c", do TST.</w:t>
      </w:r>
    </w:p>
    <w:p w:rsidR="00D53EFC" w:rsidRPr="005D3C22" w:rsidRDefault="000F307F" w:rsidP="005D3C22">
      <w:pPr>
        <w:pStyle w:val="Identificao"/>
        <w:rPr>
          <w:rFonts w:ascii="Open Sans" w:hAnsi="Open Sans" w:cs="Open Sans"/>
          <w:bCs/>
        </w:rPr>
      </w:pPr>
      <w:r w:rsidRPr="005D3C22">
        <w:rPr>
          <w:rFonts w:ascii="Open Sans" w:hAnsi="Open Sans" w:cs="Open Sans"/>
          <w:lang w:val="pt-BR"/>
        </w:rPr>
        <w:t xml:space="preserve">Embora a juntada de cópia do inteiro teor do aresto paradigma com código de autenticidade válido supra a necessidade de indicação da data e da fonte de </w:t>
      </w:r>
      <w:proofErr w:type="gramStart"/>
      <w:r w:rsidRPr="005D3C22">
        <w:rPr>
          <w:rFonts w:ascii="Open Sans" w:hAnsi="Open Sans" w:cs="Open Sans"/>
          <w:lang w:val="pt-BR"/>
        </w:rPr>
        <w:t>publicação</w:t>
      </w:r>
      <w:proofErr w:type="gramEnd"/>
      <w:r w:rsidRPr="005D3C22">
        <w:rPr>
          <w:rFonts w:ascii="Open Sans" w:hAnsi="Open Sans" w:cs="Open Sans"/>
          <w:lang w:val="pt-BR"/>
        </w:rPr>
        <w:t>, para a satisfação da exigência contida na Súmula nº 337, IV, "c", do TST, faz-se necessária a indicação, na petição de recurso de embargos, do número do processo das ementas citadas,</w:t>
      </w:r>
      <w:r w:rsidR="00D12487">
        <w:rPr>
          <w:rFonts w:ascii="Open Sans" w:hAnsi="Open Sans" w:cs="Open Sans"/>
          <w:lang w:val="pt-BR"/>
        </w:rPr>
        <w:t xml:space="preserve"> o que não ocorreu na espécie. </w:t>
      </w:r>
      <w:r w:rsidRPr="005D3C22">
        <w:rPr>
          <w:rFonts w:ascii="Open Sans" w:hAnsi="Open Sans" w:cs="Open Sans"/>
          <w:i/>
          <w:lang w:val="pt-BR"/>
        </w:rPr>
        <w:t>S</w:t>
      </w:r>
      <w:r w:rsidR="00E164AF" w:rsidRPr="005D3C22">
        <w:rPr>
          <w:rFonts w:ascii="Open Sans" w:hAnsi="Open Sans" w:cs="Open Sans"/>
          <w:lang w:val="pt-BR"/>
        </w:rPr>
        <w:t>ob esses fundamentos, a S</w:t>
      </w:r>
      <w:r w:rsidR="00F47ACC" w:rsidRPr="005D3C22">
        <w:rPr>
          <w:rFonts w:ascii="Open Sans" w:hAnsi="Open Sans" w:cs="Open Sans"/>
          <w:lang w:val="pt-BR"/>
        </w:rPr>
        <w:t>B</w:t>
      </w:r>
      <w:r w:rsidRPr="005D3C22">
        <w:rPr>
          <w:rFonts w:ascii="Open Sans" w:hAnsi="Open Sans" w:cs="Open Sans"/>
          <w:lang w:val="pt-BR"/>
        </w:rPr>
        <w:t xml:space="preserve">DI-I, por maioria, negou </w:t>
      </w:r>
      <w:proofErr w:type="gramStart"/>
      <w:r w:rsidRPr="005D3C22">
        <w:rPr>
          <w:rFonts w:ascii="Open Sans" w:hAnsi="Open Sans" w:cs="Open Sans"/>
          <w:lang w:val="pt-BR"/>
        </w:rPr>
        <w:t>provimento ao agravo, vencidos</w:t>
      </w:r>
      <w:proofErr w:type="gramEnd"/>
      <w:r w:rsidRPr="005D3C22">
        <w:rPr>
          <w:rFonts w:ascii="Open Sans" w:hAnsi="Open Sans" w:cs="Open Sans"/>
          <w:lang w:val="pt-BR"/>
        </w:rPr>
        <w:t xml:space="preserve"> os Ministros Douglas Alencar Rodrigues, relator, Aloysio Corrêa da Veiga, Evandro Pereira Valadão Lopes e as Ministras Delaíde Alves Miranda Arantes e Maria Helena Mallmann. </w:t>
      </w:r>
      <w:hyperlink r:id="rId8" w:history="1">
        <w:r w:rsidRPr="005D3C22">
          <w:rPr>
            <w:rStyle w:val="Hyperlink"/>
            <w:rFonts w:ascii="Open Sans" w:hAnsi="Open Sans" w:cs="Open Sans"/>
            <w:lang w:val="pt-BR"/>
          </w:rPr>
          <w:t xml:space="preserve">TST-Ag-E-RR-25013-81.2015.5.24.0066, SBDI-I, red. </w:t>
        </w:r>
        <w:r w:rsidR="00E949CE" w:rsidRPr="005D3C22">
          <w:rPr>
            <w:rStyle w:val="Hyperlink"/>
            <w:rFonts w:ascii="Open Sans" w:hAnsi="Open Sans" w:cs="Open Sans"/>
            <w:lang w:val="pt-BR"/>
          </w:rPr>
          <w:t xml:space="preserve">p/ acórdão </w:t>
        </w:r>
        <w:r w:rsidRPr="005D3C22">
          <w:rPr>
            <w:rStyle w:val="Hyperlink"/>
            <w:rFonts w:ascii="Open Sans" w:hAnsi="Open Sans" w:cs="Open Sans"/>
            <w:lang w:val="pt-BR"/>
          </w:rPr>
          <w:t xml:space="preserve">Min. Breno Medeiros, </w:t>
        </w:r>
        <w:r w:rsidR="007F07B4" w:rsidRPr="007F07B4">
          <w:rPr>
            <w:rStyle w:val="Hyperlink"/>
            <w:rFonts w:ascii="Open Sans" w:hAnsi="Open Sans" w:cs="Open Sans"/>
            <w:lang w:val="pt-BR"/>
          </w:rPr>
          <w:t xml:space="preserve">julgado em </w:t>
        </w:r>
        <w:r w:rsidRPr="005D3C22">
          <w:rPr>
            <w:rStyle w:val="Hyperlink"/>
            <w:rFonts w:ascii="Open Sans" w:hAnsi="Open Sans" w:cs="Open Sans"/>
            <w:lang w:val="pt-BR"/>
          </w:rPr>
          <w:t xml:space="preserve">21/3/2024. </w:t>
        </w:r>
      </w:hyperlink>
      <w:r w:rsidR="00D53EFC" w:rsidRPr="005D3C22">
        <w:rPr>
          <w:rFonts w:ascii="Open Sans" w:hAnsi="Open Sans" w:cs="Open Sans"/>
          <w:b/>
          <w:color w:val="FF0000"/>
          <w:highlight w:val="yellow"/>
          <w:lang w:val="pt-BR"/>
        </w:rPr>
        <w:t xml:space="preserve"> </w:t>
      </w:r>
    </w:p>
    <w:p w:rsidR="000F307F" w:rsidRPr="005D3C22" w:rsidRDefault="000F307F" w:rsidP="005D3C22">
      <w:pPr>
        <w:pStyle w:val="Identificao"/>
        <w:widowControl w:val="0"/>
        <w:rPr>
          <w:rFonts w:ascii="Open Sans" w:hAnsi="Open Sans" w:cs="Open Sans"/>
          <w:lang w:val="pt-BR"/>
        </w:rPr>
      </w:pPr>
    </w:p>
    <w:p w:rsidR="00C73C1A" w:rsidRPr="005D3C22" w:rsidRDefault="00C73C1A" w:rsidP="005D3C22">
      <w:pPr>
        <w:jc w:val="both"/>
        <w:rPr>
          <w:rFonts w:ascii="Open Sans" w:hAnsi="Open Sans" w:cs="Open Sans"/>
          <w:b/>
          <w:i/>
          <w:sz w:val="24"/>
          <w:szCs w:val="24"/>
        </w:rPr>
      </w:pPr>
      <w:r w:rsidRPr="005D3C22">
        <w:rPr>
          <w:rFonts w:ascii="Open Sans" w:hAnsi="Open Sans" w:cs="Open Sans"/>
          <w:b/>
          <w:i/>
          <w:sz w:val="24"/>
          <w:szCs w:val="24"/>
        </w:rPr>
        <w:t xml:space="preserve">Intervalo intrajornada.  Tempo a ser usufruído. Cômputo das horas </w:t>
      </w:r>
      <w:r w:rsidRPr="005D3C22">
        <w:rPr>
          <w:rFonts w:ascii="Open Sans" w:hAnsi="Open Sans" w:cs="Open Sans"/>
          <w:b/>
          <w:sz w:val="24"/>
          <w:szCs w:val="24"/>
        </w:rPr>
        <w:t>in itinere.</w:t>
      </w:r>
      <w:r w:rsidRPr="005D3C22">
        <w:rPr>
          <w:rFonts w:ascii="Open Sans" w:hAnsi="Open Sans" w:cs="Open Sans"/>
          <w:b/>
          <w:i/>
          <w:sz w:val="24"/>
          <w:szCs w:val="24"/>
        </w:rPr>
        <w:t xml:space="preserve"> Período controvertido anterior à Reforma Trabalhista. Interpretação conjunta dos arts. 4º, 58, §2º, e 71, “caput” e §1º, da CLT, na redação anterior à vigência da Lei nº 13.467/2017.</w:t>
      </w:r>
    </w:p>
    <w:p w:rsidR="00C73C1A" w:rsidRPr="005D3C22" w:rsidRDefault="00C73C1A" w:rsidP="005D3C22">
      <w:pPr>
        <w:jc w:val="both"/>
        <w:rPr>
          <w:rFonts w:ascii="Open Sans" w:hAnsi="Open Sans" w:cs="Open Sans"/>
          <w:sz w:val="24"/>
          <w:szCs w:val="24"/>
        </w:rPr>
      </w:pPr>
      <w:r w:rsidRPr="005D3C22">
        <w:rPr>
          <w:rFonts w:ascii="Open Sans" w:hAnsi="Open Sans" w:cs="Open Sans"/>
          <w:sz w:val="24"/>
          <w:szCs w:val="24"/>
        </w:rPr>
        <w:t xml:space="preserve">As horas </w:t>
      </w:r>
      <w:r w:rsidRPr="005D3C22">
        <w:rPr>
          <w:rFonts w:ascii="Open Sans" w:hAnsi="Open Sans" w:cs="Open Sans"/>
          <w:i/>
          <w:sz w:val="24"/>
          <w:szCs w:val="24"/>
        </w:rPr>
        <w:t>in itinere</w:t>
      </w:r>
      <w:r w:rsidRPr="005D3C22">
        <w:rPr>
          <w:rFonts w:ascii="Open Sans" w:hAnsi="Open Sans" w:cs="Open Sans"/>
          <w:b/>
          <w:i/>
          <w:sz w:val="24"/>
          <w:szCs w:val="24"/>
        </w:rPr>
        <w:t xml:space="preserve"> </w:t>
      </w:r>
      <w:r w:rsidRPr="005D3C22">
        <w:rPr>
          <w:rFonts w:ascii="Open Sans" w:hAnsi="Open Sans" w:cs="Open Sans"/>
          <w:sz w:val="24"/>
          <w:szCs w:val="24"/>
        </w:rPr>
        <w:t xml:space="preserve">devem ser consideradas para a apuração do tempo de intervalo intrajornada a ser usufruído pelo empregado, tendo em vista a interpretação conjunta dos arts. 4º, 58, §2º, e 71, </w:t>
      </w:r>
      <w:r w:rsidRPr="005D3C22">
        <w:rPr>
          <w:rFonts w:ascii="Open Sans" w:hAnsi="Open Sans" w:cs="Open Sans"/>
          <w:i/>
          <w:sz w:val="24"/>
          <w:szCs w:val="24"/>
        </w:rPr>
        <w:t>caput</w:t>
      </w:r>
      <w:r w:rsidR="00D12487">
        <w:rPr>
          <w:rFonts w:ascii="Open Sans" w:hAnsi="Open Sans" w:cs="Open Sans"/>
          <w:sz w:val="24"/>
          <w:szCs w:val="24"/>
        </w:rPr>
        <w:t xml:space="preserve"> e §</w:t>
      </w:r>
      <w:r w:rsidRPr="005D3C22">
        <w:rPr>
          <w:rFonts w:ascii="Open Sans" w:hAnsi="Open Sans" w:cs="Open Sans"/>
          <w:sz w:val="24"/>
          <w:szCs w:val="24"/>
        </w:rPr>
        <w:t>1º, da CLT, na redação anterior à vigência da Lei nº 13.467/2017. Na espécie, o período controvertido era anterior à Reforma Trabalhista, no qual havia previsão legal da integração do tempo de trajeto à jornada d</w:t>
      </w:r>
      <w:r w:rsidR="00D12487">
        <w:rPr>
          <w:rFonts w:ascii="Open Sans" w:hAnsi="Open Sans" w:cs="Open Sans"/>
          <w:sz w:val="24"/>
          <w:szCs w:val="24"/>
        </w:rPr>
        <w:t>e trabalho quando a condução fosse</w:t>
      </w:r>
      <w:r w:rsidRPr="005D3C22">
        <w:rPr>
          <w:rFonts w:ascii="Open Sans" w:hAnsi="Open Sans" w:cs="Open Sans"/>
          <w:sz w:val="24"/>
          <w:szCs w:val="24"/>
        </w:rPr>
        <w:t xml:space="preserve"> fornecida pelo empregador e o labor ocorresse em local de difícil acesso ou não servido por transporte público. Desse modo, por ser </w:t>
      </w:r>
      <w:r w:rsidRPr="005D3C22">
        <w:rPr>
          <w:rFonts w:ascii="Open Sans" w:hAnsi="Open Sans" w:cs="Open Sans"/>
          <w:sz w:val="24"/>
          <w:szCs w:val="24"/>
        </w:rPr>
        <w:lastRenderedPageBreak/>
        <w:t>considerado como serviço efetivo, pois constituía tempo à disposição do empregador, cabe o cômputo</w:t>
      </w:r>
      <w:r w:rsidR="00D12487">
        <w:rPr>
          <w:rFonts w:ascii="Open Sans" w:hAnsi="Open Sans" w:cs="Open Sans"/>
          <w:sz w:val="24"/>
          <w:szCs w:val="24"/>
        </w:rPr>
        <w:t xml:space="preserve"> das horas </w:t>
      </w:r>
      <w:r w:rsidR="00D12487">
        <w:rPr>
          <w:rFonts w:ascii="Open Sans" w:hAnsi="Open Sans" w:cs="Open Sans"/>
          <w:i/>
          <w:sz w:val="24"/>
          <w:szCs w:val="24"/>
        </w:rPr>
        <w:t>in itinere</w:t>
      </w:r>
      <w:r w:rsidRPr="005D3C22">
        <w:rPr>
          <w:rFonts w:ascii="Open Sans" w:hAnsi="Open Sans" w:cs="Open Sans"/>
          <w:sz w:val="24"/>
          <w:szCs w:val="24"/>
        </w:rPr>
        <w:t xml:space="preserve"> para fins de estabelecimento do período destinado ao intervalo para descanso e alimentação. Com esse entendimento, a S</w:t>
      </w:r>
      <w:r w:rsidR="00F47ACC" w:rsidRPr="005D3C22">
        <w:rPr>
          <w:rFonts w:ascii="Open Sans" w:hAnsi="Open Sans" w:cs="Open Sans"/>
          <w:sz w:val="24"/>
          <w:szCs w:val="24"/>
        </w:rPr>
        <w:t>B</w:t>
      </w:r>
      <w:r w:rsidR="00D12487">
        <w:rPr>
          <w:rFonts w:ascii="Open Sans" w:hAnsi="Open Sans" w:cs="Open Sans"/>
          <w:sz w:val="24"/>
          <w:szCs w:val="24"/>
        </w:rPr>
        <w:t>DI-I</w:t>
      </w:r>
      <w:r w:rsidRPr="005D3C22">
        <w:rPr>
          <w:rFonts w:ascii="Open Sans" w:hAnsi="Open Sans" w:cs="Open Sans"/>
          <w:sz w:val="24"/>
          <w:szCs w:val="24"/>
        </w:rPr>
        <w:t>, por unanimidade, conheceu dos embargos e, no mérito, por maioria, negou-lhes provimento, vencidos os Ministros Breno Medeiros e Alexandre Luiz Ramos.</w:t>
      </w:r>
      <w:r w:rsidRPr="005D3C22">
        <w:rPr>
          <w:rFonts w:ascii="Open Sans" w:hAnsi="Open Sans" w:cs="Open Sans"/>
          <w:b/>
          <w:sz w:val="24"/>
          <w:szCs w:val="24"/>
        </w:rPr>
        <w:t xml:space="preserve"> </w:t>
      </w:r>
      <w:hyperlink r:id="rId9" w:history="1">
        <w:r w:rsidRPr="005D3C22">
          <w:rPr>
            <w:rStyle w:val="Hyperlink"/>
            <w:rFonts w:ascii="Open Sans" w:hAnsi="Open Sans" w:cs="Open Sans"/>
            <w:sz w:val="24"/>
            <w:szCs w:val="24"/>
          </w:rPr>
          <w:t xml:space="preserve">TST-E-ED-Ag-RR-1139-30.2014.5.05.0002, SBDI-I, rel. Min. Alberto Bastos Balazeiro, julgado em 21/3/2024. </w:t>
        </w:r>
      </w:hyperlink>
    </w:p>
    <w:p w:rsidR="00CF0AA1" w:rsidRPr="005D3C22" w:rsidRDefault="00CF0AA1" w:rsidP="005D3C22">
      <w:pPr>
        <w:pStyle w:val="Identificao"/>
        <w:widowControl w:val="0"/>
        <w:rPr>
          <w:rFonts w:ascii="Open Sans" w:hAnsi="Open Sans" w:cs="Open Sans"/>
          <w:lang w:val="pt-BR"/>
        </w:rPr>
      </w:pPr>
    </w:p>
    <w:p w:rsidR="00AA2527" w:rsidRPr="005D3C22" w:rsidRDefault="00AA2527" w:rsidP="005D3C22">
      <w:pPr>
        <w:pStyle w:val="Identificao"/>
        <w:widowControl w:val="0"/>
        <w:rPr>
          <w:rFonts w:ascii="Open Sans" w:hAnsi="Open Sans" w:cs="Open Sans"/>
          <w:b/>
          <w:i/>
        </w:rPr>
      </w:pPr>
      <w:r w:rsidRPr="005D3C22">
        <w:rPr>
          <w:rFonts w:ascii="Open Sans" w:hAnsi="Open Sans" w:cs="Open Sans"/>
          <w:b/>
          <w:i/>
        </w:rPr>
        <w:t xml:space="preserve">Sociedade de crédito ao microempreendedor e à empresa de pequeno </w:t>
      </w:r>
      <w:proofErr w:type="gramStart"/>
      <w:r w:rsidRPr="005D3C22">
        <w:rPr>
          <w:rFonts w:ascii="Open Sans" w:hAnsi="Open Sans" w:cs="Open Sans"/>
          <w:b/>
          <w:i/>
        </w:rPr>
        <w:t>porte</w:t>
      </w:r>
      <w:proofErr w:type="gramEnd"/>
      <w:r w:rsidRPr="005D3C22">
        <w:rPr>
          <w:rFonts w:ascii="Open Sans" w:hAnsi="Open Sans" w:cs="Open Sans"/>
          <w:b/>
          <w:i/>
        </w:rPr>
        <w:t xml:space="preserve"> habilitada no Programa Nacional de Microcrédito Produtivo Orientado (PNMPO). Equiparação à institu</w:t>
      </w:r>
      <w:r w:rsidR="00F13280">
        <w:rPr>
          <w:rFonts w:ascii="Open Sans" w:hAnsi="Open Sans" w:cs="Open Sans"/>
          <w:b/>
          <w:i/>
        </w:rPr>
        <w:t>i</w:t>
      </w:r>
      <w:r w:rsidRPr="005D3C22">
        <w:rPr>
          <w:rFonts w:ascii="Open Sans" w:hAnsi="Open Sans" w:cs="Open Sans"/>
          <w:b/>
          <w:i/>
        </w:rPr>
        <w:t>ção financeira por expressa previ</w:t>
      </w:r>
      <w:r w:rsidR="00D12487">
        <w:rPr>
          <w:rFonts w:ascii="Open Sans" w:hAnsi="Open Sans" w:cs="Open Sans"/>
          <w:b/>
          <w:i/>
        </w:rPr>
        <w:t xml:space="preserve">são legal. </w:t>
      </w:r>
      <w:proofErr w:type="gramStart"/>
      <w:r w:rsidR="00D12487">
        <w:rPr>
          <w:rFonts w:ascii="Open Sans" w:hAnsi="Open Sans" w:cs="Open Sans"/>
          <w:b/>
          <w:i/>
        </w:rPr>
        <w:t>Jornada de trabalho.</w:t>
      </w:r>
      <w:proofErr w:type="gramEnd"/>
      <w:r w:rsidR="00D12487">
        <w:rPr>
          <w:rFonts w:ascii="Open Sans" w:hAnsi="Open Sans" w:cs="Open Sans"/>
          <w:b/>
          <w:i/>
        </w:rPr>
        <w:t xml:space="preserve"> </w:t>
      </w:r>
      <w:r w:rsidRPr="005D3C22">
        <w:rPr>
          <w:rFonts w:ascii="Open Sans" w:hAnsi="Open Sans" w:cs="Open Sans"/>
          <w:b/>
          <w:i/>
        </w:rPr>
        <w:t xml:space="preserve">Aplicação do art. 224 da CLT e da súmula nº 55 do TST. </w:t>
      </w:r>
      <w:proofErr w:type="gramStart"/>
      <w:r w:rsidRPr="005D3C22">
        <w:rPr>
          <w:rFonts w:ascii="Open Sans" w:hAnsi="Open Sans" w:cs="Open Sans"/>
          <w:b/>
          <w:i/>
        </w:rPr>
        <w:t>Possibilidade.</w:t>
      </w:r>
      <w:proofErr w:type="gramEnd"/>
    </w:p>
    <w:p w:rsidR="00AA2527" w:rsidRPr="005D3C22" w:rsidRDefault="00986396" w:rsidP="005D3C22">
      <w:pPr>
        <w:pStyle w:val="Identificao"/>
        <w:widowControl w:val="0"/>
        <w:rPr>
          <w:rStyle w:val="Hyperlink"/>
          <w:rFonts w:ascii="Open Sans" w:hAnsi="Open Sans" w:cs="Open Sans"/>
        </w:rPr>
      </w:pPr>
      <w:r w:rsidRPr="00986396">
        <w:rPr>
          <w:rFonts w:ascii="Open Sans" w:hAnsi="Open Sans" w:cs="Open Sans"/>
        </w:rPr>
        <w:t xml:space="preserve">As sociedades de crédito ao microempreendedor e à empresa de pequeno </w:t>
      </w:r>
      <w:proofErr w:type="gramStart"/>
      <w:r w:rsidRPr="00986396">
        <w:rPr>
          <w:rFonts w:ascii="Open Sans" w:hAnsi="Open Sans" w:cs="Open Sans"/>
        </w:rPr>
        <w:t>porte</w:t>
      </w:r>
      <w:proofErr w:type="gramEnd"/>
      <w:r w:rsidRPr="00986396">
        <w:rPr>
          <w:rFonts w:ascii="Open Sans" w:hAnsi="Open Sans" w:cs="Open Sans"/>
        </w:rPr>
        <w:t xml:space="preserve"> habilitadas no PNMPO equiparam-se a instituições financeiras para fim de incidência da jornada reduzi</w:t>
      </w:r>
      <w:r>
        <w:rPr>
          <w:rFonts w:ascii="Open Sans" w:hAnsi="Open Sans" w:cs="Open Sans"/>
        </w:rPr>
        <w:t xml:space="preserve">da que trata o art. 224 da CLT, </w:t>
      </w:r>
      <w:r w:rsidRPr="00986396">
        <w:rPr>
          <w:rFonts w:ascii="Open Sans" w:hAnsi="Open Sans" w:cs="Open Sans"/>
        </w:rPr>
        <w:t xml:space="preserve">aplicando-se a Súmula nº 55 do TST. Isso porque o inciso I do art. 1º da Lei nº 10.194/2021 estabelece expressamente </w:t>
      </w:r>
      <w:proofErr w:type="gramStart"/>
      <w:r w:rsidRPr="00986396">
        <w:rPr>
          <w:rFonts w:ascii="Open Sans" w:hAnsi="Open Sans" w:cs="Open Sans"/>
        </w:rPr>
        <w:t>tal</w:t>
      </w:r>
      <w:proofErr w:type="gramEnd"/>
      <w:r w:rsidRPr="00986396">
        <w:rPr>
          <w:rFonts w:ascii="Open Sans" w:hAnsi="Open Sans" w:cs="Open Sans"/>
        </w:rPr>
        <w:t xml:space="preserve"> equiparação, não sendo suficiente para descaracterizá-la o fato de a referida lei vedar a impossibilidade de captação de recursos do público em geral. Sob </w:t>
      </w:r>
      <w:proofErr w:type="gramStart"/>
      <w:r w:rsidRPr="00986396">
        <w:rPr>
          <w:rFonts w:ascii="Open Sans" w:hAnsi="Open Sans" w:cs="Open Sans"/>
        </w:rPr>
        <w:t>tais</w:t>
      </w:r>
      <w:proofErr w:type="gramEnd"/>
      <w:r w:rsidRPr="00986396">
        <w:rPr>
          <w:rFonts w:ascii="Open Sans" w:hAnsi="Open Sans" w:cs="Open Sans"/>
        </w:rPr>
        <w:t xml:space="preserve"> premissas, a SBDI-I, em sessão com quórum completo, conheceu dos embargos por unanimidade, e, no mérito, por maioria, negou-lhes provimento. Vencidos os Ministros Evandro Pereira Valadão Lopes, Aloysio Corrêa da Veiga, Breno Medeiros, Alexandre Luiz Ramos e as Ministras Dora Maria da Costa e Delaíde Miranda Arante</w:t>
      </w:r>
      <w:r w:rsidR="00AA2527" w:rsidRPr="005D3C22">
        <w:rPr>
          <w:rFonts w:ascii="Open Sans" w:hAnsi="Open Sans" w:cs="Open Sans"/>
        </w:rPr>
        <w:fldChar w:fldCharType="begin"/>
      </w:r>
      <w:r w:rsidR="00AA2527" w:rsidRPr="005D3C22">
        <w:rPr>
          <w:rFonts w:ascii="Open Sans" w:hAnsi="Open Sans" w:cs="Open Sans"/>
        </w:rPr>
        <w:instrText xml:space="preserve"> HYPERLINK "https://consultaprocessual.tst.jus.br/consultaProcessual/consultaTstNumUnica.do?consulta=Consultar&amp;conscsjt=&amp;numeroTst=872&amp;digitoTst=40&amp;anoTst=2015&amp;orgaoTst=5&amp;tribunalTst=06&amp;varaTst=0311&amp;submit=Consultar" </w:instrText>
      </w:r>
      <w:r w:rsidR="00AA2527" w:rsidRPr="005D3C22">
        <w:rPr>
          <w:rFonts w:ascii="Open Sans" w:hAnsi="Open Sans" w:cs="Open Sans"/>
        </w:rPr>
        <w:fldChar w:fldCharType="separate"/>
      </w:r>
      <w:r w:rsidR="00AA2527" w:rsidRPr="005D3C22">
        <w:rPr>
          <w:rStyle w:val="Hyperlink"/>
          <w:rFonts w:ascii="Open Sans" w:hAnsi="Open Sans" w:cs="Open Sans"/>
        </w:rPr>
        <w:t>TST-E-ED-RR-872-40.2015.5.06.0311, SBDI-I, rel. Min. José Roberto Freire Pimenta, julgado em 4/4/2024.</w:t>
      </w:r>
    </w:p>
    <w:p w:rsidR="00AA2527" w:rsidRDefault="00AA2527" w:rsidP="005D3C22">
      <w:pPr>
        <w:pStyle w:val="Identificao"/>
        <w:widowControl w:val="0"/>
        <w:rPr>
          <w:rFonts w:ascii="Open Sans" w:hAnsi="Open Sans" w:cs="Open Sans"/>
          <w:lang w:val="pt-BR"/>
        </w:rPr>
      </w:pPr>
      <w:r w:rsidRPr="005D3C22">
        <w:rPr>
          <w:rFonts w:ascii="Open Sans" w:hAnsi="Open Sans" w:cs="Open Sans"/>
          <w:lang w:val="pt-BR"/>
        </w:rPr>
        <w:fldChar w:fldCharType="end"/>
      </w:r>
    </w:p>
    <w:p w:rsidR="00340315" w:rsidRPr="00256EDE" w:rsidRDefault="00340315" w:rsidP="00340315">
      <w:pPr>
        <w:jc w:val="both"/>
        <w:rPr>
          <w:rFonts w:ascii="Open Sans" w:hAnsi="Open Sans" w:cs="Open Sans"/>
          <w:i/>
          <w:color w:val="000000"/>
          <w:sz w:val="24"/>
          <w:szCs w:val="24"/>
        </w:rPr>
      </w:pPr>
      <w:r w:rsidRPr="00256EDE">
        <w:rPr>
          <w:rFonts w:ascii="Open Sans" w:hAnsi="Open Sans" w:cs="Open Sans"/>
          <w:b/>
          <w:bCs/>
          <w:i/>
          <w:color w:val="000000"/>
          <w:sz w:val="24"/>
          <w:szCs w:val="24"/>
        </w:rPr>
        <w:t>Conselho regional de fiscalização profissional. Contrato de trabalho firmado sem prévia aprovação em concurso público. Nulidade. Admissão anterior ao julgamento da ADI nº 1.717. Ausência de modulação pelo STF. Efeito </w:t>
      </w:r>
      <w:r w:rsidRPr="00256EDE">
        <w:rPr>
          <w:rFonts w:ascii="Open Sans" w:hAnsi="Open Sans" w:cs="Open Sans"/>
          <w:b/>
          <w:bCs/>
          <w:iCs/>
          <w:color w:val="000000"/>
          <w:sz w:val="24"/>
          <w:szCs w:val="24"/>
        </w:rPr>
        <w:t>ex tunc</w:t>
      </w:r>
      <w:r w:rsidRPr="00256EDE">
        <w:rPr>
          <w:rFonts w:ascii="Open Sans" w:hAnsi="Open Sans" w:cs="Open Sans"/>
          <w:b/>
          <w:bCs/>
          <w:i/>
          <w:iCs/>
          <w:color w:val="000000"/>
          <w:sz w:val="24"/>
          <w:szCs w:val="24"/>
        </w:rPr>
        <w:t>.</w:t>
      </w:r>
      <w:r w:rsidRPr="00256EDE">
        <w:rPr>
          <w:rFonts w:ascii="Open Sans" w:hAnsi="Open Sans" w:cs="Open Sans"/>
          <w:i/>
          <w:color w:val="000000"/>
          <w:sz w:val="24"/>
          <w:szCs w:val="24"/>
        </w:rPr>
        <w:t> </w:t>
      </w:r>
    </w:p>
    <w:p w:rsidR="00340315" w:rsidRPr="00256EDE" w:rsidRDefault="00340315" w:rsidP="00340315">
      <w:pPr>
        <w:jc w:val="both"/>
        <w:rPr>
          <w:rFonts w:ascii="Open Sans" w:hAnsi="Open Sans" w:cs="Open Sans"/>
          <w:bCs/>
          <w:sz w:val="24"/>
          <w:szCs w:val="24"/>
        </w:rPr>
      </w:pPr>
      <w:r w:rsidRPr="00256EDE">
        <w:rPr>
          <w:rFonts w:ascii="Open Sans" w:hAnsi="Open Sans" w:cs="Open Sans"/>
          <w:bCs/>
          <w:sz w:val="24"/>
          <w:szCs w:val="24"/>
        </w:rPr>
        <w:t>O Supremo Tribunal Federal</w:t>
      </w:r>
      <w:r w:rsidR="00EB4EDD">
        <w:rPr>
          <w:rFonts w:ascii="Open Sans" w:hAnsi="Open Sans" w:cs="Open Sans"/>
          <w:bCs/>
          <w:sz w:val="24"/>
          <w:szCs w:val="24"/>
        </w:rPr>
        <w:t xml:space="preserve"> (STF)</w:t>
      </w:r>
      <w:r w:rsidRPr="00256EDE">
        <w:rPr>
          <w:rFonts w:ascii="Open Sans" w:hAnsi="Open Sans" w:cs="Open Sans"/>
          <w:bCs/>
          <w:sz w:val="24"/>
          <w:szCs w:val="24"/>
        </w:rPr>
        <w:t xml:space="preserve">, no julgamento da ADI n° 1.717, declarou a inconstitucionalidade do art. 58, </w:t>
      </w:r>
      <w:r w:rsidRPr="00EB4EDD">
        <w:rPr>
          <w:rFonts w:ascii="Open Sans" w:hAnsi="Open Sans" w:cs="Open Sans"/>
          <w:bCs/>
          <w:i/>
          <w:sz w:val="24"/>
          <w:szCs w:val="24"/>
        </w:rPr>
        <w:t>caput</w:t>
      </w:r>
      <w:r w:rsidRPr="00256EDE">
        <w:rPr>
          <w:rFonts w:ascii="Open Sans" w:hAnsi="Open Sans" w:cs="Open Sans"/>
          <w:bCs/>
          <w:sz w:val="24"/>
          <w:szCs w:val="24"/>
        </w:rPr>
        <w:t xml:space="preserve"> e §§ 1º, 2º, 4º e 8º, da Lei nº</w:t>
      </w:r>
      <w:r w:rsidR="00EB4EDD">
        <w:rPr>
          <w:rFonts w:ascii="Open Sans" w:hAnsi="Open Sans" w:cs="Open Sans"/>
          <w:bCs/>
          <w:sz w:val="24"/>
          <w:szCs w:val="24"/>
        </w:rPr>
        <w:t xml:space="preserve"> 9.649/98, firmando</w:t>
      </w:r>
      <w:r w:rsidRPr="00256EDE">
        <w:rPr>
          <w:rFonts w:ascii="Open Sans" w:hAnsi="Open Sans" w:cs="Open Sans"/>
          <w:bCs/>
          <w:sz w:val="24"/>
          <w:szCs w:val="24"/>
        </w:rPr>
        <w:t xml:space="preserve"> o entendimento de que os conselhos de fiscalização profissional submetem-se às regras previstas no art. 37, II, da Constituição Federal. Embora não tenham sido estabelecidas ressalvas em relação à modulação, </w:t>
      </w:r>
      <w:r w:rsidRPr="00256EDE">
        <w:rPr>
          <w:rFonts w:ascii="Open Sans" w:hAnsi="Open Sans" w:cs="Open Sans"/>
          <w:sz w:val="24"/>
          <w:szCs w:val="24"/>
        </w:rPr>
        <w:t xml:space="preserve">o próprio STF tem entendido que os efeitos provenientes do referido julgamento ostentam natureza </w:t>
      </w:r>
      <w:r w:rsidRPr="00256EDE">
        <w:rPr>
          <w:rFonts w:ascii="Open Sans" w:hAnsi="Open Sans" w:cs="Open Sans"/>
          <w:i/>
          <w:sz w:val="24"/>
          <w:szCs w:val="24"/>
        </w:rPr>
        <w:t>ex tunc</w:t>
      </w:r>
      <w:r w:rsidRPr="00256EDE">
        <w:rPr>
          <w:rFonts w:ascii="Open Sans" w:hAnsi="Open Sans" w:cs="Open Sans"/>
          <w:sz w:val="24"/>
          <w:szCs w:val="24"/>
        </w:rPr>
        <w:t xml:space="preserve">, </w:t>
      </w:r>
      <w:r w:rsidR="00EB4EDD">
        <w:rPr>
          <w:rFonts w:ascii="Open Sans" w:hAnsi="Open Sans" w:cs="Open Sans"/>
          <w:sz w:val="24"/>
          <w:szCs w:val="24"/>
        </w:rPr>
        <w:t>alcançando as contratações que antecederam o</w:t>
      </w:r>
      <w:r w:rsidRPr="00256EDE">
        <w:rPr>
          <w:rFonts w:ascii="Open Sans" w:hAnsi="Open Sans" w:cs="Open Sans"/>
          <w:sz w:val="24"/>
          <w:szCs w:val="24"/>
        </w:rPr>
        <w:t xml:space="preserve"> julgamento da mencionada ADI.  Desse modo, </w:t>
      </w:r>
      <w:r w:rsidRPr="00256EDE">
        <w:rPr>
          <w:rFonts w:ascii="Open Sans" w:hAnsi="Open Sans" w:cs="Open Sans"/>
          <w:bCs/>
          <w:sz w:val="24"/>
          <w:szCs w:val="24"/>
        </w:rPr>
        <w:t>são nulos os contratos de trabalho realizados por conselhos de fiscalização profissional sem a realização de concurso público, ainda que firmados anteriormente ao j</w:t>
      </w:r>
      <w:r w:rsidR="00EB4EDD">
        <w:rPr>
          <w:rFonts w:ascii="Open Sans" w:hAnsi="Open Sans" w:cs="Open Sans"/>
          <w:bCs/>
          <w:sz w:val="24"/>
          <w:szCs w:val="24"/>
        </w:rPr>
        <w:t xml:space="preserve">ulgamento da </w:t>
      </w:r>
      <w:proofErr w:type="gramStart"/>
      <w:r w:rsidR="00EB4EDD">
        <w:rPr>
          <w:rFonts w:ascii="Open Sans" w:hAnsi="Open Sans" w:cs="Open Sans"/>
          <w:bCs/>
          <w:sz w:val="24"/>
          <w:szCs w:val="24"/>
        </w:rPr>
        <w:t>ADI</w:t>
      </w:r>
      <w:proofErr w:type="gramEnd"/>
      <w:r w:rsidR="00EB4EDD">
        <w:rPr>
          <w:rFonts w:ascii="Open Sans" w:hAnsi="Open Sans" w:cs="Open Sans"/>
          <w:bCs/>
          <w:sz w:val="24"/>
          <w:szCs w:val="24"/>
        </w:rPr>
        <w:t xml:space="preserve"> nº 1.717</w:t>
      </w:r>
      <w:r w:rsidRPr="00256EDE">
        <w:rPr>
          <w:rFonts w:ascii="Open Sans" w:hAnsi="Open Sans" w:cs="Open Sans"/>
          <w:bCs/>
          <w:sz w:val="24"/>
          <w:szCs w:val="24"/>
        </w:rPr>
        <w:t xml:space="preserve">. Sob esses fundamentos, a SBDI-I, </w:t>
      </w:r>
      <w:r w:rsidRPr="00256EDE">
        <w:rPr>
          <w:rFonts w:ascii="Open Sans" w:hAnsi="Open Sans" w:cs="Open Sans"/>
          <w:sz w:val="24"/>
          <w:szCs w:val="24"/>
        </w:rPr>
        <w:t xml:space="preserve">em sessão com quórum completo, </w:t>
      </w:r>
      <w:r w:rsidRPr="00256EDE">
        <w:rPr>
          <w:rFonts w:ascii="Open Sans" w:hAnsi="Open Sans" w:cs="Open Sans"/>
          <w:bCs/>
          <w:sz w:val="24"/>
          <w:szCs w:val="24"/>
        </w:rPr>
        <w:t xml:space="preserve">por unanimidade, conheceu dos embargos e, no mérito, negou-lhes provimento. </w:t>
      </w:r>
      <w:hyperlink r:id="rId10" w:history="1">
        <w:r w:rsidRPr="00256EDE">
          <w:rPr>
            <w:rStyle w:val="Hyperlink"/>
            <w:rFonts w:ascii="Open Sans" w:hAnsi="Open Sans" w:cs="Open Sans"/>
            <w:bCs/>
            <w:sz w:val="24"/>
            <w:szCs w:val="24"/>
          </w:rPr>
          <w:t>TST-E-ARR-237-74.2015.5.17.0013, SBDI-I, rel. Min. Kátia Magalhães Arruda, julgado em 4/4/2024</w:t>
        </w:r>
      </w:hyperlink>
      <w:r w:rsidRPr="00256EDE">
        <w:rPr>
          <w:rFonts w:ascii="Open Sans" w:hAnsi="Open Sans" w:cs="Open Sans"/>
          <w:bCs/>
          <w:sz w:val="24"/>
          <w:szCs w:val="24"/>
        </w:rPr>
        <w:t>.</w:t>
      </w:r>
    </w:p>
    <w:p w:rsidR="00340315" w:rsidRPr="005D3C22" w:rsidRDefault="00340315" w:rsidP="005D3C22">
      <w:pPr>
        <w:pStyle w:val="Identificao"/>
        <w:widowControl w:val="0"/>
        <w:rPr>
          <w:rFonts w:ascii="Open Sans" w:hAnsi="Open Sans" w:cs="Open Sans"/>
          <w:lang w:val="pt-BR"/>
        </w:rPr>
      </w:pPr>
    </w:p>
    <w:p w:rsidR="009702A2" w:rsidRPr="005D3C22" w:rsidRDefault="009702A2" w:rsidP="005D3C22">
      <w:pPr>
        <w:pStyle w:val="Identificao"/>
        <w:widowControl w:val="0"/>
        <w:rPr>
          <w:rFonts w:ascii="Open Sans" w:hAnsi="Open Sans" w:cs="Open Sans"/>
          <w:b/>
          <w:i/>
        </w:rPr>
      </w:pPr>
      <w:r w:rsidRPr="003917EA">
        <w:rPr>
          <w:rFonts w:ascii="Open Sans" w:hAnsi="Open Sans" w:cs="Open Sans"/>
          <w:b/>
          <w:i/>
          <w:lang w:val="pt-BR"/>
        </w:rPr>
        <w:lastRenderedPageBreak/>
        <w:t xml:space="preserve">Recurso de embargos. </w:t>
      </w:r>
      <w:r w:rsidRPr="005D3C22">
        <w:rPr>
          <w:rFonts w:ascii="Open Sans" w:hAnsi="Open Sans" w:cs="Open Sans"/>
          <w:b/>
          <w:i/>
        </w:rPr>
        <w:t xml:space="preserve">Substituição do depósito recursal por seguro garantia judicial. Aplicação do art. </w:t>
      </w:r>
      <w:r w:rsidRPr="003917EA">
        <w:rPr>
          <w:rFonts w:ascii="Open Sans" w:hAnsi="Open Sans" w:cs="Open Sans"/>
          <w:b/>
          <w:i/>
          <w:lang w:val="pt-BR"/>
        </w:rPr>
        <w:t xml:space="preserve">899, §11, da CLT somente aos recursos interpostos contra decisões publicadas a partir da vigência da Lei nº 13.467/2017. </w:t>
      </w:r>
      <w:r w:rsidRPr="003917EA">
        <w:rPr>
          <w:rFonts w:ascii="Open Sans" w:hAnsi="Open Sans" w:cs="Open Sans"/>
          <w:b/>
          <w:i/>
          <w:lang w:val="pt-PT"/>
        </w:rPr>
        <w:t>Teoria do isolamento dos atos processuais.</w:t>
      </w:r>
    </w:p>
    <w:p w:rsidR="009702A2" w:rsidRPr="005D3C22" w:rsidRDefault="009702A2" w:rsidP="005D3C22">
      <w:pPr>
        <w:pStyle w:val="Identificao"/>
        <w:widowControl w:val="0"/>
        <w:rPr>
          <w:rFonts w:ascii="Open Sans" w:hAnsi="Open Sans" w:cs="Open Sans"/>
        </w:rPr>
      </w:pPr>
      <w:r w:rsidRPr="003917EA">
        <w:rPr>
          <w:rFonts w:ascii="Open Sans" w:hAnsi="Open Sans" w:cs="Open Sans"/>
          <w:lang w:val="pt-BR"/>
        </w:rPr>
        <w:t xml:space="preserve">Conforme a teoria do isolamento dos atos processuais, os pressupostos de admissibilidade recursal devem ser examinados de acordo com a lei processual vigente à época da publicação da decisão recorrida. Na esfera trabalhista, a possibilidade de substituição do depósito recursal pelo seguro garantia judicial decorre da Lei nº 13.467/2017, que incluiu o §11 no art. </w:t>
      </w:r>
      <w:r w:rsidRPr="005D3C22">
        <w:rPr>
          <w:rFonts w:ascii="Open Sans" w:hAnsi="Open Sans" w:cs="Open Sans"/>
        </w:rPr>
        <w:t xml:space="preserve">899 da CLT. </w:t>
      </w:r>
      <w:r w:rsidRPr="003917EA">
        <w:rPr>
          <w:rFonts w:ascii="Open Sans" w:hAnsi="Open Sans" w:cs="Open Sans"/>
          <w:lang w:val="pt-BR"/>
        </w:rPr>
        <w:t xml:space="preserve">Na presente hipótese, o recurso de revista foi interposto contra acórdão regional publicado em 05.11.2013, razão pela qual não está sujeito à disciplina do art. </w:t>
      </w:r>
      <w:r w:rsidRPr="005D3C22">
        <w:rPr>
          <w:rFonts w:ascii="Open Sans" w:hAnsi="Open Sans" w:cs="Open Sans"/>
        </w:rPr>
        <w:t xml:space="preserve">899, §11, da CLT. Com esses fundamentos, a SBDI-I, em sessão com quórum completo, decidiu, por maioria, indeferir o pedido de reconsideração da decisão referente à substituição do depósito recursal, vencido o Ministro Evandro Pereira Valadão Lopes. </w:t>
      </w:r>
      <w:hyperlink r:id="rId11" w:history="1">
        <w:r w:rsidRPr="003917EA">
          <w:rPr>
            <w:rStyle w:val="Hyperlink"/>
            <w:rFonts w:ascii="Open Sans" w:hAnsi="Open Sans" w:cs="Open Sans"/>
            <w:lang w:val="pt-BR"/>
          </w:rPr>
          <w:t xml:space="preserve">TST-E-RR-1735-59.2011.5.06.0012, SBDI-I, rel. Min. Cláudio Mascarenhas Brandão, julgado em </w:t>
        </w:r>
        <w:r w:rsidR="00A20556" w:rsidRPr="003917EA">
          <w:rPr>
            <w:rStyle w:val="Hyperlink"/>
            <w:rFonts w:ascii="Open Sans" w:hAnsi="Open Sans" w:cs="Open Sans"/>
            <w:lang w:val="pt-BR"/>
          </w:rPr>
          <w:t xml:space="preserve">4/4/2024. </w:t>
        </w:r>
      </w:hyperlink>
    </w:p>
    <w:p w:rsidR="009702A2" w:rsidRPr="005D3C22" w:rsidRDefault="009702A2" w:rsidP="005D3C22">
      <w:pPr>
        <w:pStyle w:val="Identificao"/>
        <w:widowControl w:val="0"/>
        <w:rPr>
          <w:rFonts w:ascii="Open Sans" w:hAnsi="Open Sans" w:cs="Open Sans"/>
          <w:lang w:val="pt-BR"/>
        </w:rPr>
      </w:pPr>
    </w:p>
    <w:p w:rsidR="00E81D14" w:rsidRPr="005D3C22" w:rsidRDefault="00E81D14" w:rsidP="005D3C22">
      <w:pPr>
        <w:pStyle w:val="Identificao"/>
        <w:widowControl w:val="0"/>
        <w:rPr>
          <w:rFonts w:ascii="Open Sans" w:hAnsi="Open Sans" w:cs="Open Sans"/>
          <w:b/>
          <w:i/>
        </w:rPr>
      </w:pPr>
      <w:r w:rsidRPr="00B12FE0">
        <w:rPr>
          <w:rFonts w:ascii="Open Sans" w:hAnsi="Open Sans" w:cs="Open Sans"/>
          <w:b/>
          <w:i/>
          <w:lang w:val="pt-BR"/>
        </w:rPr>
        <w:t xml:space="preserve">Depósito recursal. Substituição por seguro garantia judicial. </w:t>
      </w:r>
      <w:r w:rsidRPr="005D3C22">
        <w:rPr>
          <w:rFonts w:ascii="Open Sans" w:hAnsi="Open Sans" w:cs="Open Sans"/>
          <w:b/>
          <w:i/>
        </w:rPr>
        <w:t xml:space="preserve">Apólice posterior à vigência do Ato Conjunto nº 1/TST.CSJT.CGJT, de 16.10.2019. Ausência do acréscimo de 30% sobre o depósito recursal. Insuficiência do preparo. </w:t>
      </w:r>
      <w:r w:rsidRPr="00B12FE0">
        <w:rPr>
          <w:rFonts w:ascii="Open Sans" w:hAnsi="Open Sans" w:cs="Open Sans"/>
          <w:b/>
          <w:i/>
          <w:lang w:val="pt-BR"/>
        </w:rPr>
        <w:t xml:space="preserve">Concessão de prazo para a regularização. </w:t>
      </w:r>
      <w:r w:rsidRPr="005D3C22">
        <w:rPr>
          <w:rFonts w:ascii="Open Sans" w:hAnsi="Open Sans" w:cs="Open Sans"/>
          <w:b/>
          <w:i/>
        </w:rPr>
        <w:t>Aplicação analógica da OJ nº 140 da S</w:t>
      </w:r>
      <w:r w:rsidR="00F47ACC" w:rsidRPr="005D3C22">
        <w:rPr>
          <w:rFonts w:ascii="Open Sans" w:hAnsi="Open Sans" w:cs="Open Sans"/>
          <w:b/>
          <w:i/>
        </w:rPr>
        <w:t>B</w:t>
      </w:r>
      <w:r w:rsidRPr="005D3C22">
        <w:rPr>
          <w:rFonts w:ascii="Open Sans" w:hAnsi="Open Sans" w:cs="Open Sans"/>
          <w:b/>
          <w:i/>
        </w:rPr>
        <w:t>DI-1 da TST e do art. 1.007, §2º, do CPC.</w:t>
      </w:r>
    </w:p>
    <w:p w:rsidR="00E81D14" w:rsidRPr="00E81D14" w:rsidRDefault="00E81D14" w:rsidP="005D3C22">
      <w:pPr>
        <w:pStyle w:val="Identificao"/>
        <w:widowControl w:val="0"/>
        <w:rPr>
          <w:rFonts w:ascii="Open Sans" w:hAnsi="Open Sans" w:cs="Open Sans"/>
        </w:rPr>
      </w:pPr>
      <w:r w:rsidRPr="00DA4987">
        <w:rPr>
          <w:rFonts w:ascii="Open Sans" w:hAnsi="Open Sans" w:cs="Open Sans"/>
          <w:lang w:val="pt-BR"/>
        </w:rPr>
        <w:t xml:space="preserve">A substituição do depósito recursal por seguro garantia judicial apresentado sem o acréscimo de 30%, previsto no art. </w:t>
      </w:r>
      <w:r w:rsidRPr="005D3C22">
        <w:rPr>
          <w:rFonts w:ascii="Open Sans" w:hAnsi="Open Sans" w:cs="Open Sans"/>
        </w:rPr>
        <w:t xml:space="preserve">3º, II, do Ato Conjunto </w:t>
      </w:r>
      <w:r w:rsidR="00913B1A" w:rsidRPr="005D3C22">
        <w:rPr>
          <w:rFonts w:ascii="Open Sans" w:hAnsi="Open Sans" w:cs="Open Sans"/>
        </w:rPr>
        <w:t>n</w:t>
      </w:r>
      <w:r w:rsidRPr="005D3C22">
        <w:rPr>
          <w:rFonts w:ascii="Open Sans" w:hAnsi="Open Sans" w:cs="Open Sans"/>
        </w:rPr>
        <w:t>º 1/</w:t>
      </w:r>
      <w:proofErr w:type="gramStart"/>
      <w:r w:rsidRPr="005D3C22">
        <w:rPr>
          <w:rFonts w:ascii="Open Sans" w:hAnsi="Open Sans" w:cs="Open Sans"/>
        </w:rPr>
        <w:t>TST.</w:t>
      </w:r>
      <w:proofErr w:type="gramEnd"/>
      <w:r w:rsidRPr="005D3C22">
        <w:rPr>
          <w:rFonts w:ascii="Open Sans" w:hAnsi="Open Sans" w:cs="Open Sans"/>
        </w:rPr>
        <w:t xml:space="preserve">CSJT.CGJT, de 16 de outubro de 2019, por revelar hipótese de insuficiência do depósito recursal, enseja a concessão de prazo para oportunizar a devida complementação, nos termos da Orientação Jurisprudencial nº </w:t>
      </w:r>
      <w:r w:rsidR="00E164AF" w:rsidRPr="005D3C22">
        <w:rPr>
          <w:rFonts w:ascii="Open Sans" w:hAnsi="Open Sans" w:cs="Open Sans"/>
        </w:rPr>
        <w:t>140 da S</w:t>
      </w:r>
      <w:r w:rsidR="00F47ACC" w:rsidRPr="005D3C22">
        <w:rPr>
          <w:rFonts w:ascii="Open Sans" w:hAnsi="Open Sans" w:cs="Open Sans"/>
        </w:rPr>
        <w:t>B</w:t>
      </w:r>
      <w:r w:rsidR="003E314D">
        <w:rPr>
          <w:rFonts w:ascii="Open Sans" w:hAnsi="Open Sans" w:cs="Open Sans"/>
        </w:rPr>
        <w:t>DI-I</w:t>
      </w:r>
      <w:r w:rsidRPr="005D3C22">
        <w:rPr>
          <w:rFonts w:ascii="Open Sans" w:hAnsi="Open Sans" w:cs="Open Sans"/>
        </w:rPr>
        <w:t xml:space="preserve"> do TST e do art. 1.007, §2º, do CPC. </w:t>
      </w:r>
      <w:r w:rsidR="00E164AF" w:rsidRPr="005D3C22">
        <w:rPr>
          <w:rFonts w:ascii="Open Sans" w:hAnsi="Open Sans" w:cs="Open Sans"/>
        </w:rPr>
        <w:t>Sob esses fundamentos, a S</w:t>
      </w:r>
      <w:r w:rsidR="00F47ACC" w:rsidRPr="005D3C22">
        <w:rPr>
          <w:rFonts w:ascii="Open Sans" w:hAnsi="Open Sans" w:cs="Open Sans"/>
        </w:rPr>
        <w:t>B</w:t>
      </w:r>
      <w:r w:rsidRPr="005D3C22">
        <w:rPr>
          <w:rFonts w:ascii="Open Sans" w:hAnsi="Open Sans" w:cs="Open Sans"/>
        </w:rPr>
        <w:t xml:space="preserve">DI-I, em sessão com quórum completo, por maioria, afastou a deserção e concedeu prazo de cinco dias à parte embargante para a complementação do seguro garantia no tocante ao acréscimo do percentual de 30%, tal como preconiza o </w:t>
      </w:r>
      <w:r w:rsidR="00DA4987">
        <w:rPr>
          <w:rFonts w:ascii="Open Sans" w:hAnsi="Open Sans" w:cs="Open Sans"/>
        </w:rPr>
        <w:t>item II do art. 3º do referido a</w:t>
      </w:r>
      <w:r w:rsidRPr="005D3C22">
        <w:rPr>
          <w:rFonts w:ascii="Open Sans" w:hAnsi="Open Sans" w:cs="Open Sans"/>
        </w:rPr>
        <w:t xml:space="preserve">to, vencidos os Ministros Renato de Lacerda Paiva, relator, José Roberto Freire Pimenta, Cláudio Mascarenhas Brandão, Alberto Bastos Balazeiro e Lelio Bentes Corrêa. </w:t>
      </w:r>
      <w:hyperlink r:id="rId12" w:history="1">
        <w:r w:rsidR="00FC1215" w:rsidRPr="007217FD">
          <w:rPr>
            <w:rStyle w:val="Hyperlink"/>
            <w:rFonts w:ascii="Open Sans" w:hAnsi="Open Sans" w:cs="Open Sans"/>
            <w:lang w:val="pt-BR"/>
          </w:rPr>
          <w:t>TST-Ag-ED-E-Ag-ARR-549-65.2011.5.09.0093, SBDI-I,</w:t>
        </w:r>
        <w:r w:rsidR="002F5A11">
          <w:rPr>
            <w:rStyle w:val="Hyperlink"/>
            <w:rFonts w:ascii="Open Sans" w:hAnsi="Open Sans" w:cs="Open Sans"/>
            <w:lang w:val="pt-BR"/>
          </w:rPr>
          <w:t xml:space="preserve"> </w:t>
        </w:r>
        <w:r w:rsidR="002F5A11" w:rsidRPr="002F5A11">
          <w:rPr>
            <w:rStyle w:val="Hyperlink"/>
            <w:rFonts w:ascii="Open Sans" w:hAnsi="Open Sans" w:cs="Open Sans"/>
            <w:lang w:val="pt-BR"/>
          </w:rPr>
          <w:t>red. p/ acórdão Min. Breno Medeiros</w:t>
        </w:r>
        <w:r w:rsidR="00FC1215" w:rsidRPr="007217FD">
          <w:rPr>
            <w:rStyle w:val="Hyperlink"/>
            <w:rFonts w:ascii="Open Sans" w:hAnsi="Open Sans" w:cs="Open Sans"/>
            <w:lang w:val="pt-BR"/>
          </w:rPr>
          <w:t xml:space="preserve">, julgado em </w:t>
        </w:r>
        <w:r w:rsidR="007217FD" w:rsidRPr="007217FD">
          <w:rPr>
            <w:rStyle w:val="Hyperlink"/>
            <w:rFonts w:ascii="Open Sans" w:hAnsi="Open Sans" w:cs="Open Sans"/>
            <w:lang w:val="pt-BR"/>
          </w:rPr>
          <w:t xml:space="preserve">4/4/2024. </w:t>
        </w:r>
      </w:hyperlink>
    </w:p>
    <w:p w:rsidR="00C73C1A" w:rsidRDefault="00C73C1A" w:rsidP="002D05F7">
      <w:pPr>
        <w:pStyle w:val="Identificao"/>
        <w:widowControl w:val="0"/>
        <w:rPr>
          <w:rFonts w:ascii="Open Sans" w:hAnsi="Open Sans" w:cs="Open Sans"/>
          <w:lang w:val="pt-BR"/>
        </w:rPr>
      </w:pPr>
    </w:p>
    <w:p w:rsidR="00702ABA" w:rsidRPr="003E0231" w:rsidRDefault="00702ABA" w:rsidP="00702ABA">
      <w:pPr>
        <w:pStyle w:val="Corpo"/>
        <w:widowControl w:val="0"/>
        <w:pBdr>
          <w:top w:val="single" w:sz="4" w:space="1" w:color="auto"/>
          <w:left w:val="single" w:sz="4" w:space="0" w:color="auto"/>
          <w:bottom w:val="single" w:sz="4" w:space="1" w:color="auto"/>
          <w:right w:val="single" w:sz="4" w:space="0" w:color="auto"/>
        </w:pBdr>
        <w:shd w:val="solid" w:color="B8CCE4" w:fill="B8CCE4"/>
        <w:spacing w:line="240" w:lineRule="auto"/>
        <w:ind w:firstLine="0"/>
        <w:jc w:val="center"/>
        <w:rPr>
          <w:rFonts w:ascii="Open Sans" w:hAnsi="Open Sans" w:cs="Open Sans"/>
          <w:b/>
          <w:bCs/>
          <w:iCs/>
          <w:sz w:val="28"/>
          <w:szCs w:val="28"/>
          <w:lang w:val="pt-BR"/>
        </w:rPr>
      </w:pPr>
      <w:r w:rsidRPr="003509A3">
        <w:rPr>
          <w:rFonts w:ascii="Open Sans" w:hAnsi="Open Sans" w:cs="Open Sans"/>
          <w:b/>
          <w:bCs/>
          <w:iCs/>
          <w:sz w:val="28"/>
          <w:szCs w:val="28"/>
          <w:lang w:val="pt-BR"/>
        </w:rPr>
        <w:t xml:space="preserve">SUBSEÇÃO </w:t>
      </w:r>
      <w:r w:rsidR="00CF0AA1">
        <w:rPr>
          <w:rFonts w:ascii="Open Sans" w:hAnsi="Open Sans" w:cs="Open Sans"/>
          <w:b/>
          <w:bCs/>
          <w:iCs/>
          <w:sz w:val="28"/>
          <w:szCs w:val="28"/>
          <w:lang w:val="pt-BR"/>
        </w:rPr>
        <w:t>I</w:t>
      </w:r>
      <w:r>
        <w:rPr>
          <w:rFonts w:ascii="Open Sans" w:hAnsi="Open Sans" w:cs="Open Sans"/>
          <w:b/>
          <w:bCs/>
          <w:iCs/>
          <w:sz w:val="28"/>
          <w:szCs w:val="28"/>
          <w:lang w:val="pt-BR"/>
        </w:rPr>
        <w:t>I</w:t>
      </w:r>
      <w:r w:rsidRPr="003509A3">
        <w:rPr>
          <w:rFonts w:ascii="Open Sans" w:hAnsi="Open Sans" w:cs="Open Sans"/>
          <w:b/>
          <w:bCs/>
          <w:iCs/>
          <w:sz w:val="28"/>
          <w:szCs w:val="28"/>
          <w:lang w:val="pt-BR"/>
        </w:rPr>
        <w:t xml:space="preserve"> ESPECIALIZADA EM DISSÍDIOS INDIVIDUAIS</w:t>
      </w:r>
    </w:p>
    <w:p w:rsidR="00CF0AA1" w:rsidRPr="004143D3" w:rsidRDefault="00CF0AA1" w:rsidP="004143D3">
      <w:pPr>
        <w:pStyle w:val="Identificao"/>
        <w:widowControl w:val="0"/>
        <w:rPr>
          <w:rFonts w:ascii="Open Sans" w:hAnsi="Open Sans" w:cs="Open Sans"/>
          <w:lang w:val="pt-BR"/>
        </w:rPr>
      </w:pPr>
    </w:p>
    <w:p w:rsidR="00BA3DEF" w:rsidRPr="004143D3" w:rsidRDefault="00BA3DEF" w:rsidP="004143D3">
      <w:pPr>
        <w:pStyle w:val="Identificao"/>
        <w:widowControl w:val="0"/>
        <w:rPr>
          <w:rFonts w:ascii="Open Sans" w:hAnsi="Open Sans" w:cs="Open Sans"/>
          <w:b/>
          <w:i/>
        </w:rPr>
      </w:pPr>
      <w:r w:rsidRPr="003E314D">
        <w:rPr>
          <w:rFonts w:ascii="Open Sans" w:hAnsi="Open Sans" w:cs="Open Sans"/>
          <w:b/>
          <w:i/>
          <w:lang w:val="pt-BR"/>
        </w:rPr>
        <w:t xml:space="preserve">Ação rescisória. Laudo pericial produzido por profissionais investigados pelo Ministério Público Federal e Polícia Federal na </w:t>
      </w:r>
      <w:proofErr w:type="gramStart"/>
      <w:r w:rsidRPr="003E314D">
        <w:rPr>
          <w:rFonts w:ascii="Open Sans" w:hAnsi="Open Sans" w:cs="Open Sans"/>
          <w:b/>
          <w:i/>
          <w:lang w:val="pt-BR"/>
        </w:rPr>
        <w:t>“Operação Hipócritas”</w:t>
      </w:r>
      <w:proofErr w:type="gramEnd"/>
      <w:r w:rsidRPr="003E314D">
        <w:rPr>
          <w:rFonts w:ascii="Open Sans" w:hAnsi="Open Sans" w:cs="Open Sans"/>
          <w:b/>
          <w:i/>
          <w:lang w:val="pt-BR"/>
        </w:rPr>
        <w:t xml:space="preserve">. Dolo processual e prova falsa (art. 966, III e VI, do CPC). </w:t>
      </w:r>
      <w:r w:rsidRPr="003E314D">
        <w:rPr>
          <w:rFonts w:ascii="Open Sans" w:hAnsi="Open Sans" w:cs="Open Sans"/>
          <w:b/>
          <w:i/>
          <w:lang w:val="pt-PT"/>
        </w:rPr>
        <w:t>Não caracterização.</w:t>
      </w:r>
    </w:p>
    <w:p w:rsidR="00BA3DEF" w:rsidRPr="004143D3" w:rsidRDefault="00BA3DEF" w:rsidP="004143D3">
      <w:pPr>
        <w:pStyle w:val="Identificao"/>
        <w:widowControl w:val="0"/>
        <w:rPr>
          <w:rStyle w:val="Hyperlink"/>
          <w:rFonts w:ascii="Open Sans" w:hAnsi="Open Sans" w:cs="Open Sans"/>
        </w:rPr>
      </w:pPr>
      <w:r w:rsidRPr="004143D3">
        <w:rPr>
          <w:rFonts w:ascii="Open Sans" w:hAnsi="Open Sans" w:cs="Open Sans"/>
        </w:rPr>
        <w:t xml:space="preserve">A existência de investigações em desfavor do perito judicial ou do assistente técnico </w:t>
      </w:r>
      <w:r w:rsidRPr="004143D3">
        <w:rPr>
          <w:rFonts w:ascii="Open Sans" w:hAnsi="Open Sans" w:cs="Open Sans"/>
        </w:rPr>
        <w:lastRenderedPageBreak/>
        <w:t xml:space="preserve">pela denominada “Operação Hipócritas”, por si só, não é suficiente para autorizar a desconstituição da decisão rescindenda por dolo processual. É necessária a prática de conduta enganosa capaz de dificultar ou impedir a capacidade de defesa da parte contrária ou, ainda, de afastar o julgador da verdade, ou seja, efetiva interferência exercida pelas condutas investigadas sobre a atuação processual da parte vencida. Assim, para a caracterização do dolo processual, é imprescindível a presença do nexo causal entre o ato doloso e a decisão rescindenda. Desse modo, evidenciada, no caso concreto, </w:t>
      </w:r>
      <w:proofErr w:type="gramStart"/>
      <w:r w:rsidRPr="004143D3">
        <w:rPr>
          <w:rFonts w:ascii="Open Sans" w:hAnsi="Open Sans" w:cs="Open Sans"/>
        </w:rPr>
        <w:t>a</w:t>
      </w:r>
      <w:proofErr w:type="gramEnd"/>
      <w:r w:rsidRPr="004143D3">
        <w:rPr>
          <w:rFonts w:ascii="Open Sans" w:hAnsi="Open Sans" w:cs="Open Sans"/>
        </w:rPr>
        <w:t xml:space="preserve"> integridade do laudo pericial, não há falar em dolo rescisório e, tampouco a ocorrência de prova falsa. </w:t>
      </w:r>
      <w:r w:rsidR="00195568" w:rsidRPr="004143D3">
        <w:rPr>
          <w:rFonts w:ascii="Open Sans" w:hAnsi="Open Sans" w:cs="Open Sans"/>
        </w:rPr>
        <w:t>Sob esses fundamentos, a S</w:t>
      </w:r>
      <w:r w:rsidR="00F47ACC" w:rsidRPr="004143D3">
        <w:rPr>
          <w:rFonts w:ascii="Open Sans" w:hAnsi="Open Sans" w:cs="Open Sans"/>
        </w:rPr>
        <w:t>B</w:t>
      </w:r>
      <w:r w:rsidRPr="004143D3">
        <w:rPr>
          <w:rFonts w:ascii="Open Sans" w:hAnsi="Open Sans" w:cs="Open Sans"/>
        </w:rPr>
        <w:t xml:space="preserve">DI-II, por unanimidade, conheceu do recurso ordinário e, no mérito, deu-lhe provimento para julgar improcedente o pedido de corte rescisório. </w:t>
      </w:r>
      <w:r w:rsidRPr="004143D3">
        <w:rPr>
          <w:rFonts w:ascii="Open Sans" w:hAnsi="Open Sans" w:cs="Open Sans"/>
        </w:rPr>
        <w:fldChar w:fldCharType="begin"/>
      </w:r>
      <w:r w:rsidRPr="004143D3">
        <w:rPr>
          <w:rFonts w:ascii="Open Sans" w:hAnsi="Open Sans" w:cs="Open Sans"/>
        </w:rPr>
        <w:instrText xml:space="preserve"> HYPERLINK "https://consultaprocessual.tst.jus.br/consultaProcessual/resumoForm.do?consulta=1&amp;numeroInt=27769&amp;anoInt=2022" </w:instrText>
      </w:r>
      <w:r w:rsidRPr="004143D3">
        <w:rPr>
          <w:rFonts w:ascii="Open Sans" w:hAnsi="Open Sans" w:cs="Open Sans"/>
        </w:rPr>
        <w:fldChar w:fldCharType="separate"/>
      </w:r>
      <w:proofErr w:type="gramStart"/>
      <w:r w:rsidRPr="004143D3">
        <w:rPr>
          <w:rStyle w:val="Hyperlink"/>
          <w:rFonts w:ascii="Open Sans" w:hAnsi="Open Sans" w:cs="Open Sans"/>
        </w:rPr>
        <w:t>TST-ROT-7029-98.2019.5.15.0000, SBDI-II, rel. Min. Morgana de Almeida Richa, julgado em 26/3/2024.</w:t>
      </w:r>
      <w:proofErr w:type="gramEnd"/>
      <w:r w:rsidRPr="004143D3">
        <w:rPr>
          <w:rStyle w:val="Hyperlink"/>
          <w:rFonts w:ascii="Open Sans" w:hAnsi="Open Sans" w:cs="Open Sans"/>
          <w:u w:val="none"/>
        </w:rPr>
        <w:t xml:space="preserve"> </w:t>
      </w:r>
    </w:p>
    <w:p w:rsidR="00CF0AA1" w:rsidRPr="004143D3" w:rsidRDefault="00BA3DEF" w:rsidP="004143D3">
      <w:pPr>
        <w:pStyle w:val="Identificao"/>
        <w:widowControl w:val="0"/>
        <w:rPr>
          <w:rFonts w:ascii="Open Sans" w:hAnsi="Open Sans" w:cs="Open Sans"/>
          <w:lang w:val="pt-BR"/>
        </w:rPr>
      </w:pPr>
      <w:r w:rsidRPr="004143D3">
        <w:rPr>
          <w:rFonts w:ascii="Open Sans" w:hAnsi="Open Sans" w:cs="Open Sans"/>
          <w:lang w:val="pt-BR"/>
        </w:rPr>
        <w:fldChar w:fldCharType="end"/>
      </w:r>
    </w:p>
    <w:p w:rsidR="00195568" w:rsidRPr="004143D3" w:rsidRDefault="00195568" w:rsidP="004143D3">
      <w:pPr>
        <w:pStyle w:val="Identificao"/>
        <w:widowControl w:val="0"/>
        <w:rPr>
          <w:rFonts w:ascii="Open Sans" w:hAnsi="Open Sans" w:cs="Open Sans"/>
          <w:b/>
          <w:i/>
        </w:rPr>
      </w:pPr>
      <w:r w:rsidRPr="003E314D">
        <w:rPr>
          <w:rFonts w:ascii="Open Sans" w:hAnsi="Open Sans" w:cs="Open Sans"/>
          <w:b/>
          <w:i/>
          <w:lang w:val="pt-BR"/>
        </w:rPr>
        <w:t xml:space="preserve">Ação de indenização por dano moral. </w:t>
      </w:r>
      <w:r w:rsidRPr="004143D3">
        <w:rPr>
          <w:rFonts w:ascii="Open Sans" w:hAnsi="Open Sans" w:cs="Open Sans"/>
          <w:b/>
          <w:i/>
        </w:rPr>
        <w:t xml:space="preserve">Ex-empregado vítima de homicídio nas dependências da antiga empregadora após a cessação do vínculo empregatício. </w:t>
      </w:r>
      <w:r w:rsidRPr="00B138E9">
        <w:rPr>
          <w:rFonts w:ascii="Open Sans" w:hAnsi="Open Sans" w:cs="Open Sans"/>
          <w:b/>
          <w:i/>
          <w:lang w:val="pt-BR"/>
        </w:rPr>
        <w:t>Nexo de causalidade trabalhista configurado. Competência da Justiça do Trabalho.</w:t>
      </w:r>
    </w:p>
    <w:p w:rsidR="00195568" w:rsidRPr="004143D3" w:rsidRDefault="00195568" w:rsidP="004143D3">
      <w:pPr>
        <w:pStyle w:val="Identificao"/>
        <w:widowControl w:val="0"/>
        <w:rPr>
          <w:rFonts w:ascii="Open Sans" w:hAnsi="Open Sans" w:cs="Open Sans"/>
        </w:rPr>
      </w:pPr>
      <w:r w:rsidRPr="004143D3">
        <w:rPr>
          <w:rFonts w:ascii="Open Sans" w:hAnsi="Open Sans" w:cs="Open Sans"/>
        </w:rPr>
        <w:t xml:space="preserve">Compete à Justiça do Trabalho processar e julgar ação de indenização por dano moral decorrente de homicídio de ex-empregado ocorrido nas dependências da empresa após a cessação do vínculo empregatício. </w:t>
      </w:r>
      <w:r w:rsidRPr="00B138E9">
        <w:rPr>
          <w:rFonts w:ascii="Open Sans" w:hAnsi="Open Sans" w:cs="Open Sans"/>
          <w:lang w:val="pt-BR"/>
        </w:rPr>
        <w:t>No caso, a antiga empregadora, mesmo ciente da existência de rixa, surgida durante o contrato de trabalho, entre a vítima e o agressor, que possuía histórico violento, não utilizou do seu poder diretivo p</w:t>
      </w:r>
      <w:r w:rsidR="00B138E9" w:rsidRPr="00B138E9">
        <w:rPr>
          <w:rFonts w:ascii="Open Sans" w:hAnsi="Open Sans" w:cs="Open Sans"/>
          <w:lang w:val="pt-BR"/>
        </w:rPr>
        <w:t>ara tomar medidas que pudessem evitar</w:t>
      </w:r>
      <w:r w:rsidRPr="00B138E9">
        <w:rPr>
          <w:rFonts w:ascii="Open Sans" w:hAnsi="Open Sans" w:cs="Open Sans"/>
          <w:lang w:val="pt-BR"/>
        </w:rPr>
        <w:t xml:space="preserve"> o delito. Desse modo, estabelecido o nexo de causalidade trabalhista, a mera sucessividade no tempo entre o término contratual e o incidente é insuficiente para romper seu liame com a relação de trabalho.  </w:t>
      </w:r>
      <w:r w:rsidRPr="007A5E0B">
        <w:rPr>
          <w:rFonts w:ascii="Open Sans" w:hAnsi="Open Sans" w:cs="Open Sans"/>
          <w:lang w:val="pt-BR"/>
        </w:rPr>
        <w:t>Sob tais premissas, a SBDI-II, por maioria, vencidos os Ministros</w:t>
      </w:r>
      <w:r w:rsidR="00B138E9" w:rsidRPr="007A5E0B">
        <w:rPr>
          <w:rFonts w:ascii="Open Sans" w:hAnsi="Open Sans" w:cs="Open Sans"/>
          <w:lang w:val="pt-BR"/>
        </w:rPr>
        <w:t xml:space="preserve"> Amaury Rodrigues Pinto Junior, Sergio Pinto Martins e a Ministra Morgana de Almeida Richa,</w:t>
      </w:r>
      <w:r w:rsidR="007A5E0B">
        <w:rPr>
          <w:rFonts w:ascii="Open Sans" w:hAnsi="Open Sans" w:cs="Open Sans"/>
          <w:lang w:val="pt-BR"/>
        </w:rPr>
        <w:t xml:space="preserve"> negou </w:t>
      </w:r>
      <w:r w:rsidRPr="007A5E0B">
        <w:rPr>
          <w:rFonts w:ascii="Open Sans" w:hAnsi="Open Sans" w:cs="Open Sans"/>
          <w:lang w:val="pt-BR"/>
        </w:rPr>
        <w:t>provimento</w:t>
      </w:r>
      <w:r w:rsidR="007A5E0B">
        <w:rPr>
          <w:rFonts w:ascii="Open Sans" w:hAnsi="Open Sans" w:cs="Open Sans"/>
          <w:lang w:val="pt-BR"/>
        </w:rPr>
        <w:t xml:space="preserve"> ao recurso ordinário</w:t>
      </w:r>
      <w:r w:rsidRPr="007A5E0B">
        <w:rPr>
          <w:rFonts w:ascii="Open Sans" w:hAnsi="Open Sans" w:cs="Open Sans"/>
          <w:lang w:val="pt-BR"/>
        </w:rPr>
        <w:t>.</w:t>
      </w:r>
      <w:r w:rsidRPr="00B138E9">
        <w:rPr>
          <w:rFonts w:ascii="Open Sans" w:hAnsi="Open Sans" w:cs="Open Sans"/>
          <w:lang w:val="pt-BR"/>
        </w:rPr>
        <w:t xml:space="preserve"> </w:t>
      </w:r>
      <w:hyperlink r:id="rId13" w:history="1">
        <w:r w:rsidR="001908A5" w:rsidRPr="001908A5">
          <w:rPr>
            <w:rStyle w:val="Hyperlink"/>
            <w:rFonts w:ascii="Open Sans" w:hAnsi="Open Sans" w:cs="Open Sans"/>
            <w:lang w:val="pt-BR"/>
          </w:rPr>
          <w:t>TST-</w:t>
        </w:r>
        <w:r w:rsidRPr="001908A5">
          <w:rPr>
            <w:rStyle w:val="Hyperlink"/>
            <w:rFonts w:ascii="Open Sans" w:hAnsi="Open Sans" w:cs="Open Sans"/>
          </w:rPr>
          <w:t xml:space="preserve">ROT-479-50.2022.5.09.0000, SBDI-II, rel. Min. Liana Chaib, julgado em </w:t>
        </w:r>
        <w:proofErr w:type="gramStart"/>
        <w:r w:rsidRPr="001908A5">
          <w:rPr>
            <w:rStyle w:val="Hyperlink"/>
            <w:rFonts w:ascii="Open Sans" w:hAnsi="Open Sans" w:cs="Open Sans"/>
          </w:rPr>
          <w:t>26/03/2024.</w:t>
        </w:r>
        <w:proofErr w:type="gramEnd"/>
      </w:hyperlink>
    </w:p>
    <w:p w:rsidR="00BA3DEF" w:rsidRPr="004143D3" w:rsidRDefault="00BA3DEF" w:rsidP="004143D3">
      <w:pPr>
        <w:pStyle w:val="Identificao"/>
        <w:widowControl w:val="0"/>
        <w:rPr>
          <w:rFonts w:ascii="Open Sans" w:hAnsi="Open Sans" w:cs="Open Sans"/>
          <w:lang w:val="pt-BR"/>
        </w:rPr>
      </w:pPr>
    </w:p>
    <w:p w:rsidR="00F47ACC" w:rsidRPr="004143D3" w:rsidRDefault="00F47ACC" w:rsidP="004143D3">
      <w:pPr>
        <w:pStyle w:val="Identificao"/>
        <w:widowControl w:val="0"/>
        <w:rPr>
          <w:rFonts w:ascii="Open Sans" w:hAnsi="Open Sans" w:cs="Open Sans"/>
          <w:b/>
          <w:i/>
        </w:rPr>
      </w:pPr>
      <w:r w:rsidRPr="00106B41">
        <w:rPr>
          <w:rFonts w:ascii="Open Sans" w:hAnsi="Open Sans" w:cs="Open Sans"/>
          <w:b/>
          <w:i/>
          <w:lang w:val="pt-BR"/>
        </w:rPr>
        <w:t xml:space="preserve">Recurso ordinário em ação Rescisória. </w:t>
      </w:r>
      <w:proofErr w:type="gramStart"/>
      <w:r w:rsidRPr="004143D3">
        <w:rPr>
          <w:rFonts w:ascii="Open Sans" w:hAnsi="Open Sans" w:cs="Open Sans"/>
          <w:b/>
          <w:i/>
        </w:rPr>
        <w:t>Tempestividade.</w:t>
      </w:r>
      <w:proofErr w:type="gramEnd"/>
      <w:r w:rsidRPr="004143D3">
        <w:rPr>
          <w:rFonts w:ascii="Open Sans" w:hAnsi="Open Sans" w:cs="Open Sans"/>
          <w:b/>
          <w:i/>
        </w:rPr>
        <w:t xml:space="preserve"> </w:t>
      </w:r>
      <w:proofErr w:type="gramStart"/>
      <w:r w:rsidRPr="004143D3">
        <w:rPr>
          <w:rFonts w:ascii="Open Sans" w:hAnsi="Open Sans" w:cs="Open Sans"/>
          <w:b/>
          <w:i/>
        </w:rPr>
        <w:t>Desistência dos embargos de declaração interpostos pela parte adversa.</w:t>
      </w:r>
      <w:proofErr w:type="gramEnd"/>
      <w:r w:rsidRPr="004143D3">
        <w:rPr>
          <w:rFonts w:ascii="Open Sans" w:hAnsi="Open Sans" w:cs="Open Sans"/>
          <w:b/>
          <w:i/>
        </w:rPr>
        <w:t xml:space="preserve"> Ciência pelo então embargado antes da homologação. </w:t>
      </w:r>
      <w:proofErr w:type="gramStart"/>
      <w:r w:rsidRPr="004143D3">
        <w:rPr>
          <w:rFonts w:ascii="Open Sans" w:hAnsi="Open Sans" w:cs="Open Sans"/>
          <w:b/>
          <w:i/>
        </w:rPr>
        <w:t>Irrelevância.</w:t>
      </w:r>
      <w:proofErr w:type="gramEnd"/>
      <w:r w:rsidRPr="004143D3">
        <w:rPr>
          <w:rFonts w:ascii="Open Sans" w:hAnsi="Open Sans" w:cs="Open Sans"/>
          <w:b/>
          <w:i/>
        </w:rPr>
        <w:t xml:space="preserve"> Termo inicial do prazo recursal. </w:t>
      </w:r>
      <w:proofErr w:type="gramStart"/>
      <w:r w:rsidRPr="004143D3">
        <w:rPr>
          <w:rFonts w:ascii="Open Sans" w:hAnsi="Open Sans" w:cs="Open Sans"/>
          <w:b/>
          <w:i/>
        </w:rPr>
        <w:t>Contagem a partir da intimação da homologação da desistência.</w:t>
      </w:r>
      <w:proofErr w:type="gramEnd"/>
    </w:p>
    <w:p w:rsidR="00F47ACC" w:rsidRPr="004143D3" w:rsidRDefault="00F47ACC" w:rsidP="004143D3">
      <w:pPr>
        <w:pStyle w:val="Identificao"/>
        <w:widowControl w:val="0"/>
        <w:rPr>
          <w:rFonts w:ascii="Open Sans" w:hAnsi="Open Sans" w:cs="Open Sans"/>
        </w:rPr>
      </w:pPr>
      <w:r w:rsidRPr="004143D3">
        <w:rPr>
          <w:rFonts w:ascii="Open Sans" w:hAnsi="Open Sans" w:cs="Open Sans"/>
        </w:rPr>
        <w:t>O termo inicial para a contagem do prazo recursal, quando a parte adversa desiste da interposição de embargos de declaração, começa a fluir a partir da intimação da homologação da desistência, sendo irrelevante o fato de o então embargado ter ciência antecipada do ato de disposição. Desse modo, considerando que os efeitos da desistência dos embargos de declaração se operam de forma diferenciada entre</w:t>
      </w:r>
      <w:r w:rsidR="00106B41">
        <w:rPr>
          <w:rFonts w:ascii="Open Sans" w:hAnsi="Open Sans" w:cs="Open Sans"/>
        </w:rPr>
        <w:t xml:space="preserve"> as partes</w:t>
      </w:r>
      <w:r w:rsidRPr="004143D3">
        <w:rPr>
          <w:rFonts w:ascii="Open Sans" w:hAnsi="Open Sans" w:cs="Open Sans"/>
        </w:rPr>
        <w:t xml:space="preserve">, é legítima a conduta de aguardar </w:t>
      </w:r>
      <w:proofErr w:type="gramStart"/>
      <w:r w:rsidRPr="004143D3">
        <w:rPr>
          <w:rFonts w:ascii="Open Sans" w:hAnsi="Open Sans" w:cs="Open Sans"/>
        </w:rPr>
        <w:t>a</w:t>
      </w:r>
      <w:proofErr w:type="gramEnd"/>
      <w:r w:rsidRPr="004143D3">
        <w:rPr>
          <w:rFonts w:ascii="Open Sans" w:hAnsi="Open Sans" w:cs="Open Sans"/>
        </w:rPr>
        <w:t xml:space="preserve"> intimação para demarcar o início do prazo para apresentação de recurso. Sob esses fundamentos, a SBDI-II, por unanimidade, rejeitou a preliminar de intempestividade do recurso ordinário</w:t>
      </w:r>
      <w:r w:rsidR="00106B41">
        <w:rPr>
          <w:rFonts w:ascii="Open Sans" w:hAnsi="Open Sans" w:cs="Open Sans"/>
        </w:rPr>
        <w:t xml:space="preserve"> suscitada em </w:t>
      </w:r>
      <w:r w:rsidR="00106B41">
        <w:rPr>
          <w:rFonts w:ascii="Open Sans" w:hAnsi="Open Sans" w:cs="Open Sans"/>
        </w:rPr>
        <w:lastRenderedPageBreak/>
        <w:t>contrarrazões</w:t>
      </w:r>
      <w:r w:rsidRPr="004143D3">
        <w:rPr>
          <w:rFonts w:ascii="Open Sans" w:hAnsi="Open Sans" w:cs="Open Sans"/>
        </w:rPr>
        <w:t xml:space="preserve">. </w:t>
      </w:r>
      <w:hyperlink r:id="rId14" w:history="1">
        <w:proofErr w:type="gramStart"/>
        <w:r w:rsidR="00E3668A" w:rsidRPr="004143D3">
          <w:rPr>
            <w:rStyle w:val="Hyperlink"/>
            <w:rFonts w:ascii="Open Sans" w:hAnsi="Open Sans" w:cs="Open Sans"/>
          </w:rPr>
          <w:t xml:space="preserve">TST-ROT-22417-18.2017.5.04.0000, SBDI-II, rel. Min. Luiz José Dezena da Silva, </w:t>
        </w:r>
        <w:r w:rsidR="007F07B4" w:rsidRPr="007F07B4">
          <w:rPr>
            <w:rStyle w:val="Hyperlink"/>
            <w:rFonts w:ascii="Open Sans" w:hAnsi="Open Sans" w:cs="Open Sans"/>
          </w:rPr>
          <w:t xml:space="preserve">julgado em </w:t>
        </w:r>
        <w:r w:rsidR="00E3668A" w:rsidRPr="004143D3">
          <w:rPr>
            <w:rStyle w:val="Hyperlink"/>
            <w:rFonts w:ascii="Open Sans" w:hAnsi="Open Sans" w:cs="Open Sans"/>
          </w:rPr>
          <w:t>2/4/2024.</w:t>
        </w:r>
        <w:proofErr w:type="gramEnd"/>
      </w:hyperlink>
    </w:p>
    <w:p w:rsidR="00195568" w:rsidRPr="004143D3" w:rsidRDefault="00195568" w:rsidP="004143D3">
      <w:pPr>
        <w:pStyle w:val="Identificao"/>
        <w:widowControl w:val="0"/>
        <w:rPr>
          <w:rFonts w:ascii="Open Sans" w:hAnsi="Open Sans" w:cs="Open Sans"/>
          <w:lang w:val="pt-BR"/>
        </w:rPr>
      </w:pPr>
    </w:p>
    <w:p w:rsidR="00E00497" w:rsidRPr="004143D3" w:rsidRDefault="00E00497" w:rsidP="004143D3">
      <w:pPr>
        <w:pStyle w:val="Identificao"/>
        <w:widowControl w:val="0"/>
        <w:rPr>
          <w:rFonts w:ascii="Open Sans" w:hAnsi="Open Sans" w:cs="Open Sans"/>
          <w:b/>
          <w:i/>
        </w:rPr>
      </w:pPr>
      <w:r w:rsidRPr="004143D3">
        <w:rPr>
          <w:rFonts w:ascii="Open Sans" w:hAnsi="Open Sans" w:cs="Open Sans"/>
          <w:b/>
          <w:i/>
        </w:rPr>
        <w:t xml:space="preserve">Ação Rescisória. </w:t>
      </w:r>
      <w:proofErr w:type="gramStart"/>
      <w:r w:rsidRPr="004143D3">
        <w:rPr>
          <w:rFonts w:ascii="Open Sans" w:hAnsi="Open Sans" w:cs="Open Sans"/>
          <w:b/>
          <w:i/>
        </w:rPr>
        <w:t>Sentença homologatória de acordo celebrado pelo sindicato.</w:t>
      </w:r>
      <w:proofErr w:type="gramEnd"/>
      <w:r w:rsidRPr="004143D3">
        <w:rPr>
          <w:rFonts w:ascii="Open Sans" w:hAnsi="Open Sans" w:cs="Open Sans"/>
          <w:b/>
          <w:i/>
        </w:rPr>
        <w:t xml:space="preserve"> Renúncia e disposição de direitos </w:t>
      </w:r>
      <w:proofErr w:type="gramStart"/>
      <w:r w:rsidRPr="004143D3">
        <w:rPr>
          <w:rFonts w:ascii="Open Sans" w:hAnsi="Open Sans" w:cs="Open Sans"/>
          <w:b/>
          <w:i/>
        </w:rPr>
        <w:t>sem</w:t>
      </w:r>
      <w:proofErr w:type="gramEnd"/>
      <w:r w:rsidRPr="004143D3">
        <w:rPr>
          <w:rFonts w:ascii="Open Sans" w:hAnsi="Open Sans" w:cs="Open Sans"/>
          <w:b/>
          <w:i/>
        </w:rPr>
        <w:t xml:space="preserve"> anuência do empregado. Ilegitimidade do ente sindical. Invalidade do negócio jurídico. Violação do art. 104, I, do Código Civil.</w:t>
      </w:r>
    </w:p>
    <w:p w:rsidR="00EE70B5" w:rsidRPr="004143D3" w:rsidRDefault="00E00497" w:rsidP="004143D3">
      <w:pPr>
        <w:pStyle w:val="Cabealho"/>
        <w:widowControl w:val="0"/>
        <w:jc w:val="both"/>
        <w:rPr>
          <w:rFonts w:ascii="Open Sans" w:hAnsi="Open Sans" w:cs="Open Sans"/>
          <w:color w:val="000000"/>
          <w:sz w:val="24"/>
          <w:szCs w:val="24"/>
          <w:lang w:val="en-US"/>
        </w:rPr>
      </w:pPr>
      <w:r w:rsidRPr="004143D3">
        <w:rPr>
          <w:rFonts w:ascii="Open Sans" w:hAnsi="Open Sans" w:cs="Open Sans"/>
          <w:color w:val="000000"/>
          <w:sz w:val="24"/>
          <w:szCs w:val="24"/>
        </w:rPr>
        <w:t>A legitimação extraordinária conferida constitucionalmente aos sindicatos restringe-se à defesa dos direitos coleti</w:t>
      </w:r>
      <w:r w:rsidR="00795A02">
        <w:rPr>
          <w:rFonts w:ascii="Open Sans" w:hAnsi="Open Sans" w:cs="Open Sans"/>
          <w:color w:val="000000"/>
          <w:sz w:val="24"/>
          <w:szCs w:val="24"/>
        </w:rPr>
        <w:t>vos e individuais da categoria</w:t>
      </w:r>
      <w:r w:rsidR="00F12239">
        <w:rPr>
          <w:rFonts w:ascii="Open Sans" w:hAnsi="Open Sans" w:cs="Open Sans"/>
          <w:color w:val="000000"/>
          <w:sz w:val="24"/>
          <w:szCs w:val="24"/>
        </w:rPr>
        <w:t>,</w:t>
      </w:r>
      <w:r w:rsidRPr="004143D3">
        <w:rPr>
          <w:rFonts w:ascii="Open Sans" w:hAnsi="Open Sans" w:cs="Open Sans"/>
          <w:color w:val="000000"/>
          <w:sz w:val="24"/>
          <w:szCs w:val="24"/>
        </w:rPr>
        <w:t xml:space="preserve"> não</w:t>
      </w:r>
      <w:r w:rsidR="00F12239">
        <w:rPr>
          <w:rFonts w:ascii="Open Sans" w:hAnsi="Open Sans" w:cs="Open Sans"/>
          <w:color w:val="000000"/>
          <w:sz w:val="24"/>
          <w:szCs w:val="24"/>
        </w:rPr>
        <w:t xml:space="preserve"> os</w:t>
      </w:r>
      <w:r w:rsidRPr="004143D3">
        <w:rPr>
          <w:rFonts w:ascii="Open Sans" w:hAnsi="Open Sans" w:cs="Open Sans"/>
          <w:color w:val="000000"/>
          <w:sz w:val="24"/>
          <w:szCs w:val="24"/>
        </w:rPr>
        <w:t xml:space="preserve"> autoriza</w:t>
      </w:r>
      <w:r w:rsidR="00F12239">
        <w:rPr>
          <w:rFonts w:ascii="Open Sans" w:hAnsi="Open Sans" w:cs="Open Sans"/>
          <w:color w:val="000000"/>
          <w:sz w:val="24"/>
          <w:szCs w:val="24"/>
        </w:rPr>
        <w:t>ndo a praticar</w:t>
      </w:r>
      <w:r w:rsidRPr="004143D3">
        <w:rPr>
          <w:rFonts w:ascii="Open Sans" w:hAnsi="Open Sans" w:cs="Open Sans"/>
          <w:color w:val="000000"/>
          <w:sz w:val="24"/>
          <w:szCs w:val="24"/>
        </w:rPr>
        <w:t xml:space="preserve"> atos de disposição</w:t>
      </w:r>
      <w:r w:rsidR="00F12239">
        <w:rPr>
          <w:rFonts w:ascii="Open Sans" w:hAnsi="Open Sans" w:cs="Open Sans"/>
          <w:color w:val="000000"/>
          <w:sz w:val="24"/>
          <w:szCs w:val="24"/>
        </w:rPr>
        <w:t xml:space="preserve"> de direitos, dos quais não detê</w:t>
      </w:r>
      <w:r w:rsidRPr="004143D3">
        <w:rPr>
          <w:rFonts w:ascii="Open Sans" w:hAnsi="Open Sans" w:cs="Open Sans"/>
          <w:color w:val="000000"/>
          <w:sz w:val="24"/>
          <w:szCs w:val="24"/>
        </w:rPr>
        <w:t>m a titularidade, sem que haja autorização expressa dos substituídos. No caso concreto, não obstante o sindicato tenha realizado assem</w:t>
      </w:r>
      <w:r w:rsidR="00F12239">
        <w:rPr>
          <w:rFonts w:ascii="Open Sans" w:hAnsi="Open Sans" w:cs="Open Sans"/>
          <w:color w:val="000000"/>
          <w:sz w:val="24"/>
          <w:szCs w:val="24"/>
        </w:rPr>
        <w:t>bleia extraordinária a fim de</w:t>
      </w:r>
      <w:r w:rsidRPr="004143D3">
        <w:rPr>
          <w:rFonts w:ascii="Open Sans" w:hAnsi="Open Sans" w:cs="Open Sans"/>
          <w:color w:val="000000"/>
          <w:sz w:val="24"/>
          <w:szCs w:val="24"/>
        </w:rPr>
        <w:t xml:space="preserve"> deliberar acerca da proposta de acordo formulada pela empresa, não houve anuência expressa de todos os substituídos com os termos do acordo proposto. Ademais, constou nos termos do ajuste que era necessário o preenchimento e assinatura do termo de adesão pelos substituídos para a formalização da opção escolhida dentre as oferecidas. Todavia, restou incontrover</w:t>
      </w:r>
      <w:r w:rsidR="00F12239">
        <w:rPr>
          <w:rFonts w:ascii="Open Sans" w:hAnsi="Open Sans" w:cs="Open Sans"/>
          <w:color w:val="000000"/>
          <w:sz w:val="24"/>
          <w:szCs w:val="24"/>
        </w:rPr>
        <w:t>so que o autor não consentiu</w:t>
      </w:r>
      <w:r w:rsidRPr="004143D3">
        <w:rPr>
          <w:rFonts w:ascii="Open Sans" w:hAnsi="Open Sans" w:cs="Open Sans"/>
          <w:color w:val="000000"/>
          <w:sz w:val="24"/>
          <w:szCs w:val="24"/>
        </w:rPr>
        <w:t xml:space="preserve"> com os termos do ajuste, tampouco assinou o termo de adesão, o qual era necessário para a formalização do acordo. Desse modo, ausente a manifestação de vontade do titular dos direitos transacionados, revela-se nulo o pactuado ante a manifesta violação ao art. 104, I, do Código Civil. </w:t>
      </w:r>
      <w:r w:rsidRPr="004143D3">
        <w:rPr>
          <w:rFonts w:ascii="Open Sans" w:hAnsi="Open Sans" w:cs="Open Sans"/>
          <w:i/>
          <w:color w:val="000000"/>
          <w:sz w:val="24"/>
          <w:szCs w:val="24"/>
        </w:rPr>
        <w:t>S</w:t>
      </w:r>
      <w:r w:rsidRPr="004143D3">
        <w:rPr>
          <w:rFonts w:ascii="Open Sans" w:hAnsi="Open Sans" w:cs="Open Sans"/>
          <w:color w:val="000000"/>
          <w:sz w:val="24"/>
          <w:szCs w:val="24"/>
        </w:rPr>
        <w:t>ob esses fundamentos, a SBDI-II, por unanimidade, julgou parcialmente procedente a ação rescisória</w:t>
      </w:r>
      <w:r w:rsidR="00F12239">
        <w:rPr>
          <w:rFonts w:ascii="Open Sans" w:hAnsi="Open Sans" w:cs="Open Sans"/>
          <w:color w:val="000000"/>
          <w:sz w:val="24"/>
          <w:szCs w:val="24"/>
        </w:rPr>
        <w:t xml:space="preserve">, com espeque no art. 966, V, do CPC, </w:t>
      </w:r>
      <w:r w:rsidRPr="004143D3">
        <w:rPr>
          <w:rFonts w:ascii="Open Sans" w:hAnsi="Open Sans" w:cs="Open Sans"/>
          <w:color w:val="000000"/>
          <w:sz w:val="24"/>
          <w:szCs w:val="24"/>
        </w:rPr>
        <w:t xml:space="preserve">para desconstituir, unicamente em relação ao autor, a sentença que homologou o acordo judicial entabulado. </w:t>
      </w:r>
      <w:hyperlink r:id="rId15" w:anchor="71e5dcc" w:history="1">
        <w:r w:rsidRPr="004143D3">
          <w:rPr>
            <w:rStyle w:val="Hyperlink"/>
            <w:rFonts w:ascii="Open Sans" w:hAnsi="Open Sans" w:cs="Open Sans"/>
            <w:sz w:val="24"/>
            <w:szCs w:val="24"/>
          </w:rPr>
          <w:t>TST-AR-1001055-75.2022.5.00.0000, SBDI-II, rel. Min. Luiz José Dezena da Silva,</w:t>
        </w:r>
        <w:r w:rsidR="007F07B4">
          <w:rPr>
            <w:rStyle w:val="Hyperlink"/>
            <w:rFonts w:ascii="Open Sans" w:hAnsi="Open Sans" w:cs="Open Sans"/>
            <w:sz w:val="24"/>
            <w:szCs w:val="24"/>
          </w:rPr>
          <w:t xml:space="preserve"> </w:t>
        </w:r>
        <w:r w:rsidR="007F07B4" w:rsidRPr="007F07B4">
          <w:rPr>
            <w:rStyle w:val="Hyperlink"/>
            <w:rFonts w:ascii="Open Sans" w:hAnsi="Open Sans" w:cs="Open Sans"/>
            <w:sz w:val="24"/>
            <w:szCs w:val="24"/>
          </w:rPr>
          <w:t>julgado em</w:t>
        </w:r>
        <w:r w:rsidRPr="004143D3">
          <w:rPr>
            <w:rStyle w:val="Hyperlink"/>
            <w:rFonts w:ascii="Open Sans" w:hAnsi="Open Sans" w:cs="Open Sans"/>
            <w:sz w:val="24"/>
            <w:szCs w:val="24"/>
          </w:rPr>
          <w:t xml:space="preserve"> </w:t>
        </w:r>
        <w:proofErr w:type="gramStart"/>
        <w:r w:rsidRPr="004143D3">
          <w:rPr>
            <w:rStyle w:val="Hyperlink"/>
            <w:rFonts w:ascii="Open Sans" w:hAnsi="Open Sans" w:cs="Open Sans"/>
            <w:sz w:val="24"/>
            <w:szCs w:val="24"/>
          </w:rPr>
          <w:t>2/4/2024.</w:t>
        </w:r>
        <w:proofErr w:type="gramEnd"/>
      </w:hyperlink>
    </w:p>
    <w:p w:rsidR="00855C2A" w:rsidRPr="004143D3" w:rsidRDefault="00855C2A" w:rsidP="004143D3">
      <w:pPr>
        <w:pStyle w:val="Identificao"/>
        <w:widowControl w:val="0"/>
        <w:rPr>
          <w:rFonts w:ascii="Open Sans" w:hAnsi="Open Sans" w:cs="Open Sans"/>
          <w:lang w:val="pt-BR"/>
        </w:rPr>
      </w:pPr>
    </w:p>
    <w:p w:rsidR="00702ABA" w:rsidRPr="003E0231" w:rsidRDefault="00CF0AA1" w:rsidP="00702ABA">
      <w:pPr>
        <w:pStyle w:val="Corpo"/>
        <w:widowControl w:val="0"/>
        <w:pBdr>
          <w:top w:val="single" w:sz="4" w:space="1" w:color="auto"/>
          <w:left w:val="single" w:sz="4" w:space="0" w:color="auto"/>
          <w:bottom w:val="single" w:sz="4" w:space="1" w:color="auto"/>
          <w:right w:val="single" w:sz="4" w:space="0" w:color="auto"/>
        </w:pBdr>
        <w:shd w:val="solid" w:color="B8CCE4" w:fill="B8CCE4"/>
        <w:spacing w:line="240" w:lineRule="auto"/>
        <w:ind w:firstLine="0"/>
        <w:jc w:val="center"/>
        <w:rPr>
          <w:rFonts w:ascii="Open Sans" w:hAnsi="Open Sans" w:cs="Open Sans"/>
          <w:b/>
          <w:bCs/>
          <w:iCs/>
          <w:sz w:val="28"/>
          <w:szCs w:val="28"/>
          <w:lang w:val="pt-BR"/>
        </w:rPr>
      </w:pPr>
      <w:r>
        <w:rPr>
          <w:rFonts w:ascii="Open Sans" w:hAnsi="Open Sans" w:cs="Open Sans"/>
          <w:b/>
          <w:bCs/>
          <w:iCs/>
          <w:sz w:val="28"/>
          <w:szCs w:val="28"/>
          <w:lang w:val="pt-BR"/>
        </w:rPr>
        <w:t>TURMAS</w:t>
      </w:r>
    </w:p>
    <w:p w:rsidR="00702ABA" w:rsidRDefault="00702ABA" w:rsidP="002D05F7">
      <w:pPr>
        <w:pStyle w:val="Identificao"/>
        <w:widowControl w:val="0"/>
        <w:rPr>
          <w:rFonts w:ascii="Open Sans" w:hAnsi="Open Sans" w:cs="Open Sans"/>
          <w:lang w:val="pt-BR"/>
        </w:rPr>
      </w:pPr>
    </w:p>
    <w:p w:rsidR="006371D2" w:rsidRDefault="004616D2" w:rsidP="007800B8">
      <w:pPr>
        <w:pStyle w:val="Identificao"/>
        <w:rPr>
          <w:rFonts w:ascii="Open Sans" w:hAnsi="Open Sans" w:cs="Open Sans"/>
          <w:bCs/>
        </w:rPr>
      </w:pPr>
      <w:proofErr w:type="gramStart"/>
      <w:r w:rsidRPr="004616D2">
        <w:rPr>
          <w:rFonts w:ascii="Open Sans" w:hAnsi="Open Sans" w:cs="Open Sans"/>
          <w:bCs/>
        </w:rPr>
        <w:t>“</w:t>
      </w:r>
      <w:r w:rsidRPr="004616D2">
        <w:rPr>
          <w:rFonts w:ascii="Open Sans" w:hAnsi="Open Sans" w:cs="Open Sans"/>
        </w:rPr>
        <w:t>AGRAVO.</w:t>
      </w:r>
      <w:proofErr w:type="gramEnd"/>
      <w:r w:rsidRPr="004616D2">
        <w:rPr>
          <w:rFonts w:ascii="Open Sans" w:hAnsi="Open Sans" w:cs="Open Sans"/>
        </w:rPr>
        <w:t xml:space="preserve"> AGRAVO DE INSTRUMENTO EM RECURSO DE REVISTA. </w:t>
      </w:r>
      <w:proofErr w:type="gramStart"/>
      <w:r w:rsidRPr="004616D2">
        <w:rPr>
          <w:rFonts w:ascii="Open Sans" w:hAnsi="Open Sans" w:cs="Open Sans"/>
        </w:rPr>
        <w:t>LEIS NºS 13.015/2014 E 13.467/2017.</w:t>
      </w:r>
      <w:proofErr w:type="gramEnd"/>
      <w:r w:rsidRPr="004616D2">
        <w:rPr>
          <w:rFonts w:ascii="Open Sans" w:hAnsi="Open Sans" w:cs="Open Sans"/>
        </w:rPr>
        <w:t xml:space="preserve"> RENÚNCIA À ESTABILIDADE </w:t>
      </w:r>
      <w:proofErr w:type="gramStart"/>
      <w:r w:rsidRPr="004616D2">
        <w:rPr>
          <w:rFonts w:ascii="Open Sans" w:hAnsi="Open Sans" w:cs="Open Sans"/>
        </w:rPr>
        <w:t>DO</w:t>
      </w:r>
      <w:proofErr w:type="gramEnd"/>
      <w:r w:rsidRPr="004616D2">
        <w:rPr>
          <w:rFonts w:ascii="Open Sans" w:hAnsi="Open Sans" w:cs="Open Sans"/>
        </w:rPr>
        <w:t xml:space="preserve"> EMPREGADO MEMBRO DA CIPA. </w:t>
      </w:r>
      <w:proofErr w:type="gramStart"/>
      <w:r w:rsidRPr="004616D2">
        <w:rPr>
          <w:rFonts w:ascii="Open Sans" w:hAnsi="Open Sans" w:cs="Open Sans"/>
        </w:rPr>
        <w:t>EFEITOS.</w:t>
      </w:r>
      <w:proofErr w:type="gramEnd"/>
      <w:r w:rsidRPr="004616D2">
        <w:rPr>
          <w:rFonts w:ascii="Open Sans" w:hAnsi="Open Sans" w:cs="Open Sans"/>
        </w:rPr>
        <w:t xml:space="preserve"> </w:t>
      </w:r>
      <w:proofErr w:type="gramStart"/>
      <w:r w:rsidRPr="004616D2">
        <w:rPr>
          <w:rFonts w:ascii="Open Sans" w:hAnsi="Open Sans" w:cs="Open Sans"/>
        </w:rPr>
        <w:t>AUSÊNCIA DE ASSISTÊNCIA SINDICAL.</w:t>
      </w:r>
      <w:proofErr w:type="gramEnd"/>
      <w:r w:rsidRPr="004616D2">
        <w:rPr>
          <w:rFonts w:ascii="Open Sans" w:hAnsi="Open Sans" w:cs="Open Sans"/>
        </w:rPr>
        <w:t xml:space="preserve"> ART. </w:t>
      </w:r>
      <w:proofErr w:type="gramStart"/>
      <w:r w:rsidRPr="004616D2">
        <w:rPr>
          <w:rFonts w:ascii="Open Sans" w:hAnsi="Open Sans" w:cs="Open Sans"/>
        </w:rPr>
        <w:t>500 DA CLT.</w:t>
      </w:r>
      <w:proofErr w:type="gramEnd"/>
      <w:r w:rsidRPr="004616D2">
        <w:rPr>
          <w:rFonts w:ascii="Open Sans" w:hAnsi="Open Sans" w:cs="Open Sans"/>
        </w:rPr>
        <w:t xml:space="preserve"> INDENIZAÇÃO SUBSTITUTIVA. NÃO INCIDÊNCIA DA SÚMULA Nº 369, IV, DO TST. </w:t>
      </w:r>
      <w:proofErr w:type="gramStart"/>
      <w:r w:rsidRPr="004616D2">
        <w:rPr>
          <w:rFonts w:ascii="Open Sans" w:hAnsi="Open Sans" w:cs="Open Sans"/>
        </w:rPr>
        <w:t>AUSÊNCIA DE TRANSCENDÊNCIA.</w:t>
      </w:r>
      <w:proofErr w:type="gramEnd"/>
      <w:r w:rsidRPr="004616D2">
        <w:rPr>
          <w:rFonts w:ascii="Open Sans" w:hAnsi="Open Sans" w:cs="Open Sans"/>
        </w:rPr>
        <w:t xml:space="preserve"> Na hipótese, consignou o Tribunal Regional que a renúncia à estabilidade de próprio punho feita pelo reclamante membro da CIPA se deu </w:t>
      </w:r>
      <w:proofErr w:type="gramStart"/>
      <w:r w:rsidRPr="004616D2">
        <w:rPr>
          <w:rFonts w:ascii="Open Sans" w:hAnsi="Open Sans" w:cs="Open Sans"/>
        </w:rPr>
        <w:t>sem</w:t>
      </w:r>
      <w:proofErr w:type="gramEnd"/>
      <w:r w:rsidRPr="004616D2">
        <w:rPr>
          <w:rFonts w:ascii="Open Sans" w:hAnsi="Open Sans" w:cs="Open Sans"/>
        </w:rPr>
        <w:t xml:space="preserve"> a devida assistência sindical, prevista no art. </w:t>
      </w:r>
      <w:proofErr w:type="gramStart"/>
      <w:r w:rsidRPr="004616D2">
        <w:rPr>
          <w:rFonts w:ascii="Open Sans" w:hAnsi="Open Sans" w:cs="Open Sans"/>
        </w:rPr>
        <w:t>500 da CLT, requisito essencial para validar a dispensa</w:t>
      </w:r>
      <w:proofErr w:type="gramEnd"/>
      <w:r w:rsidRPr="004616D2">
        <w:rPr>
          <w:rFonts w:ascii="Open Sans" w:hAnsi="Open Sans" w:cs="Open Sans"/>
        </w:rPr>
        <w:t xml:space="preserve"> do empregado detentor de estabilidade provisória. Ademais, restou consignado no acórdão do Tribunal Regional que houve parcial paralisação das atividades do consórcio no trecho do autor, bem como a parcial finalização das atividades do consórcio, não dando ensejo à aplicação do item IV da Súmula 369 do TST, na medida em que não houve a</w:t>
      </w:r>
      <w:r w:rsidRPr="00983962">
        <w:rPr>
          <w:rFonts w:ascii="Open Sans" w:hAnsi="Open Sans" w:cs="Open Sans"/>
          <w:i/>
        </w:rPr>
        <w:t xml:space="preserve"> ‘extinção da atividade empresarial no âmbito da base territorial do sindicato’.</w:t>
      </w:r>
      <w:r w:rsidRPr="004616D2">
        <w:rPr>
          <w:rFonts w:ascii="Open Sans" w:hAnsi="Open Sans" w:cs="Open Sans"/>
        </w:rPr>
        <w:t xml:space="preserve"> </w:t>
      </w:r>
      <w:proofErr w:type="gramStart"/>
      <w:r w:rsidRPr="004616D2">
        <w:rPr>
          <w:rFonts w:ascii="Open Sans" w:hAnsi="Open Sans" w:cs="Open Sans"/>
        </w:rPr>
        <w:t xml:space="preserve">Assim, diante da ausência de comprovação dos requisitos intrínsecos de admissibilidade do recurso de revista (art. 896 da CLT), não se cogita de </w:t>
      </w:r>
      <w:r w:rsidRPr="004616D2">
        <w:rPr>
          <w:rFonts w:ascii="Open Sans" w:hAnsi="Open Sans" w:cs="Open Sans"/>
        </w:rPr>
        <w:lastRenderedPageBreak/>
        <w:t>reforma da decisão que negou provimento ao agravo de instrumento.</w:t>
      </w:r>
      <w:proofErr w:type="gramEnd"/>
      <w:r w:rsidRPr="004616D2">
        <w:rPr>
          <w:rFonts w:ascii="Open Sans" w:hAnsi="Open Sans" w:cs="Open Sans"/>
        </w:rPr>
        <w:t xml:space="preserve"> </w:t>
      </w:r>
      <w:proofErr w:type="gramStart"/>
      <w:r w:rsidRPr="004616D2">
        <w:rPr>
          <w:rFonts w:ascii="Open Sans" w:hAnsi="Open Sans" w:cs="Open Sans"/>
        </w:rPr>
        <w:t>Agravo a que se nega provimento.</w:t>
      </w:r>
      <w:r w:rsidRPr="004616D2">
        <w:rPr>
          <w:rFonts w:ascii="Open Sans" w:hAnsi="Open Sans" w:cs="Open Sans"/>
          <w:bCs/>
        </w:rPr>
        <w:t>"</w:t>
      </w:r>
      <w:proofErr w:type="gramEnd"/>
      <w:r w:rsidRPr="004616D2">
        <w:rPr>
          <w:rFonts w:ascii="Open Sans" w:hAnsi="Open Sans" w:cs="Open Sans"/>
          <w:bCs/>
        </w:rPr>
        <w:t xml:space="preserve"> (</w:t>
      </w:r>
      <w:bookmarkStart w:id="0" w:name="NumProc"/>
      <w:r w:rsidRPr="004616D2">
        <w:rPr>
          <w:rFonts w:ascii="Open Sans" w:hAnsi="Open Sans" w:cs="Open Sans"/>
          <w:bCs/>
          <w:u w:val="single"/>
        </w:rPr>
        <w:fldChar w:fldCharType="begin"/>
      </w:r>
      <w:r w:rsidRPr="004616D2">
        <w:rPr>
          <w:rFonts w:ascii="Open Sans" w:hAnsi="Open Sans" w:cs="Open Sans"/>
          <w:bCs/>
          <w:u w:val="single"/>
        </w:rPr>
        <w:instrText xml:space="preserve"> HYPERLINK "https://pje.tst.jus.br/consultaprocessual/detalhe-processo/0010044-87.2022.5.18.0129/3" \l "cdb47ef" </w:instrText>
      </w:r>
      <w:r w:rsidRPr="004616D2">
        <w:rPr>
          <w:rFonts w:ascii="Open Sans" w:hAnsi="Open Sans" w:cs="Open Sans"/>
          <w:bCs/>
          <w:u w:val="single"/>
        </w:rPr>
        <w:fldChar w:fldCharType="separate"/>
      </w:r>
      <w:r w:rsidRPr="004616D2">
        <w:rPr>
          <w:rStyle w:val="Hyperlink"/>
          <w:rFonts w:ascii="Open Sans" w:hAnsi="Open Sans" w:cs="Open Sans"/>
          <w:bCs/>
        </w:rPr>
        <w:t>TST-Ag-AIRR-10044-87.2022.5.18.0129</w:t>
      </w:r>
      <w:bookmarkEnd w:id="0"/>
      <w:r w:rsidRPr="004616D2">
        <w:rPr>
          <w:rStyle w:val="Hyperlink"/>
          <w:rFonts w:ascii="Open Sans" w:hAnsi="Open Sans" w:cs="Open Sans"/>
          <w:bCs/>
        </w:rPr>
        <w:t xml:space="preserve">, 3ª Turma, rel. Min. </w:t>
      </w:r>
      <w:r w:rsidRPr="004616D2">
        <w:rPr>
          <w:rStyle w:val="Hyperlink"/>
          <w:rFonts w:ascii="Open Sans" w:hAnsi="Open Sans" w:cs="Open Sans"/>
        </w:rPr>
        <w:t>Alberto Bastos Balazeiro</w:t>
      </w:r>
      <w:r w:rsidRPr="004616D2">
        <w:rPr>
          <w:rStyle w:val="Hyperlink"/>
          <w:rFonts w:ascii="Open Sans" w:hAnsi="Open Sans" w:cs="Open Sans"/>
          <w:bCs/>
        </w:rPr>
        <w:t>, julgado em 20/3/2024</w:t>
      </w:r>
      <w:r w:rsidRPr="004616D2">
        <w:rPr>
          <w:rFonts w:ascii="Open Sans" w:hAnsi="Open Sans" w:cs="Open Sans"/>
        </w:rPr>
        <w:fldChar w:fldCharType="end"/>
      </w:r>
      <w:r w:rsidRPr="004616D2">
        <w:rPr>
          <w:rFonts w:ascii="Open Sans" w:hAnsi="Open Sans" w:cs="Open Sans"/>
          <w:bCs/>
        </w:rPr>
        <w:t xml:space="preserve">) </w:t>
      </w:r>
    </w:p>
    <w:p w:rsidR="00D53EFC" w:rsidRDefault="00D53EFC" w:rsidP="007800B8">
      <w:pPr>
        <w:pStyle w:val="Identificao"/>
        <w:rPr>
          <w:rFonts w:ascii="Open Sans" w:hAnsi="Open Sans" w:cs="Open Sans"/>
          <w:bCs/>
        </w:rPr>
      </w:pPr>
    </w:p>
    <w:p w:rsidR="004616D2" w:rsidRPr="004616D2" w:rsidRDefault="004616D2" w:rsidP="004616D2">
      <w:pPr>
        <w:pStyle w:val="Identificao"/>
        <w:widowControl w:val="0"/>
        <w:rPr>
          <w:rFonts w:ascii="Open Sans" w:hAnsi="Open Sans" w:cs="Open Sans"/>
        </w:rPr>
      </w:pPr>
      <w:r w:rsidRPr="004616D2">
        <w:rPr>
          <w:rFonts w:ascii="Open Sans" w:hAnsi="Open Sans" w:cs="Open Sans"/>
          <w:bCs/>
        </w:rPr>
        <w:t>“</w:t>
      </w:r>
      <w:r w:rsidR="00983962">
        <w:rPr>
          <w:rFonts w:ascii="Open Sans" w:hAnsi="Open Sans" w:cs="Open Sans"/>
        </w:rPr>
        <w:t xml:space="preserve">(…) </w:t>
      </w:r>
      <w:r w:rsidRPr="004616D2">
        <w:rPr>
          <w:rFonts w:ascii="Open Sans" w:hAnsi="Open Sans" w:cs="Open Sans"/>
          <w:iCs/>
        </w:rPr>
        <w:t xml:space="preserve">DETERMINAÇÃO DO EMPREGADOR PARA TROCAR </w:t>
      </w:r>
      <w:proofErr w:type="gramStart"/>
      <w:r w:rsidRPr="004616D2">
        <w:rPr>
          <w:rFonts w:ascii="Open Sans" w:hAnsi="Open Sans" w:cs="Open Sans"/>
          <w:iCs/>
        </w:rPr>
        <w:t>A</w:t>
      </w:r>
      <w:proofErr w:type="gramEnd"/>
      <w:r w:rsidRPr="004616D2">
        <w:rPr>
          <w:rFonts w:ascii="Open Sans" w:hAnsi="Open Sans" w:cs="Open Sans"/>
          <w:iCs/>
        </w:rPr>
        <w:t xml:space="preserve"> ETIQUETA DE VALIDADE DE PRODUTOS VENCIDOS. </w:t>
      </w:r>
      <w:proofErr w:type="gramStart"/>
      <w:r w:rsidRPr="004616D2">
        <w:rPr>
          <w:rFonts w:ascii="Open Sans" w:hAnsi="Open Sans" w:cs="Open Sans"/>
          <w:iCs/>
        </w:rPr>
        <w:t>ALIMENTOS OFERTADOS AO PÚBLICO E AOS FUNCIONÁRIOS.</w:t>
      </w:r>
      <w:proofErr w:type="gramEnd"/>
      <w:r w:rsidRPr="004616D2">
        <w:rPr>
          <w:rFonts w:ascii="Open Sans" w:hAnsi="Open Sans" w:cs="Open Sans"/>
          <w:iCs/>
        </w:rPr>
        <w:t xml:space="preserve"> </w:t>
      </w:r>
      <w:proofErr w:type="gramStart"/>
      <w:r w:rsidRPr="004616D2">
        <w:rPr>
          <w:rFonts w:ascii="Open Sans" w:hAnsi="Open Sans" w:cs="Open Sans"/>
          <w:iCs/>
        </w:rPr>
        <w:t>VIOLAÇÃO AOS DIREITOS DE PERSONALIDADE.</w:t>
      </w:r>
      <w:proofErr w:type="gramEnd"/>
      <w:r w:rsidRPr="004616D2">
        <w:rPr>
          <w:rFonts w:ascii="Open Sans" w:hAnsi="Open Sans" w:cs="Open Sans"/>
          <w:iCs/>
        </w:rPr>
        <w:t xml:space="preserve"> </w:t>
      </w:r>
      <w:r w:rsidRPr="004616D2">
        <w:rPr>
          <w:rFonts w:ascii="Open Sans" w:hAnsi="Open Sans" w:cs="Open Sans"/>
        </w:rPr>
        <w:t xml:space="preserve">INDENIZAÇÃO POR DANO MORAL. </w:t>
      </w:r>
      <w:proofErr w:type="gramStart"/>
      <w:r w:rsidRPr="003E76DA">
        <w:rPr>
          <w:rFonts w:ascii="Open Sans" w:hAnsi="Open Sans" w:cs="Open Sans"/>
          <w:i/>
        </w:rPr>
        <w:t>QUANTUM</w:t>
      </w:r>
      <w:r w:rsidRPr="004616D2">
        <w:rPr>
          <w:rFonts w:ascii="Open Sans" w:hAnsi="Open Sans" w:cs="Open Sans"/>
        </w:rPr>
        <w:t xml:space="preserve"> ARBITRADO.</w:t>
      </w:r>
      <w:proofErr w:type="gramEnd"/>
      <w:r w:rsidRPr="004616D2">
        <w:rPr>
          <w:rFonts w:ascii="Open Sans" w:hAnsi="Open Sans" w:cs="Open Sans"/>
        </w:rPr>
        <w:t xml:space="preserve"> </w:t>
      </w:r>
      <w:r w:rsidRPr="004616D2">
        <w:rPr>
          <w:rFonts w:ascii="Open Sans" w:hAnsi="Open Sans" w:cs="Open Sans"/>
          <w:bCs/>
        </w:rPr>
        <w:t>1. A Corte de origem consignou que ‘</w:t>
      </w:r>
      <w:r w:rsidRPr="00983962">
        <w:rPr>
          <w:rFonts w:ascii="Open Sans" w:hAnsi="Open Sans" w:cs="Open Sans"/>
          <w:bCs/>
          <w:i/>
        </w:rPr>
        <w:t>houve a demonstração da prática, pela reclamada, de conduta inadequada, pois a única testemunha ouvida em Juízo confirmou que ‘</w:t>
      </w:r>
      <w:r w:rsidRPr="00983962">
        <w:rPr>
          <w:rFonts w:ascii="Open Sans" w:hAnsi="Open Sans" w:cs="Open Sans"/>
          <w:bCs/>
          <w:i/>
          <w:iCs/>
        </w:rPr>
        <w:t>...havia orientação para</w:t>
      </w:r>
      <w:r w:rsidRPr="00983962">
        <w:rPr>
          <w:rFonts w:ascii="Open Sans" w:hAnsi="Open Sans" w:cs="Open Sans"/>
          <w:bCs/>
          <w:i/>
        </w:rPr>
        <w:t xml:space="preserve"> </w:t>
      </w:r>
      <w:r w:rsidRPr="00983962">
        <w:rPr>
          <w:rFonts w:ascii="Open Sans" w:hAnsi="Open Sans" w:cs="Open Sans"/>
          <w:bCs/>
          <w:i/>
          <w:iCs/>
        </w:rPr>
        <w:t>trocar a etiqueta de validade dos produtos vencidos e estes eram ofertados ao público em geral e aos</w:t>
      </w:r>
      <w:r w:rsidRPr="00983962">
        <w:rPr>
          <w:rFonts w:ascii="Open Sans" w:hAnsi="Open Sans" w:cs="Open Sans"/>
          <w:bCs/>
          <w:i/>
        </w:rPr>
        <w:t xml:space="preserve"> </w:t>
      </w:r>
      <w:r w:rsidRPr="00983962">
        <w:rPr>
          <w:rFonts w:ascii="Open Sans" w:hAnsi="Open Sans" w:cs="Open Sans"/>
          <w:bCs/>
          <w:i/>
          <w:iCs/>
        </w:rPr>
        <w:t>funcionários... era o produto estragado, vencido, era alterada a data de validade... a troca de valida era</w:t>
      </w:r>
      <w:r w:rsidRPr="00983962">
        <w:rPr>
          <w:rFonts w:ascii="Open Sans" w:hAnsi="Open Sans" w:cs="Open Sans"/>
          <w:bCs/>
          <w:i/>
        </w:rPr>
        <w:t xml:space="preserve"> </w:t>
      </w:r>
      <w:r w:rsidRPr="00983962">
        <w:rPr>
          <w:rFonts w:ascii="Open Sans" w:hAnsi="Open Sans" w:cs="Open Sans"/>
          <w:bCs/>
          <w:i/>
          <w:iCs/>
        </w:rPr>
        <w:t>dos produtos abertos’</w:t>
      </w:r>
      <w:r w:rsidRPr="004616D2">
        <w:rPr>
          <w:rFonts w:ascii="Open Sans" w:hAnsi="Open Sans" w:cs="Open Sans"/>
          <w:bCs/>
          <w:iCs/>
        </w:rPr>
        <w:t xml:space="preserve">. </w:t>
      </w:r>
      <w:r w:rsidRPr="004616D2">
        <w:rPr>
          <w:rFonts w:ascii="Open Sans" w:hAnsi="Open Sans" w:cs="Open Sans"/>
          <w:bCs/>
        </w:rPr>
        <w:t>2. Diante desse cenário fático, considerando a gravidade da conduta praticada pela empregadora, mediante risco à saúde pública, em que ‘</w:t>
      </w:r>
      <w:r w:rsidRPr="00983962">
        <w:rPr>
          <w:rFonts w:ascii="Open Sans" w:hAnsi="Open Sans" w:cs="Open Sans"/>
          <w:bCs/>
          <w:i/>
          <w:iCs/>
        </w:rPr>
        <w:t>havia orientação para</w:t>
      </w:r>
      <w:r w:rsidRPr="00983962">
        <w:rPr>
          <w:rFonts w:ascii="Open Sans" w:hAnsi="Open Sans" w:cs="Open Sans"/>
          <w:bCs/>
          <w:i/>
        </w:rPr>
        <w:t xml:space="preserve"> </w:t>
      </w:r>
      <w:r w:rsidRPr="00983962">
        <w:rPr>
          <w:rFonts w:ascii="Open Sans" w:hAnsi="Open Sans" w:cs="Open Sans"/>
          <w:bCs/>
          <w:i/>
          <w:iCs/>
        </w:rPr>
        <w:t>trocar a etiqueta de validade dos produtos vencidos e estes eram ofertados ao público em geral e aos</w:t>
      </w:r>
      <w:r w:rsidRPr="00983962">
        <w:rPr>
          <w:rFonts w:ascii="Open Sans" w:hAnsi="Open Sans" w:cs="Open Sans"/>
          <w:bCs/>
          <w:i/>
        </w:rPr>
        <w:t xml:space="preserve"> </w:t>
      </w:r>
      <w:r w:rsidRPr="00983962">
        <w:rPr>
          <w:rFonts w:ascii="Open Sans" w:hAnsi="Open Sans" w:cs="Open Sans"/>
          <w:bCs/>
          <w:i/>
          <w:iCs/>
        </w:rPr>
        <w:t>funcionários’</w:t>
      </w:r>
      <w:r w:rsidRPr="004616D2">
        <w:rPr>
          <w:rFonts w:ascii="Open Sans" w:hAnsi="Open Sans" w:cs="Open Sans"/>
          <w:bCs/>
          <w:iCs/>
        </w:rPr>
        <w:t xml:space="preserve">, o montante arbitrado a título de indenização por dano moral, no valor de R$ 3.949,26, poderia ser majorado, não fosse a vedação ao </w:t>
      </w:r>
      <w:r w:rsidRPr="007D295F">
        <w:rPr>
          <w:rFonts w:ascii="Open Sans" w:hAnsi="Open Sans" w:cs="Open Sans"/>
          <w:bCs/>
          <w:i/>
          <w:iCs/>
        </w:rPr>
        <w:t>reformatio in pejus</w:t>
      </w:r>
      <w:r w:rsidRPr="004616D2">
        <w:rPr>
          <w:rFonts w:ascii="Open Sans" w:hAnsi="Open Sans" w:cs="Open Sans"/>
          <w:bCs/>
          <w:iCs/>
        </w:rPr>
        <w:t xml:space="preserve">. Não se verifica, portanto, </w:t>
      </w:r>
      <w:proofErr w:type="gramStart"/>
      <w:r w:rsidRPr="004616D2">
        <w:rPr>
          <w:rFonts w:ascii="Open Sans" w:hAnsi="Open Sans" w:cs="Open Sans"/>
          <w:bCs/>
          <w:iCs/>
        </w:rPr>
        <w:t>a</w:t>
      </w:r>
      <w:proofErr w:type="gramEnd"/>
      <w:r w:rsidRPr="004616D2">
        <w:rPr>
          <w:rFonts w:ascii="Open Sans" w:hAnsi="Open Sans" w:cs="Open Sans"/>
          <w:bCs/>
          <w:iCs/>
        </w:rPr>
        <w:t xml:space="preserve"> alegada ofensa ao art. </w:t>
      </w:r>
      <w:proofErr w:type="gramStart"/>
      <w:r w:rsidRPr="004616D2">
        <w:rPr>
          <w:rFonts w:ascii="Open Sans" w:hAnsi="Open Sans" w:cs="Open Sans"/>
          <w:bCs/>
          <w:iCs/>
        </w:rPr>
        <w:t>5º, V e X da Constituição Federal.</w:t>
      </w:r>
      <w:proofErr w:type="gramEnd"/>
      <w:r w:rsidRPr="004616D2">
        <w:rPr>
          <w:rFonts w:ascii="Open Sans" w:hAnsi="Open Sans" w:cs="Open Sans"/>
          <w:bCs/>
          <w:iCs/>
        </w:rPr>
        <w:t xml:space="preserve"> </w:t>
      </w:r>
      <w:proofErr w:type="gramStart"/>
      <w:r w:rsidRPr="004616D2">
        <w:rPr>
          <w:rFonts w:ascii="Open Sans" w:hAnsi="Open Sans" w:cs="Open Sans"/>
          <w:bCs/>
        </w:rPr>
        <w:t>Agravo a que se nega provimento</w:t>
      </w:r>
      <w:r w:rsidRPr="004616D2">
        <w:rPr>
          <w:rFonts w:ascii="Open Sans" w:hAnsi="Open Sans" w:cs="Open Sans"/>
          <w:b/>
          <w:bCs/>
        </w:rPr>
        <w:t>.</w:t>
      </w:r>
      <w:r w:rsidRPr="004616D2">
        <w:rPr>
          <w:rFonts w:ascii="Open Sans" w:hAnsi="Open Sans" w:cs="Open Sans"/>
          <w:bCs/>
        </w:rPr>
        <w:t>"</w:t>
      </w:r>
      <w:proofErr w:type="gramEnd"/>
      <w:r w:rsidRPr="004616D2">
        <w:rPr>
          <w:rFonts w:ascii="Open Sans" w:hAnsi="Open Sans" w:cs="Open Sans"/>
          <w:bCs/>
        </w:rPr>
        <w:t xml:space="preserve"> (</w:t>
      </w:r>
      <w:hyperlink r:id="rId16" w:history="1">
        <w:r w:rsidRPr="004616D2">
          <w:rPr>
            <w:rStyle w:val="Hyperlink"/>
            <w:rFonts w:ascii="Open Sans" w:hAnsi="Open Sans" w:cs="Open Sans"/>
            <w:bCs/>
          </w:rPr>
          <w:t xml:space="preserve">TST-Ag-AIRR-1000617-41.2019.5.02.0342, 3ª Turma, rel. Min. </w:t>
        </w:r>
        <w:r w:rsidRPr="004616D2">
          <w:rPr>
            <w:rStyle w:val="Hyperlink"/>
            <w:rFonts w:ascii="Open Sans" w:hAnsi="Open Sans" w:cs="Open Sans"/>
          </w:rPr>
          <w:t>Alberto Bastos Balazeiro</w:t>
        </w:r>
        <w:r w:rsidRPr="004616D2">
          <w:rPr>
            <w:rStyle w:val="Hyperlink"/>
            <w:rFonts w:ascii="Open Sans" w:hAnsi="Open Sans" w:cs="Open Sans"/>
            <w:bCs/>
          </w:rPr>
          <w:t>, julgado em 20/3/2024</w:t>
        </w:r>
      </w:hyperlink>
      <w:r w:rsidRPr="004616D2">
        <w:rPr>
          <w:rFonts w:ascii="Open Sans" w:hAnsi="Open Sans" w:cs="Open Sans"/>
          <w:bCs/>
        </w:rPr>
        <w:t xml:space="preserve">) </w:t>
      </w:r>
    </w:p>
    <w:p w:rsidR="00702ABA" w:rsidRDefault="00702ABA" w:rsidP="002D05F7">
      <w:pPr>
        <w:pStyle w:val="Identificao"/>
        <w:widowControl w:val="0"/>
        <w:rPr>
          <w:rFonts w:ascii="Open Sans" w:hAnsi="Open Sans" w:cs="Open Sans"/>
          <w:lang w:val="pt-BR"/>
        </w:rPr>
      </w:pPr>
    </w:p>
    <w:p w:rsidR="00DF6F8F" w:rsidRPr="00DF6F8F" w:rsidRDefault="00DF6F8F" w:rsidP="00DF6F8F">
      <w:pPr>
        <w:pStyle w:val="Identificao"/>
        <w:widowControl w:val="0"/>
        <w:rPr>
          <w:rFonts w:ascii="Open Sans" w:hAnsi="Open Sans" w:cs="Open Sans"/>
          <w:b/>
        </w:rPr>
      </w:pPr>
      <w:proofErr w:type="gramStart"/>
      <w:r w:rsidRPr="00DF6F8F">
        <w:rPr>
          <w:rFonts w:ascii="Open Sans" w:hAnsi="Open Sans" w:cs="Open Sans"/>
          <w:bCs/>
        </w:rPr>
        <w:t>“AGRAVO DE INSTRUMENTO.</w:t>
      </w:r>
      <w:proofErr w:type="gramEnd"/>
      <w:r w:rsidRPr="00DF6F8F">
        <w:rPr>
          <w:rFonts w:ascii="Open Sans" w:hAnsi="Open Sans" w:cs="Open Sans"/>
          <w:bCs/>
        </w:rPr>
        <w:t xml:space="preserve"> </w:t>
      </w:r>
      <w:proofErr w:type="gramStart"/>
      <w:r w:rsidRPr="00DF6F8F">
        <w:rPr>
          <w:rFonts w:ascii="Open Sans" w:hAnsi="Open Sans" w:cs="Open Sans"/>
          <w:bCs/>
        </w:rPr>
        <w:t>RECURSO DE REVISTA.</w:t>
      </w:r>
      <w:proofErr w:type="gramEnd"/>
      <w:r w:rsidRPr="00DF6F8F">
        <w:rPr>
          <w:rFonts w:ascii="Open Sans" w:hAnsi="Open Sans" w:cs="Open Sans"/>
          <w:bCs/>
        </w:rPr>
        <w:t xml:space="preserve"> PROCESSO SOB </w:t>
      </w:r>
      <w:proofErr w:type="gramStart"/>
      <w:r w:rsidRPr="00DF6F8F">
        <w:rPr>
          <w:rFonts w:ascii="Open Sans" w:hAnsi="Open Sans" w:cs="Open Sans"/>
          <w:bCs/>
        </w:rPr>
        <w:t>A</w:t>
      </w:r>
      <w:proofErr w:type="gramEnd"/>
      <w:r w:rsidRPr="00DF6F8F">
        <w:rPr>
          <w:rFonts w:ascii="Open Sans" w:hAnsi="Open Sans" w:cs="Open Sans"/>
          <w:bCs/>
        </w:rPr>
        <w:t xml:space="preserve"> ÉGIDE DA LEI 13.467/2017. </w:t>
      </w:r>
      <w:r w:rsidRPr="00DF6F8F">
        <w:rPr>
          <w:rFonts w:ascii="Open Sans" w:hAnsi="Open Sans" w:cs="Open Sans"/>
        </w:rPr>
        <w:t>RESCISÃO DO CONTRATO DE TRABALHO – JUSTA CAUSA - FALTA GRAVE – ASSÉDIO MORAL E SEXUAL PRATICADO PELO OBREIRO. DECISÕES PROFERIDAS PELAS INSTÂNCIAS ORDINÁRIAS EM CONSONÂNCIA COM AS RECOMENDAÇÕES DO ‘PROTOCOLO PARA JULGAMENTO COM PERSPECTIVA DE GÊNERO’ RESOLUÇÃO CNJ N. 492/2023. 1. Para o Direito Brasileiro, ‘justa causa’ é o motivo relevante, previsto legalmente, que autoriza a resolução do contrato de trabalho por culpa do sujeito comitente da infração - no caso, o empregado. Analisando-se os critérios de aplicação de penalidades no caso de infrações obreiras, observa-se que existe um mínimo de limite à sua incidência, consubstanciado na observância de três grupos de requisitos a serem examinados conjuntamente em cada caso concreto: objetivos (concernentes à caracterização da conduta obreira que se pretende censurar), subjetivos (relativos ao envolvimento - ou não - do trabalhador na respectiva conduta) e circunstanciais (que dizem respeito à atuação disciplinar do empregador em face da falta e do obreiro envolvidos). Para a caracterização da justa causa, devem, ainda, estar presentes os seguintes requisitos: a) tipicidade da conduta; b) autoria obreira da infração; c) dolo ou culpa do infrator; d) nexo de causalidade; e) adequação e proporcionalidade; f) imediaticidade da punição; g) ausência de perdão tácito; h) singularidade da punição (‘</w:t>
      </w:r>
      <w:r w:rsidRPr="00DF6F8F">
        <w:rPr>
          <w:rFonts w:ascii="Open Sans" w:hAnsi="Open Sans" w:cs="Open Sans"/>
          <w:i/>
        </w:rPr>
        <w:t>non bis in idem’</w:t>
      </w:r>
      <w:r w:rsidRPr="00DF6F8F">
        <w:rPr>
          <w:rFonts w:ascii="Open Sans" w:hAnsi="Open Sans" w:cs="Open Sans"/>
        </w:rPr>
        <w:t xml:space="preserve">); i) caráter pedagógico do exercício do poder disciplinar, com a correspondente gradação de penalidades. 2. Na presente hipótese, </w:t>
      </w:r>
      <w:proofErr w:type="gramStart"/>
      <w:r w:rsidRPr="00DF6F8F">
        <w:rPr>
          <w:rFonts w:ascii="Open Sans" w:hAnsi="Open Sans" w:cs="Open Sans"/>
        </w:rPr>
        <w:t>como</w:t>
      </w:r>
      <w:proofErr w:type="gramEnd"/>
      <w:r w:rsidRPr="00DF6F8F">
        <w:rPr>
          <w:rFonts w:ascii="Open Sans" w:hAnsi="Open Sans" w:cs="Open Sans"/>
        </w:rPr>
        <w:t xml:space="preserve"> se infere do </w:t>
      </w:r>
      <w:r w:rsidRPr="00DF6F8F">
        <w:rPr>
          <w:rFonts w:ascii="Open Sans" w:hAnsi="Open Sans" w:cs="Open Sans"/>
        </w:rPr>
        <w:lastRenderedPageBreak/>
        <w:t xml:space="preserve">acórdão regional, ‘o reclamante foi dispensado por justa causa, com base na alínea ‘b’ do art. </w:t>
      </w:r>
      <w:proofErr w:type="gramStart"/>
      <w:r w:rsidRPr="00DF6F8F">
        <w:rPr>
          <w:rFonts w:ascii="Open Sans" w:hAnsi="Open Sans" w:cs="Open Sans"/>
        </w:rPr>
        <w:t>482 da CLT (incontinência de conduta e mau procedimento), por prática de assédio sexual contra funcionária de um cliente da reclamada’.</w:t>
      </w:r>
      <w:proofErr w:type="gramEnd"/>
      <w:r w:rsidRPr="00DF6F8F">
        <w:rPr>
          <w:rFonts w:ascii="Open Sans" w:hAnsi="Open Sans" w:cs="Open Sans"/>
        </w:rPr>
        <w:t xml:space="preserve"> Nesse cenário, o caso dos autos concerne à tipificação da conduta praticada pelo Reclamante – importunação sexual pela prática de ato libidinoso (proposta sexual) – contra uma empregada de empresa cliente da Reclamada </w:t>
      </w:r>
      <w:proofErr w:type="gramStart"/>
      <w:r w:rsidRPr="00DF6F8F">
        <w:rPr>
          <w:rFonts w:ascii="Open Sans" w:hAnsi="Open Sans" w:cs="Open Sans"/>
        </w:rPr>
        <w:t>como</w:t>
      </w:r>
      <w:proofErr w:type="gramEnd"/>
      <w:r w:rsidRPr="00DF6F8F">
        <w:rPr>
          <w:rFonts w:ascii="Open Sans" w:hAnsi="Open Sans" w:cs="Open Sans"/>
        </w:rPr>
        <w:t xml:space="preserve"> infração trabalhista autorizadora da dispensa por justa causa – incontinência de conduta (art. 482, ‘b’, </w:t>
      </w:r>
      <w:r w:rsidRPr="00DF6F8F">
        <w:rPr>
          <w:rFonts w:ascii="Open Sans" w:hAnsi="Open Sans" w:cs="Open Sans"/>
          <w:i/>
        </w:rPr>
        <w:t>ab initio</w:t>
      </w:r>
      <w:r w:rsidRPr="00DF6F8F">
        <w:rPr>
          <w:rFonts w:ascii="Open Sans" w:hAnsi="Open Sans" w:cs="Open Sans"/>
        </w:rPr>
        <w:t xml:space="preserve">, da CLT). 3. Lamentavelmente, </w:t>
      </w:r>
      <w:proofErr w:type="gramStart"/>
      <w:r w:rsidRPr="00DF6F8F">
        <w:rPr>
          <w:rFonts w:ascii="Open Sans" w:hAnsi="Open Sans" w:cs="Open Sans"/>
        </w:rPr>
        <w:t>na</w:t>
      </w:r>
      <w:proofErr w:type="gramEnd"/>
      <w:r w:rsidRPr="00DF6F8F">
        <w:rPr>
          <w:rFonts w:ascii="Open Sans" w:hAnsi="Open Sans" w:cs="Open Sans"/>
        </w:rPr>
        <w:t xml:space="preserve"> realidade brasileira, a diferença de tratamento de gênero ainda gera elevado nível de tolerância a certos tipos de violência contra a mulher, caso do assédio sexual. Dessa forma, em razão da importância da matéria, impõe-se, antes de adentrar no cerne da discussão posta nos autos – adequação da justa causa aplicada pela Reclamada ao Reclamante –, tecer algumas considerações acerca da violência contra as mulheres e </w:t>
      </w:r>
      <w:proofErr w:type="gramStart"/>
      <w:r w:rsidRPr="00DF6F8F">
        <w:rPr>
          <w:rFonts w:ascii="Open Sans" w:hAnsi="Open Sans" w:cs="Open Sans"/>
        </w:rPr>
        <w:t>a</w:t>
      </w:r>
      <w:proofErr w:type="gramEnd"/>
      <w:r w:rsidRPr="00DF6F8F">
        <w:rPr>
          <w:rFonts w:ascii="Open Sans" w:hAnsi="Open Sans" w:cs="Open Sans"/>
        </w:rPr>
        <w:t xml:space="preserve"> evolução legislativa do assunto no âmbito nacional e internacional. No âmbito nacional, Flávia Piovesan destaca que a Constituição da República de 1988 ampliou a cidadania das mulheres, incorporando significativos avanços, entre eles: a igualdade entre homens e mulheres (art. 5º, I); a proibição da discriminação no mercado de trabalho, por motivo de sexo ou estado civil (art. 7º, XXX, regulamentado pela Lei 9.029/1995); a proteção especial da mulher no mercado de trabalho, mediante incentivos específicos (art. 7º, XX, regulamentado pela Lei 9.799/1999). No âmbito internacional, aponta a ilustre professora: a Convenção sobre a Eliminação da Discriminação contra a Mulher de 1979; a Declaração de Direitos Humanos de Viena de 1993; a Conferência sobre População e Desenvolvimento do Cairo de 1994; a Convenção Interamericana para Prevenir, Punir e Erradicar a Violência contra a Mulher de 1994 e a Declaração e a Plataforma de Ação de Pequim de 1995. No que se refere à violência contra a mulher, Piovesan ressalta que a Declaração sobre a Eliminação da Violência contra a Mulher, aprovada pela ONU, em 1993, bem como a Convenção Interamericana para Prevenir, Punir e Erradicar a Violência contra a Mulher (‘Convenção de Belém do Pará’), de 1994, reconhecem que a violência contra a mulher, no âmbito público ou privado, constitui grave violação aos direitos humanos e limita total ou parcialmente o exercício dos demais direitos fundamentais, definindo a violência contra a mulher como ‘qualquer ação ou conduta, baseada no gênero, que cause morte, dano ou sofrimento físico, sexual ou psicológico à mulher, tanto na esfera pública, como na privada’ (artigo 1º), sendo dever dos Estados-partes a adoção de políticas destinadas a prevenir, punir e erradicar a violência contra a mulher. Diante disso, é dever do Poder Judiciário enfrentar esse problema grave que ainda permeia as relações na sociedade brasileira, buscando conferir efetividade ao princípio da igualdade substantiva previsto na Constituição e nos tratados internacionais dos quais o Brasil é parte em matéria de direitos humanos, a fim de evitar a continuidade das desigualdades e opressões históricas decorrentes da influência do machismo, do sexismo, do racismo e outras práticas preconceituosas, eliminando todas as formas de discriminação, em especial contra a </w:t>
      </w:r>
      <w:r w:rsidRPr="00DF6F8F">
        <w:rPr>
          <w:rFonts w:ascii="Open Sans" w:hAnsi="Open Sans" w:cs="Open Sans"/>
        </w:rPr>
        <w:lastRenderedPageBreak/>
        <w:t xml:space="preserve">mulher. Visando a esse objetivo, o Conselho Nacional de Justiça editou a Recomendação 128, publicada em 15/2/022, que aconselha a Magistratura brasileira a adotar o Protocolo para Julgamento com Perspectiva de Gênero, nos casos que envolvem, entre outros, situações de assédio sexual. Inspirado nas Recomendações Gerais nº 33 e 35 do Comitê para Eliminação de Todas as Formas de Discriminação contra a Mulher (CEDAW) e na Convenção Interamericana para Prevenir, Punir e Erradicar a Violência contra a Mulher (‘Convenção de Belém do Pará’), ambos da ONU, o Protocolo incentiva que os julgamentos não incorram na repetição de estereótipos e na perpetuação de tratamentos diferentes e injustos contra as mulheres. Avançando o exame da temática nos instrumentos internacionais de proteção dos direitos humanos, releva acrescentar a Convenção 190 da OIT, aprovada em 10 de junho de 2019, que trata da eliminação da violência e do assédio no mundo do trabalho, nos setores públicos e privados, cujo processo de ratificação se encontra em curso na Câmara dos Deputados, por meio da Mensagem de Acordos, convênios, tratados e atos internacionais - MSC 86/2023. Importante destacar que a Convenção 190 adota uma definição de ‘violência e assédio’ centrada na vítima, na inaceitabilidade da conduta, práticas ou ameaças, e em seus efeitos sobre a vítima, independentemente da condição do agressor no âmbito empregatício: superior hierárquico (assédio vertical); colegas de trabalho (assédio horizontal); terceiros (p.e.: clientes, pacientes ou passageiros). Observa-se, ainda, que a Convenção 190 reconhece a ‘violência e o assédio’ </w:t>
      </w:r>
      <w:proofErr w:type="gramStart"/>
      <w:r w:rsidRPr="00DF6F8F">
        <w:rPr>
          <w:rFonts w:ascii="Open Sans" w:hAnsi="Open Sans" w:cs="Open Sans"/>
        </w:rPr>
        <w:t>como</w:t>
      </w:r>
      <w:proofErr w:type="gramEnd"/>
      <w:r w:rsidRPr="00DF6F8F">
        <w:rPr>
          <w:rFonts w:ascii="Open Sans" w:hAnsi="Open Sans" w:cs="Open Sans"/>
        </w:rPr>
        <w:t xml:space="preserve"> questão relacionada à segurança e saúde no trabalho. Nessa linha, impõe-se acentuar que na 110ª Conferência Internacional do Trabalho (2022), todos os Estados membros da OIT se comprometeram a respeitar e promover o direito fundamental a um ambiente de trabalho seguro e saudável – princípio adicionado aos Princípios e Direitos Fundamentais no Trabalho da Organização Internacional do Trabalho – tenham ou não ratificado as Convenções relevantes. Destarte, inobstante a Convenção 190, ainda, não tenha ingressado na ordem jurídica interna brasileira, há que se ponderar que as diretrizes constantes da Convenção 190 devem ser promovidas e respeitadas, como um direito fundamental de todos os trabalhadores a um meio ambiente do trabalho livre de violência e assédio com base no gênero. </w:t>
      </w:r>
      <w:r w:rsidRPr="00DF6F8F">
        <w:rPr>
          <w:rFonts w:ascii="Open Sans" w:hAnsi="Open Sans" w:cs="Open Sans"/>
          <w:bCs/>
          <w:iCs/>
        </w:rPr>
        <w:t>4.</w:t>
      </w:r>
      <w:r w:rsidRPr="00DF6F8F">
        <w:rPr>
          <w:rFonts w:ascii="Open Sans" w:hAnsi="Open Sans" w:cs="Open Sans"/>
          <w:iCs/>
        </w:rPr>
        <w:t xml:space="preserve"> Firmados tais pontos, </w:t>
      </w:r>
      <w:r w:rsidRPr="00DF6F8F">
        <w:rPr>
          <w:rFonts w:ascii="Open Sans" w:hAnsi="Open Sans" w:cs="Open Sans"/>
          <w:bCs/>
          <w:iCs/>
        </w:rPr>
        <w:t>na hipótese dos autos</w:t>
      </w:r>
      <w:r w:rsidRPr="00DF6F8F">
        <w:rPr>
          <w:rFonts w:ascii="Open Sans" w:hAnsi="Open Sans" w:cs="Open Sans"/>
          <w:iCs/>
        </w:rPr>
        <w:t xml:space="preserve">, o TRT, após detida análise do conjunto fático-probatório produzido, assentou que a prova dos autos é bastante convincente quanto à conduta assediadora do Reclamante e, por conseguinte, </w:t>
      </w:r>
      <w:r w:rsidRPr="00DF6F8F">
        <w:rPr>
          <w:rFonts w:ascii="Open Sans" w:hAnsi="Open Sans" w:cs="Open Sans"/>
        </w:rPr>
        <w:t xml:space="preserve">confirmou a sentença para manter a justa causa aplicada pela empresa ao Reclamante, por concluir que ‘o depoimento da vítima, de seu colega de trabalho e a apuração realizada pela empresa, são suficientes para convencer essa Magistrada da veracidade dos fatos narrados em desfavor do autor’. </w:t>
      </w:r>
      <w:r w:rsidRPr="00DF6F8F">
        <w:rPr>
          <w:rFonts w:ascii="Open Sans" w:hAnsi="Open Sans" w:cs="Open Sans"/>
          <w:bCs/>
        </w:rPr>
        <w:t xml:space="preserve">5. </w:t>
      </w:r>
      <w:r w:rsidRPr="00DF6F8F">
        <w:rPr>
          <w:rFonts w:ascii="Open Sans" w:hAnsi="Open Sans" w:cs="Open Sans"/>
        </w:rPr>
        <w:t xml:space="preserve">Com efeito, os avanços normativos acerca da proteção dos direitos humanos das mulheres, com destaque para a violência contra a mulher, fez, como bem explicitado pelo professor Maurício Godinho Delgado, este censurável comportamento de assédio sexual transbordar do acanhado conceito de incontinência de conduta (quando se tratando </w:t>
      </w:r>
      <w:r w:rsidRPr="00DF6F8F">
        <w:rPr>
          <w:rFonts w:ascii="Open Sans" w:hAnsi="Open Sans" w:cs="Open Sans"/>
        </w:rPr>
        <w:lastRenderedPageBreak/>
        <w:t xml:space="preserve">de infração do trabalhador: art. 482, ‘b’, </w:t>
      </w:r>
      <w:r w:rsidRPr="00DF6F8F">
        <w:rPr>
          <w:rFonts w:ascii="Open Sans" w:hAnsi="Open Sans" w:cs="Open Sans"/>
          <w:i/>
        </w:rPr>
        <w:t>ab initio</w:t>
      </w:r>
      <w:r w:rsidRPr="00DF6F8F">
        <w:rPr>
          <w:rFonts w:ascii="Open Sans" w:hAnsi="Open Sans" w:cs="Open Sans"/>
        </w:rPr>
        <w:t xml:space="preserve">, CLT) ou do tipo jurídico também indicado pelo art. 483, “e”, da CLT (quando se tratar de infração empresarial: ‘ato lesivo à honra e boa fama’). Embora, é claro, o comportamento que denote assédio sexual possa (e deva, enquanto não surgir explícita tipificação legal) ser enquadrado nesses dispositivos mencionados, para os fins jurídicos previstos pela CLT, sua caracterização é, efetivamente, ainda mais ampla. Há que se ressaltar que a tipificação trabalhista da infração contida </w:t>
      </w:r>
      <w:proofErr w:type="gramStart"/>
      <w:r w:rsidRPr="00DF6F8F">
        <w:rPr>
          <w:rFonts w:ascii="Open Sans" w:hAnsi="Open Sans" w:cs="Open Sans"/>
        </w:rPr>
        <w:t>na</w:t>
      </w:r>
      <w:proofErr w:type="gramEnd"/>
      <w:r w:rsidRPr="00DF6F8F">
        <w:rPr>
          <w:rFonts w:ascii="Open Sans" w:hAnsi="Open Sans" w:cs="Open Sans"/>
        </w:rPr>
        <w:t xml:space="preserve"> alínea ‘b’ do art. 482 da CLT – mesmo à </w:t>
      </w:r>
      <w:proofErr w:type="gramStart"/>
      <w:r w:rsidRPr="00DF6F8F">
        <w:rPr>
          <w:rFonts w:ascii="Open Sans" w:hAnsi="Open Sans" w:cs="Open Sans"/>
        </w:rPr>
        <w:t>luz</w:t>
      </w:r>
      <w:proofErr w:type="gramEnd"/>
      <w:r w:rsidRPr="00DF6F8F">
        <w:rPr>
          <w:rFonts w:ascii="Open Sans" w:hAnsi="Open Sans" w:cs="Open Sans"/>
        </w:rPr>
        <w:t xml:space="preserve"> do critério taxativo – é na lição do ilustre professor significativamente mais flexível e plástica do que a configurada no Direito Penal, o que tem permitido a funcional adequação de tipos tradicionais a condutas consideradas modernas (embora nem tão modernas, como se sabe). É o que se passa com o assédio sexual, que pode ser englobado, perfeitamente, </w:t>
      </w:r>
      <w:proofErr w:type="gramStart"/>
      <w:r w:rsidRPr="00DF6F8F">
        <w:rPr>
          <w:rFonts w:ascii="Open Sans" w:hAnsi="Open Sans" w:cs="Open Sans"/>
        </w:rPr>
        <w:t>na</w:t>
      </w:r>
      <w:proofErr w:type="gramEnd"/>
      <w:r w:rsidRPr="00DF6F8F">
        <w:rPr>
          <w:rFonts w:ascii="Open Sans" w:hAnsi="Open Sans" w:cs="Open Sans"/>
        </w:rPr>
        <w:t xml:space="preserve"> incontinência de conduta alinhada pelo art. </w:t>
      </w:r>
      <w:proofErr w:type="gramStart"/>
      <w:r w:rsidRPr="00DF6F8F">
        <w:rPr>
          <w:rFonts w:ascii="Open Sans" w:hAnsi="Open Sans" w:cs="Open Sans"/>
        </w:rPr>
        <w:t>482, ‘b’, da CLT, quando praticado por empregado em face de sua colega de serviço, por exemplo.</w:t>
      </w:r>
      <w:proofErr w:type="gramEnd"/>
      <w:r w:rsidRPr="00DF6F8F">
        <w:rPr>
          <w:rFonts w:ascii="Open Sans" w:hAnsi="Open Sans" w:cs="Open Sans"/>
        </w:rPr>
        <w:t xml:space="preserve"> Assim sendo, e diante do quadro fático delineado pelo TRT, inconteste à luz da Súmula 126/TST, tem-se que a conduta assediadora do Reclamante, no ambiente do trabalho, contra uma empregada de empresa cliente da Reclamada, atrai a incidência do tipo jurídico genérico do art. 482, ‘b’, </w:t>
      </w:r>
      <w:r w:rsidRPr="00DF6F8F">
        <w:rPr>
          <w:rFonts w:ascii="Open Sans" w:hAnsi="Open Sans" w:cs="Open Sans"/>
          <w:i/>
          <w:iCs/>
        </w:rPr>
        <w:t>ab initio</w:t>
      </w:r>
      <w:r w:rsidRPr="00DF6F8F">
        <w:rPr>
          <w:rFonts w:ascii="Open Sans" w:hAnsi="Open Sans" w:cs="Open Sans"/>
        </w:rPr>
        <w:t xml:space="preserve">, da Consolidação das Leis do Trabalho (incontinência de conduta). </w:t>
      </w:r>
      <w:r w:rsidRPr="00DF6F8F">
        <w:rPr>
          <w:rFonts w:ascii="Open Sans" w:hAnsi="Open Sans" w:cs="Open Sans"/>
          <w:bCs/>
        </w:rPr>
        <w:t xml:space="preserve">6. </w:t>
      </w:r>
      <w:r w:rsidRPr="00DF6F8F">
        <w:rPr>
          <w:rFonts w:ascii="Open Sans" w:hAnsi="Open Sans" w:cs="Open Sans"/>
        </w:rPr>
        <w:t xml:space="preserve">Atente-se que o fato de a vítima não ter prosseguido com a ação criminal, como bem fundamentado pela Corte Regional, não interfere na justa causa aplicada ao Reclamante. 7. Dessa forma, analisando a incomum iniciativa da vítima em denunciar a prática de assédio, feita </w:t>
      </w:r>
      <w:r w:rsidRPr="00DF6F8F">
        <w:rPr>
          <w:rFonts w:ascii="Open Sans" w:hAnsi="Open Sans" w:cs="Open Sans"/>
          <w:i/>
        </w:rPr>
        <w:t>incontinenti</w:t>
      </w:r>
      <w:r w:rsidRPr="00DF6F8F">
        <w:rPr>
          <w:rFonts w:ascii="Open Sans" w:hAnsi="Open Sans" w:cs="Open Sans"/>
        </w:rPr>
        <w:t xml:space="preserve"> aos fatos e sustentada em descrição convincente e coerente com as provas constantes nos autos, tem-se por confirmada a denúncia formulada contra o Reclamante, suficientemente apta a justificar a justa causa por ato de incontinência. 8. Importante, ainda, destacar que a atitude do empregador da vítima – proprietário da Hamburgueria Gol Burger (empresa cliente da Reclamada) que ciente do fato ocorrido com sua empregada, formalizou uma denúncia no SAC da Reclamada, acerca do assédio sexual praticado pelo Reclamante –, bem como a conduta da Reclamada, que ao receber o relato do fato em seu canal de denúncias, procedeu à apuração da infração cometida e adotou a medida punitiva adequada, demonstram atenção com as suas responsabilidades em relação a um ambiente de trabalho seguro, sem discriminação e livre de violência e assédios moral e sexual. </w:t>
      </w:r>
      <w:proofErr w:type="gramStart"/>
      <w:r w:rsidRPr="00DF6F8F">
        <w:rPr>
          <w:rFonts w:ascii="Open Sans" w:hAnsi="Open Sans" w:cs="Open Sans"/>
        </w:rPr>
        <w:t>Há, ainda, que se ressaltar que as decisões proferidas pelas Instâncias Ordinárias revelam-se consentâneas com as recomendações do Protocolo para Julgamento com Perspectiva de Gênero.</w:t>
      </w:r>
      <w:proofErr w:type="gramEnd"/>
      <w:r w:rsidRPr="00DF6F8F">
        <w:rPr>
          <w:rFonts w:ascii="Open Sans" w:hAnsi="Open Sans" w:cs="Open Sans"/>
        </w:rPr>
        <w:t xml:space="preserve"> 9. De outra face, afirmando a Instância Ordinária, quer pela sentença, quer pelo acórdão, a ocorrência de assédio moral e sexual, torna-se inviável, em recurso de revista, reexaminar o conjunto probatório dos autos, por não se tratar o TST de suposta terceira instância, mas de Juízo rigorosamente extraordinário - limites da Súmula 126/TST. </w:t>
      </w:r>
      <w:proofErr w:type="gramStart"/>
      <w:r w:rsidRPr="00DF6F8F">
        <w:rPr>
          <w:rFonts w:ascii="Open Sans" w:hAnsi="Open Sans" w:cs="Open Sans"/>
        </w:rPr>
        <w:t>Agravo de instrumento desprovido.</w:t>
      </w:r>
      <w:r w:rsidRPr="00DF6F8F">
        <w:rPr>
          <w:rFonts w:ascii="Open Sans" w:hAnsi="Open Sans" w:cs="Open Sans"/>
          <w:bCs/>
        </w:rPr>
        <w:t>”</w:t>
      </w:r>
      <w:proofErr w:type="gramEnd"/>
      <w:r w:rsidRPr="00DF6F8F">
        <w:rPr>
          <w:rFonts w:ascii="Open Sans" w:hAnsi="Open Sans" w:cs="Open Sans"/>
          <w:bCs/>
        </w:rPr>
        <w:t xml:space="preserve"> </w:t>
      </w:r>
      <w:proofErr w:type="gramStart"/>
      <w:r w:rsidRPr="00DF6F8F">
        <w:rPr>
          <w:rFonts w:ascii="Open Sans" w:hAnsi="Open Sans" w:cs="Open Sans"/>
          <w:bCs/>
        </w:rPr>
        <w:t>(</w:t>
      </w:r>
      <w:hyperlink r:id="rId17" w:history="1">
        <w:r w:rsidRPr="00DF6F8F">
          <w:rPr>
            <w:rStyle w:val="Hyperlink"/>
            <w:rFonts w:ascii="Open Sans" w:hAnsi="Open Sans" w:cs="Open Sans"/>
            <w:bCs/>
          </w:rPr>
          <w:t>TST-AIRR-170-71.2022.5.17.0011, 3ª Turma, rel. Des.</w:t>
        </w:r>
        <w:proofErr w:type="gramEnd"/>
        <w:r w:rsidRPr="00DF6F8F">
          <w:rPr>
            <w:rStyle w:val="Hyperlink"/>
            <w:rFonts w:ascii="Open Sans" w:hAnsi="Open Sans" w:cs="Open Sans"/>
            <w:bCs/>
          </w:rPr>
          <w:t xml:space="preserve"> Conv. </w:t>
        </w:r>
        <w:r w:rsidRPr="00DF6F8F">
          <w:rPr>
            <w:rStyle w:val="Hyperlink"/>
            <w:rFonts w:ascii="Open Sans" w:hAnsi="Open Sans" w:cs="Open Sans"/>
          </w:rPr>
          <w:t>Adriana Goulart de Sena Orsini</w:t>
        </w:r>
        <w:r w:rsidRPr="00DF6F8F">
          <w:rPr>
            <w:rStyle w:val="Hyperlink"/>
            <w:rFonts w:ascii="Open Sans" w:hAnsi="Open Sans" w:cs="Open Sans"/>
            <w:bCs/>
          </w:rPr>
          <w:t>, julgado em 20/3/2024</w:t>
        </w:r>
      </w:hyperlink>
      <w:r w:rsidRPr="00DF6F8F">
        <w:rPr>
          <w:rFonts w:ascii="Open Sans" w:hAnsi="Open Sans" w:cs="Open Sans"/>
          <w:bCs/>
        </w:rPr>
        <w:t xml:space="preserve">) </w:t>
      </w:r>
    </w:p>
    <w:p w:rsidR="004616D2" w:rsidRDefault="004616D2" w:rsidP="002D05F7">
      <w:pPr>
        <w:pStyle w:val="Identificao"/>
        <w:widowControl w:val="0"/>
        <w:rPr>
          <w:rFonts w:ascii="Open Sans" w:hAnsi="Open Sans" w:cs="Open Sans"/>
          <w:lang w:val="pt-BR"/>
        </w:rPr>
      </w:pPr>
    </w:p>
    <w:p w:rsidR="00776E8D" w:rsidRPr="00776E8D" w:rsidRDefault="00776E8D" w:rsidP="00776E8D">
      <w:pPr>
        <w:pStyle w:val="Identificao"/>
        <w:widowControl w:val="0"/>
        <w:rPr>
          <w:rFonts w:ascii="Open Sans" w:hAnsi="Open Sans" w:cs="Open Sans"/>
          <w:b/>
        </w:rPr>
      </w:pPr>
      <w:r w:rsidRPr="00776E8D">
        <w:rPr>
          <w:rFonts w:ascii="Open Sans" w:hAnsi="Open Sans" w:cs="Open Sans"/>
          <w:bCs/>
        </w:rPr>
        <w:t xml:space="preserve">“AGRAVO DE INSTRUMENTO EM RECURSO DE REVISTA. </w:t>
      </w:r>
      <w:proofErr w:type="gramStart"/>
      <w:r w:rsidRPr="00776E8D">
        <w:rPr>
          <w:rFonts w:ascii="Open Sans" w:hAnsi="Open Sans" w:cs="Open Sans"/>
        </w:rPr>
        <w:t>JORNADA DE TRABALHO.</w:t>
      </w:r>
      <w:proofErr w:type="gramEnd"/>
      <w:r w:rsidRPr="00776E8D">
        <w:rPr>
          <w:rFonts w:ascii="Open Sans" w:hAnsi="Open Sans" w:cs="Open Sans"/>
        </w:rPr>
        <w:t xml:space="preserve"> MÚSICO EMPREGADO. DESLOCAMENTO EM VIAGENS PARA OUTRAS CIDADES PARA ATUAR EM SHOWS CONTRATADOS PELA EMPREGADORA. TEMPO À DISPOSIÇÃO NÃO CARACTERIZADO. No caso, postula-se o pagamento de horas </w:t>
      </w:r>
      <w:r w:rsidRPr="00776E8D">
        <w:rPr>
          <w:rFonts w:ascii="Open Sans" w:hAnsi="Open Sans" w:cs="Open Sans"/>
          <w:i/>
        </w:rPr>
        <w:t>in itinere,</w:t>
      </w:r>
      <w:r w:rsidRPr="00776E8D">
        <w:rPr>
          <w:rFonts w:ascii="Open Sans" w:hAnsi="Open Sans" w:cs="Open Sans"/>
        </w:rPr>
        <w:t xml:space="preserve"> sob o argumento de que o tempo despendido no deslocamento feito para apresentação de músico contratado por uma banda em shows em cidades diversas considera-se tempo à disposição. O artigo 4º, </w:t>
      </w:r>
      <w:r w:rsidRPr="00776E8D">
        <w:rPr>
          <w:rFonts w:ascii="Open Sans" w:hAnsi="Open Sans" w:cs="Open Sans"/>
          <w:i/>
        </w:rPr>
        <w:t>caput,</w:t>
      </w:r>
      <w:r w:rsidRPr="00776E8D">
        <w:rPr>
          <w:rFonts w:ascii="Open Sans" w:hAnsi="Open Sans" w:cs="Open Sans"/>
        </w:rPr>
        <w:t xml:space="preserve"> da CLT, ao dispor sobre o tempo à disposição do empregador, estabelece expressamente que </w:t>
      </w:r>
      <w:r w:rsidR="00386139">
        <w:rPr>
          <w:rFonts w:ascii="Open Sans" w:hAnsi="Open Sans" w:cs="Open Sans"/>
        </w:rPr>
        <w:t>‘</w:t>
      </w:r>
      <w:r w:rsidRPr="00776E8D">
        <w:rPr>
          <w:rFonts w:ascii="Open Sans" w:hAnsi="Open Sans" w:cs="Open Sans"/>
        </w:rPr>
        <w:t>considera-se como de serviço efetivo o período em que o empregado esteja à disposição do empregador, aguardando ou executando ordens, salvo disposição especial expressamente consignada</w:t>
      </w:r>
      <w:r w:rsidR="00386139">
        <w:rPr>
          <w:rFonts w:ascii="Open Sans" w:hAnsi="Open Sans" w:cs="Open Sans"/>
        </w:rPr>
        <w:t>’</w:t>
      </w:r>
      <w:r w:rsidRPr="00776E8D">
        <w:rPr>
          <w:rFonts w:ascii="Open Sans" w:hAnsi="Open Sans" w:cs="Open Sans"/>
        </w:rPr>
        <w:t xml:space="preserve"> (destacou-se). Tal fundamento foi considerado pela Reforma Trabalhista que, invertendo o sentido do art. 58, § 2º, da CLT, passou a estabelecer que o tempo gasto pelo empregado em transporte fornecido pelo empregador no itinerário de ida e volta de seu local de trabalho situado em local de difícil acesso ou não servido por transporte público regular, não é considerado tempo à disposição, nos termos e para os efeitos desse citado artigo 4º, </w:t>
      </w:r>
      <w:r w:rsidRPr="00776E8D">
        <w:rPr>
          <w:rFonts w:ascii="Open Sans" w:hAnsi="Open Sans" w:cs="Open Sans"/>
          <w:i/>
        </w:rPr>
        <w:t>caput</w:t>
      </w:r>
      <w:r w:rsidRPr="00776E8D">
        <w:rPr>
          <w:rFonts w:ascii="Open Sans" w:hAnsi="Open Sans" w:cs="Open Sans"/>
        </w:rPr>
        <w:t xml:space="preserve">, da CLT. A Lei nº 6.533/1978, por sua vez, dispõe sobre a regulamentação das profissões de Artistas e de técnico em Espetáculos de Diversões e deve ser interpretada e aplicada em conjunto com a Lei nº 3.857, de 1960, a qual regulamenta o trabalho do músico, e também estabelece, em seu artigo 21, § 4º, que ‘será computado como trabalho efetivo o tempo em que o empregado estiver à disposição do empregador’, mas somente ‘a contar de sua apresentação no local de trabalho’. Assim, por </w:t>
      </w:r>
      <w:proofErr w:type="gramStart"/>
      <w:r w:rsidRPr="00776E8D">
        <w:rPr>
          <w:rFonts w:ascii="Open Sans" w:hAnsi="Open Sans" w:cs="Open Sans"/>
        </w:rPr>
        <w:t>tais</w:t>
      </w:r>
      <w:proofErr w:type="gramEnd"/>
      <w:r w:rsidRPr="00776E8D">
        <w:rPr>
          <w:rFonts w:ascii="Open Sans" w:hAnsi="Open Sans" w:cs="Open Sans"/>
        </w:rPr>
        <w:t xml:space="preserve"> fundamentos, não cabe falar em cômputo, na jornada de trabalho, do tempo despedido pelo músico empregado no deslocamento entre os locais de apresentação dos shows contratados. </w:t>
      </w:r>
      <w:proofErr w:type="gramStart"/>
      <w:r w:rsidRPr="00776E8D">
        <w:rPr>
          <w:rFonts w:ascii="Open Sans" w:hAnsi="Open Sans" w:cs="Open Sans"/>
        </w:rPr>
        <w:t>Agravo de instrumento desprovido</w:t>
      </w:r>
      <w:r w:rsidRPr="00776E8D">
        <w:rPr>
          <w:rFonts w:ascii="Open Sans" w:hAnsi="Open Sans" w:cs="Open Sans"/>
          <w:b/>
          <w:bCs/>
        </w:rPr>
        <w:t>.</w:t>
      </w:r>
      <w:r w:rsidRPr="00776E8D">
        <w:rPr>
          <w:rFonts w:ascii="Open Sans" w:hAnsi="Open Sans" w:cs="Open Sans"/>
          <w:bCs/>
        </w:rPr>
        <w:t>"</w:t>
      </w:r>
      <w:proofErr w:type="gramEnd"/>
      <w:r w:rsidRPr="00776E8D">
        <w:rPr>
          <w:rFonts w:ascii="Open Sans" w:hAnsi="Open Sans" w:cs="Open Sans"/>
          <w:bCs/>
        </w:rPr>
        <w:t xml:space="preserve"> (</w:t>
      </w:r>
      <w:hyperlink r:id="rId18" w:history="1">
        <w:r w:rsidRPr="00776E8D">
          <w:rPr>
            <w:rStyle w:val="Hyperlink"/>
            <w:rFonts w:ascii="Open Sans" w:hAnsi="Open Sans" w:cs="Open Sans"/>
          </w:rPr>
          <w:t>TST-AIRR-933-54.2017.5.05.0020</w:t>
        </w:r>
        <w:r w:rsidRPr="00776E8D">
          <w:rPr>
            <w:rStyle w:val="Hyperlink"/>
            <w:rFonts w:ascii="Open Sans" w:hAnsi="Open Sans" w:cs="Open Sans"/>
            <w:bCs/>
          </w:rPr>
          <w:t xml:space="preserve">, 3ª Turma, rel. Min. </w:t>
        </w:r>
        <w:r w:rsidRPr="00776E8D">
          <w:rPr>
            <w:rStyle w:val="Hyperlink"/>
            <w:rFonts w:ascii="Open Sans" w:hAnsi="Open Sans" w:cs="Open Sans"/>
          </w:rPr>
          <w:t>José Roberto Freire Pimenta</w:t>
        </w:r>
        <w:r w:rsidRPr="00776E8D">
          <w:rPr>
            <w:rStyle w:val="Hyperlink"/>
            <w:rFonts w:ascii="Open Sans" w:hAnsi="Open Sans" w:cs="Open Sans"/>
            <w:bCs/>
          </w:rPr>
          <w:t>, julgado em 20/3/2024</w:t>
        </w:r>
      </w:hyperlink>
      <w:r w:rsidRPr="00776E8D">
        <w:rPr>
          <w:rFonts w:ascii="Open Sans" w:hAnsi="Open Sans" w:cs="Open Sans"/>
          <w:bCs/>
        </w:rPr>
        <w:t>)</w:t>
      </w:r>
    </w:p>
    <w:p w:rsidR="00DF6F8F" w:rsidRDefault="00DF6F8F" w:rsidP="002D05F7">
      <w:pPr>
        <w:pStyle w:val="Identificao"/>
        <w:widowControl w:val="0"/>
        <w:rPr>
          <w:rFonts w:ascii="Open Sans" w:hAnsi="Open Sans" w:cs="Open Sans"/>
          <w:lang w:val="pt-BR"/>
        </w:rPr>
      </w:pPr>
    </w:p>
    <w:p w:rsidR="006371D2" w:rsidRDefault="00D079A5" w:rsidP="002D05F7">
      <w:pPr>
        <w:pStyle w:val="Identificao"/>
        <w:widowControl w:val="0"/>
        <w:rPr>
          <w:rFonts w:cs="Open Sans"/>
          <w:b/>
          <w:color w:val="FF0000"/>
          <w:lang w:val="pt-BR"/>
        </w:rPr>
      </w:pPr>
      <w:r>
        <w:rPr>
          <w:rFonts w:ascii="Open Sans" w:hAnsi="Open Sans" w:cs="Open Sans"/>
          <w:bCs/>
        </w:rPr>
        <w:t xml:space="preserve">“(…) </w:t>
      </w:r>
      <w:r w:rsidR="00124696" w:rsidRPr="00124696">
        <w:rPr>
          <w:rFonts w:ascii="Open Sans" w:hAnsi="Open Sans" w:cs="Open Sans"/>
          <w:bCs/>
        </w:rPr>
        <w:t xml:space="preserve">RECURSO DE REVISTA. </w:t>
      </w:r>
      <w:proofErr w:type="gramStart"/>
      <w:r w:rsidR="00124696" w:rsidRPr="00124696">
        <w:rPr>
          <w:rFonts w:ascii="Open Sans" w:hAnsi="Open Sans" w:cs="Open Sans"/>
          <w:bCs/>
        </w:rPr>
        <w:t>SINDICATO.</w:t>
      </w:r>
      <w:proofErr w:type="gramEnd"/>
      <w:r w:rsidR="00124696" w:rsidRPr="00124696">
        <w:rPr>
          <w:rFonts w:ascii="Open Sans" w:hAnsi="Open Sans" w:cs="Open Sans"/>
          <w:bCs/>
        </w:rPr>
        <w:t xml:space="preserve"> </w:t>
      </w:r>
      <w:proofErr w:type="gramStart"/>
      <w:r w:rsidR="00124696" w:rsidRPr="00124696">
        <w:rPr>
          <w:rFonts w:ascii="Open Sans" w:hAnsi="Open Sans" w:cs="Open Sans"/>
          <w:bCs/>
        </w:rPr>
        <w:t>SUBSTITUTO PROCESSUAL.</w:t>
      </w:r>
      <w:proofErr w:type="gramEnd"/>
      <w:r w:rsidR="00124696" w:rsidRPr="00124696">
        <w:rPr>
          <w:rFonts w:ascii="Open Sans" w:hAnsi="Open Sans" w:cs="Open Sans"/>
          <w:bCs/>
        </w:rPr>
        <w:t xml:space="preserve"> REQUERIMENTO DE ASSISTÊNCIA JUDICIÁRIA GRATUITA. </w:t>
      </w:r>
      <w:proofErr w:type="gramStart"/>
      <w:r w:rsidR="00124696" w:rsidRPr="00124696">
        <w:rPr>
          <w:rFonts w:ascii="Open Sans" w:hAnsi="Open Sans" w:cs="Open Sans"/>
          <w:bCs/>
        </w:rPr>
        <w:t>HONORÁRIOS.</w:t>
      </w:r>
      <w:proofErr w:type="gramEnd"/>
      <w:r w:rsidR="00124696" w:rsidRPr="00124696">
        <w:rPr>
          <w:rFonts w:ascii="Open Sans" w:hAnsi="Open Sans" w:cs="Open Sans"/>
          <w:bCs/>
        </w:rPr>
        <w:t xml:space="preserve"> AUSÊNCIA DE COMPROVAÇÃO DE INSUFICIÊNCIA DE RECURSOS</w:t>
      </w:r>
      <w:r w:rsidR="00124696" w:rsidRPr="00124696">
        <w:rPr>
          <w:rFonts w:ascii="Open Sans" w:hAnsi="Open Sans" w:cs="Open Sans"/>
        </w:rPr>
        <w:t xml:space="preserve">. </w:t>
      </w:r>
      <w:proofErr w:type="gramStart"/>
      <w:r w:rsidR="00124696" w:rsidRPr="00124696">
        <w:rPr>
          <w:rFonts w:ascii="Open Sans" w:hAnsi="Open Sans" w:cs="Open Sans"/>
        </w:rPr>
        <w:t>Verifica-se que o Regional concluiu que o Sindicato-autor não produziu prova acerca da insuficiência financeira.</w:t>
      </w:r>
      <w:proofErr w:type="gramEnd"/>
      <w:r w:rsidR="00124696" w:rsidRPr="00124696">
        <w:rPr>
          <w:rFonts w:ascii="Open Sans" w:hAnsi="Open Sans" w:cs="Open Sans"/>
        </w:rPr>
        <w:t xml:space="preserve"> </w:t>
      </w:r>
      <w:r w:rsidR="00124696" w:rsidRPr="00124696">
        <w:rPr>
          <w:rFonts w:ascii="Open Sans" w:hAnsi="Open Sans" w:cs="Open Sans"/>
          <w:bCs/>
        </w:rPr>
        <w:t xml:space="preserve">A concessão da gratuidade judiciária, </w:t>
      </w:r>
      <w:proofErr w:type="gramStart"/>
      <w:r w:rsidR="00124696" w:rsidRPr="00124696">
        <w:rPr>
          <w:rFonts w:ascii="Open Sans" w:hAnsi="Open Sans" w:cs="Open Sans"/>
          <w:bCs/>
        </w:rPr>
        <w:t>na</w:t>
      </w:r>
      <w:proofErr w:type="gramEnd"/>
      <w:r w:rsidR="00124696" w:rsidRPr="00124696">
        <w:rPr>
          <w:rFonts w:ascii="Open Sans" w:hAnsi="Open Sans" w:cs="Open Sans"/>
          <w:bCs/>
        </w:rPr>
        <w:t xml:space="preserve"> Justiça do Trabalho, obedece aos critérios fixados no art. 790, § 3º, da CLT, alterados pela Lei nº 13.467/2017, que assim estabelece: ‘</w:t>
      </w:r>
      <w:r w:rsidR="00124696" w:rsidRPr="00124696">
        <w:rPr>
          <w:rFonts w:ascii="Open Sans" w:hAnsi="Open Sans" w:cs="Open Sans"/>
          <w:iCs/>
        </w:rPr>
        <w:t>§ 3º É facultado aos juízes, órgãos julgadores e presidentes dos tribunais do trabalho de qualquer instância conceder, a requerimento ou de ofício, o benefício da justiça gratuita, inclusive quanto a traslados e instrumentos,</w:t>
      </w:r>
      <w:r w:rsidR="00124696" w:rsidRPr="00D079A5">
        <w:rPr>
          <w:rFonts w:ascii="Open Sans" w:hAnsi="Open Sans" w:cs="Open Sans"/>
          <w:iCs/>
          <w:u w:val="single"/>
        </w:rPr>
        <w:t xml:space="preserve"> àqueles que perceberem salário igual ou inferior a 40% (quarenta por cento) do limite máximo dos benefícios do Regime Geral de Previdência Social.’</w:t>
      </w:r>
      <w:r w:rsidR="00124696" w:rsidRPr="00124696">
        <w:rPr>
          <w:rFonts w:ascii="Open Sans" w:hAnsi="Open Sans" w:cs="Open Sans"/>
          <w:iCs/>
        </w:rPr>
        <w:t xml:space="preserve"> </w:t>
      </w:r>
      <w:proofErr w:type="gramStart"/>
      <w:r w:rsidR="00124696" w:rsidRPr="00124696">
        <w:rPr>
          <w:rFonts w:ascii="Open Sans" w:hAnsi="Open Sans" w:cs="Open Sans"/>
          <w:iCs/>
        </w:rPr>
        <w:t xml:space="preserve">– g. n. </w:t>
      </w:r>
      <w:r w:rsidR="00124696" w:rsidRPr="00124696">
        <w:rPr>
          <w:rFonts w:ascii="Open Sans" w:hAnsi="Open Sans" w:cs="Open Sans"/>
          <w:bCs/>
        </w:rPr>
        <w:t>Aditem-se as disciplinas do art.</w:t>
      </w:r>
      <w:proofErr w:type="gramEnd"/>
      <w:r w:rsidR="00124696" w:rsidRPr="00124696">
        <w:rPr>
          <w:rFonts w:ascii="Open Sans" w:hAnsi="Open Sans" w:cs="Open Sans"/>
          <w:bCs/>
        </w:rPr>
        <w:t xml:space="preserve"> 10 da Lei nº 1.060/50 e do art. </w:t>
      </w:r>
      <w:proofErr w:type="gramStart"/>
      <w:r w:rsidR="00124696" w:rsidRPr="00124696">
        <w:rPr>
          <w:rFonts w:ascii="Open Sans" w:hAnsi="Open Sans" w:cs="Open Sans"/>
          <w:bCs/>
        </w:rPr>
        <w:t>14, § 1º, da Lei nº 5.584/70.</w:t>
      </w:r>
      <w:proofErr w:type="gramEnd"/>
      <w:r w:rsidR="00124696" w:rsidRPr="00124696">
        <w:rPr>
          <w:rFonts w:ascii="Open Sans" w:hAnsi="Open Sans" w:cs="Open Sans"/>
          <w:bCs/>
        </w:rPr>
        <w:t xml:space="preserve"> </w:t>
      </w:r>
      <w:proofErr w:type="gramStart"/>
      <w:r w:rsidR="00124696" w:rsidRPr="00124696">
        <w:rPr>
          <w:rFonts w:ascii="Open Sans" w:hAnsi="Open Sans" w:cs="Open Sans"/>
          <w:bCs/>
        </w:rPr>
        <w:t>Os arts.</w:t>
      </w:r>
      <w:proofErr w:type="gramEnd"/>
      <w:r w:rsidR="00124696" w:rsidRPr="00124696">
        <w:rPr>
          <w:rFonts w:ascii="Open Sans" w:hAnsi="Open Sans" w:cs="Open Sans"/>
          <w:bCs/>
        </w:rPr>
        <w:t xml:space="preserve"> </w:t>
      </w:r>
      <w:proofErr w:type="gramStart"/>
      <w:r w:rsidR="00124696" w:rsidRPr="00124696">
        <w:rPr>
          <w:rFonts w:ascii="Open Sans" w:hAnsi="Open Sans" w:cs="Open Sans"/>
          <w:bCs/>
        </w:rPr>
        <w:t xml:space="preserve">790, § 3º, da CLT, 10 da Lei nº 1.060/50 e 14, § 1º, da Lei nº 5.584/70, direcionam a gratuidade de justiça, claramente, às pessoas </w:t>
      </w:r>
      <w:r w:rsidR="00124696" w:rsidRPr="00124696">
        <w:rPr>
          <w:rFonts w:ascii="Open Sans" w:hAnsi="Open Sans" w:cs="Open Sans"/>
          <w:bCs/>
        </w:rPr>
        <w:lastRenderedPageBreak/>
        <w:t>físicas.</w:t>
      </w:r>
      <w:proofErr w:type="gramEnd"/>
      <w:r w:rsidR="00124696" w:rsidRPr="00124696">
        <w:rPr>
          <w:rFonts w:ascii="Open Sans" w:hAnsi="Open Sans" w:cs="Open Sans"/>
          <w:bCs/>
        </w:rPr>
        <w:t xml:space="preserve"> Não há dúvidas, no entanto, de que a jurisprudência, em casos especiais e desde que efetivamente demonstrada a fragilidade de suas finanças, tem-na estendido às pessoas jurídicas. </w:t>
      </w:r>
      <w:proofErr w:type="gramStart"/>
      <w:r w:rsidR="00124696" w:rsidRPr="00124696">
        <w:rPr>
          <w:rFonts w:ascii="Open Sans" w:hAnsi="Open Sans" w:cs="Open Sans"/>
          <w:bCs/>
        </w:rPr>
        <w:t>A concessão de assistência judiciária aos sindicatos encontra óbvias restrições no ordenamento jurídico.</w:t>
      </w:r>
      <w:proofErr w:type="gramEnd"/>
      <w:r w:rsidR="00124696" w:rsidRPr="00124696">
        <w:rPr>
          <w:rFonts w:ascii="Open Sans" w:hAnsi="Open Sans" w:cs="Open Sans"/>
          <w:bCs/>
        </w:rPr>
        <w:t xml:space="preserve"> Neste estado de coisas, a concessão de gratuidade de justiça aos sindicatos dependeria, na melhor das hipóteses, de demonstração de franca impossibilidade de arcar com a responsabilidade legal, o que não restou configurado nos presentes autos (óbice da Súmula 126 do TST). </w:t>
      </w:r>
      <w:proofErr w:type="gramStart"/>
      <w:r w:rsidR="00124696" w:rsidRPr="00124696">
        <w:rPr>
          <w:rFonts w:ascii="Open Sans" w:hAnsi="Open Sans" w:cs="Open Sans"/>
          <w:bCs/>
        </w:rPr>
        <w:t>Portanto, não é devido o referido benefício.</w:t>
      </w:r>
      <w:proofErr w:type="gramEnd"/>
      <w:r w:rsidR="00124696" w:rsidRPr="00124696">
        <w:rPr>
          <w:rFonts w:ascii="Open Sans" w:hAnsi="Open Sans" w:cs="Open Sans"/>
          <w:bCs/>
        </w:rPr>
        <w:t xml:space="preserve"> </w:t>
      </w:r>
      <w:proofErr w:type="gramStart"/>
      <w:r w:rsidR="00124696" w:rsidRPr="00124696">
        <w:rPr>
          <w:rFonts w:ascii="Open Sans" w:hAnsi="Open Sans" w:cs="Open Sans"/>
          <w:bCs/>
        </w:rPr>
        <w:t>Julgados.</w:t>
      </w:r>
      <w:proofErr w:type="gramEnd"/>
      <w:r w:rsidR="00124696" w:rsidRPr="00124696">
        <w:rPr>
          <w:rFonts w:ascii="Open Sans" w:hAnsi="Open Sans" w:cs="Open Sans"/>
          <w:bCs/>
        </w:rPr>
        <w:t xml:space="preserve"> </w:t>
      </w:r>
      <w:proofErr w:type="gramStart"/>
      <w:r w:rsidR="00124696" w:rsidRPr="00124696">
        <w:rPr>
          <w:rFonts w:ascii="Open Sans" w:hAnsi="Open Sans" w:cs="Open Sans"/>
        </w:rPr>
        <w:t>Recurso de revista não conhecido.</w:t>
      </w:r>
      <w:proofErr w:type="gramEnd"/>
      <w:r w:rsidR="00124696" w:rsidRPr="00124696">
        <w:rPr>
          <w:rFonts w:ascii="Open Sans" w:hAnsi="Open Sans" w:cs="Open Sans"/>
        </w:rPr>
        <w:t xml:space="preserve"> </w:t>
      </w:r>
      <w:proofErr w:type="gramStart"/>
      <w:r w:rsidR="00124696" w:rsidRPr="00124696">
        <w:rPr>
          <w:rFonts w:ascii="Open Sans" w:hAnsi="Open Sans" w:cs="Open Sans"/>
        </w:rPr>
        <w:t>SINDICATO.</w:t>
      </w:r>
      <w:proofErr w:type="gramEnd"/>
      <w:r w:rsidR="00124696" w:rsidRPr="00124696">
        <w:rPr>
          <w:rFonts w:ascii="Open Sans" w:hAnsi="Open Sans" w:cs="Open Sans"/>
        </w:rPr>
        <w:t xml:space="preserve"> AÇÃO COLETIVA. </w:t>
      </w:r>
      <w:proofErr w:type="gramStart"/>
      <w:r w:rsidR="00124696" w:rsidRPr="00124696">
        <w:rPr>
          <w:rFonts w:ascii="Open Sans" w:hAnsi="Open Sans" w:cs="Open Sans"/>
        </w:rPr>
        <w:t>NÃO COMPROVAÇÃO DE MÁ-FÉ.</w:t>
      </w:r>
      <w:proofErr w:type="gramEnd"/>
      <w:r w:rsidR="00124696" w:rsidRPr="00124696">
        <w:rPr>
          <w:rFonts w:ascii="Open Sans" w:hAnsi="Open Sans" w:cs="Open Sans"/>
        </w:rPr>
        <w:t xml:space="preserve"> CONDENAÇÃO AO PAGAMENTO DE HONORÁRIOS ADVOCATÍCIOS INDEVIDA. A ação coletiva é regida primordialmente pela Lei da Ação Civil Pública e o Código de Defesa do Consumidor, em especial o disposto nos artigos 87 do CDC e 18 da referida lei, sendo aplicadas as disposições do CPC somente de forma subsidiária. Nesse contexto, sendo sucumbente o sindicato que atua </w:t>
      </w:r>
      <w:proofErr w:type="gramStart"/>
      <w:r w:rsidR="00124696" w:rsidRPr="00124696">
        <w:rPr>
          <w:rFonts w:ascii="Open Sans" w:hAnsi="Open Sans" w:cs="Open Sans"/>
        </w:rPr>
        <w:t>como</w:t>
      </w:r>
      <w:proofErr w:type="gramEnd"/>
      <w:r w:rsidR="00124696" w:rsidRPr="00124696">
        <w:rPr>
          <w:rFonts w:ascii="Open Sans" w:hAnsi="Open Sans" w:cs="Open Sans"/>
        </w:rPr>
        <w:t xml:space="preserve"> substituto processual em ação coletiva, salvo comprovada má-fé, não é devida a condenação em custas ou honorários advocatícios. </w:t>
      </w:r>
      <w:proofErr w:type="gramStart"/>
      <w:r w:rsidR="00124696" w:rsidRPr="00124696">
        <w:rPr>
          <w:rFonts w:ascii="Open Sans" w:hAnsi="Open Sans" w:cs="Open Sans"/>
        </w:rPr>
        <w:t>A disposição legal nesse sentido visa inclusive a resguardar o sindicato em sua atuação em prol dos interesses da coletividade que representa, de forma a dar efetividade ao art.</w:t>
      </w:r>
      <w:proofErr w:type="gramEnd"/>
      <w:r w:rsidR="00124696" w:rsidRPr="00124696">
        <w:rPr>
          <w:rFonts w:ascii="Open Sans" w:hAnsi="Open Sans" w:cs="Open Sans"/>
        </w:rPr>
        <w:t xml:space="preserve"> </w:t>
      </w:r>
      <w:proofErr w:type="gramStart"/>
      <w:r w:rsidR="00124696" w:rsidRPr="00124696">
        <w:rPr>
          <w:rFonts w:ascii="Open Sans" w:hAnsi="Open Sans" w:cs="Open Sans"/>
        </w:rPr>
        <w:t>8º, III, da Constituição Federal.</w:t>
      </w:r>
      <w:proofErr w:type="gramEnd"/>
      <w:r w:rsidR="00124696" w:rsidRPr="00124696">
        <w:rPr>
          <w:rFonts w:ascii="Open Sans" w:hAnsi="Open Sans" w:cs="Open Sans"/>
        </w:rPr>
        <w:t xml:space="preserve"> Não havendo registro, pela leitura do acórdão regional, de que tenha sido constatada má-fé por parte do Sindicato, indevida a condenação ao pagamento de honorários advocatícios. </w:t>
      </w:r>
      <w:proofErr w:type="gramStart"/>
      <w:r w:rsidR="00124696" w:rsidRPr="00124696">
        <w:rPr>
          <w:rFonts w:ascii="Open Sans" w:hAnsi="Open Sans" w:cs="Open Sans"/>
          <w:bCs/>
        </w:rPr>
        <w:t>Recurso de revista conhecido e provido."</w:t>
      </w:r>
      <w:proofErr w:type="gramEnd"/>
      <w:r w:rsidR="00124696" w:rsidRPr="00124696">
        <w:rPr>
          <w:rFonts w:ascii="Open Sans" w:hAnsi="Open Sans" w:cs="Open Sans"/>
          <w:bCs/>
        </w:rPr>
        <w:t xml:space="preserve"> (</w:t>
      </w:r>
      <w:hyperlink r:id="rId19" w:history="1">
        <w:r w:rsidR="00C1469A">
          <w:rPr>
            <w:rStyle w:val="Hyperlink"/>
            <w:rFonts w:ascii="Open Sans" w:hAnsi="Open Sans" w:cs="Open Sans"/>
          </w:rPr>
          <w:t>TST-RRAg-855-45.2018.5.06.0231, 3ª Turma, rel. Min. José Roberto Freire Pimenta, julgado em 20/3/2024</w:t>
        </w:r>
      </w:hyperlink>
      <w:r w:rsidR="00124696" w:rsidRPr="00124696">
        <w:rPr>
          <w:rFonts w:ascii="Open Sans" w:hAnsi="Open Sans" w:cs="Open Sans"/>
          <w:bCs/>
        </w:rPr>
        <w:t xml:space="preserve">) </w:t>
      </w:r>
    </w:p>
    <w:p w:rsidR="001D1821" w:rsidRDefault="001D1821" w:rsidP="002D05F7">
      <w:pPr>
        <w:pStyle w:val="Identificao"/>
        <w:widowControl w:val="0"/>
        <w:rPr>
          <w:rFonts w:ascii="Open Sans" w:hAnsi="Open Sans" w:cs="Open Sans"/>
          <w:lang w:val="pt-BR"/>
        </w:rPr>
      </w:pPr>
    </w:p>
    <w:p w:rsidR="000A31D8" w:rsidRPr="000A31D8" w:rsidRDefault="000A31D8" w:rsidP="000A31D8">
      <w:pPr>
        <w:pStyle w:val="Identificao"/>
        <w:widowControl w:val="0"/>
        <w:rPr>
          <w:rFonts w:ascii="Open Sans" w:hAnsi="Open Sans" w:cs="Open Sans"/>
        </w:rPr>
      </w:pPr>
      <w:proofErr w:type="gramStart"/>
      <w:r w:rsidRPr="000A31D8">
        <w:rPr>
          <w:rFonts w:ascii="Open Sans" w:hAnsi="Open Sans" w:cs="Open Sans"/>
          <w:bCs/>
        </w:rPr>
        <w:t>“AGRAVO.</w:t>
      </w:r>
      <w:proofErr w:type="gramEnd"/>
      <w:r w:rsidRPr="000A31D8">
        <w:rPr>
          <w:rFonts w:ascii="Open Sans" w:hAnsi="Open Sans" w:cs="Open Sans"/>
          <w:bCs/>
        </w:rPr>
        <w:t xml:space="preserve"> AGRAVO DE INSTRUMENTO EM RECURSO DE REVISTA. </w:t>
      </w:r>
      <w:proofErr w:type="gramStart"/>
      <w:r w:rsidRPr="000A31D8">
        <w:rPr>
          <w:rFonts w:ascii="Open Sans" w:hAnsi="Open Sans" w:cs="Open Sans"/>
          <w:bCs/>
        </w:rPr>
        <w:t>REGIDO PELA LEI 13.467/2017.</w:t>
      </w:r>
      <w:proofErr w:type="gramEnd"/>
      <w:r w:rsidRPr="000A31D8">
        <w:rPr>
          <w:rFonts w:ascii="Open Sans" w:hAnsi="Open Sans" w:cs="Open Sans"/>
          <w:bCs/>
        </w:rPr>
        <w:t xml:space="preserve"> </w:t>
      </w:r>
      <w:proofErr w:type="gramStart"/>
      <w:r w:rsidRPr="000A31D8">
        <w:rPr>
          <w:rFonts w:ascii="Open Sans" w:hAnsi="Open Sans" w:cs="Open Sans"/>
          <w:bCs/>
        </w:rPr>
        <w:t>ENQUADRAMENTO SINDICAL.</w:t>
      </w:r>
      <w:proofErr w:type="gramEnd"/>
      <w:r w:rsidRPr="000A31D8">
        <w:rPr>
          <w:rFonts w:ascii="Open Sans" w:hAnsi="Open Sans" w:cs="Open Sans"/>
          <w:bCs/>
        </w:rPr>
        <w:t xml:space="preserve"> </w:t>
      </w:r>
      <w:proofErr w:type="gramStart"/>
      <w:r w:rsidRPr="000A31D8">
        <w:rPr>
          <w:rFonts w:ascii="Open Sans" w:hAnsi="Open Sans" w:cs="Open Sans"/>
          <w:bCs/>
        </w:rPr>
        <w:t>MOTORISTA.</w:t>
      </w:r>
      <w:proofErr w:type="gramEnd"/>
      <w:r w:rsidRPr="000A31D8">
        <w:rPr>
          <w:rFonts w:ascii="Open Sans" w:hAnsi="Open Sans" w:cs="Open Sans"/>
          <w:bCs/>
        </w:rPr>
        <w:t xml:space="preserve"> </w:t>
      </w:r>
      <w:proofErr w:type="gramStart"/>
      <w:r w:rsidRPr="000A31D8">
        <w:rPr>
          <w:rFonts w:ascii="Open Sans" w:hAnsi="Open Sans" w:cs="Open Sans"/>
          <w:bCs/>
        </w:rPr>
        <w:t>ATIVIDADE RURAL.</w:t>
      </w:r>
      <w:proofErr w:type="gramEnd"/>
      <w:r w:rsidRPr="000A31D8">
        <w:rPr>
          <w:rFonts w:ascii="Open Sans" w:hAnsi="Open Sans" w:cs="Open Sans"/>
          <w:bCs/>
        </w:rPr>
        <w:t xml:space="preserve"> ATIVIDADE PREPONDERANTE DA EMPREGADORA. Hipótese em que o Tribunal Regional entendeu que os empregados motoristas e operadores de máquinas florestais que laboram diretamente </w:t>
      </w:r>
      <w:proofErr w:type="gramStart"/>
      <w:r w:rsidRPr="000A31D8">
        <w:rPr>
          <w:rFonts w:ascii="Open Sans" w:hAnsi="Open Sans" w:cs="Open Sans"/>
          <w:bCs/>
        </w:rPr>
        <w:t>na</w:t>
      </w:r>
      <w:proofErr w:type="gramEnd"/>
      <w:r w:rsidRPr="000A31D8">
        <w:rPr>
          <w:rFonts w:ascii="Open Sans" w:hAnsi="Open Sans" w:cs="Open Sans"/>
          <w:bCs/>
        </w:rPr>
        <w:t xml:space="preserve"> extração de madeira no campo e efetuam o seu transporte por estradas vicinais e rodovias locais, até o depósito (pátio de madeira), submetem-se às normas coletivas atinentes à atividade econômica desenvolvida pela empresa Reclamada. Extrai-se da sentença transcrita no acórdão Regional que os trabalhadores, embora motoristas, não exerciam atividades típicas de empregados urbanos, sobretudo porque a Reclamada atuava no desempenho de serviços de apoio à atividade rural. Após o cancelamento das Orientações Jurisprudenciais 315 e 419 da SbDI-1, esta Corte Superior tem entendido que o enquadramento sindical deve ser apreciado a partir do caso concreto, sendo necessário analisar </w:t>
      </w:r>
      <w:proofErr w:type="gramStart"/>
      <w:r w:rsidRPr="000A31D8">
        <w:rPr>
          <w:rFonts w:ascii="Open Sans" w:hAnsi="Open Sans" w:cs="Open Sans"/>
          <w:bCs/>
        </w:rPr>
        <w:t>a</w:t>
      </w:r>
      <w:proofErr w:type="gramEnd"/>
      <w:r w:rsidRPr="000A31D8">
        <w:rPr>
          <w:rFonts w:ascii="Open Sans" w:hAnsi="Open Sans" w:cs="Open Sans"/>
          <w:bCs/>
        </w:rPr>
        <w:t xml:space="preserve"> atividade desempenhada pelo empregado. Desse modo, constatado que os empregados da empresa Reclamada, ainda que na condição de motoristas, prestavam serviço de apoio à atividade rural, não há como equipará-los ao exercício de transporte rodoviário de cargas e passageiros, sendo, portanto, correto o enquadramento sindical à atividade econômica preponderante da empresa </w:t>
      </w:r>
      <w:r w:rsidRPr="000A31D8">
        <w:rPr>
          <w:rFonts w:ascii="Open Sans" w:hAnsi="Open Sans" w:cs="Open Sans"/>
          <w:bCs/>
        </w:rPr>
        <w:lastRenderedPageBreak/>
        <w:t xml:space="preserve">Reclamada. </w:t>
      </w:r>
      <w:proofErr w:type="gramStart"/>
      <w:r w:rsidRPr="000A31D8">
        <w:rPr>
          <w:rFonts w:ascii="Open Sans" w:hAnsi="Open Sans" w:cs="Open Sans"/>
          <w:bCs/>
        </w:rPr>
        <w:t>Agravo não provido, com acréscimo de fundamentação.”</w:t>
      </w:r>
      <w:proofErr w:type="gramEnd"/>
      <w:r w:rsidRPr="000A31D8">
        <w:rPr>
          <w:rFonts w:ascii="Open Sans" w:hAnsi="Open Sans" w:cs="Open Sans"/>
          <w:bCs/>
        </w:rPr>
        <w:t xml:space="preserve"> </w:t>
      </w:r>
      <w:r w:rsidRPr="000A31D8">
        <w:rPr>
          <w:rFonts w:ascii="Open Sans" w:hAnsi="Open Sans" w:cs="Open Sans"/>
        </w:rPr>
        <w:t>(</w:t>
      </w:r>
      <w:hyperlink r:id="rId20" w:history="1">
        <w:r w:rsidRPr="000A31D8">
          <w:rPr>
            <w:rStyle w:val="Hyperlink"/>
            <w:rFonts w:ascii="Open Sans" w:hAnsi="Open Sans" w:cs="Open Sans"/>
          </w:rPr>
          <w:t xml:space="preserve">TST- Ag-AIRR-268-14.2017.5.09.0671, 5ª Turma, rel. </w:t>
        </w:r>
        <w:r w:rsidR="0063729A">
          <w:rPr>
            <w:rStyle w:val="Hyperlink"/>
            <w:rFonts w:ascii="Open Sans" w:hAnsi="Open Sans" w:cs="Open Sans"/>
          </w:rPr>
          <w:t xml:space="preserve">Min. </w:t>
        </w:r>
        <w:r w:rsidRPr="000A31D8">
          <w:rPr>
            <w:rStyle w:val="Hyperlink"/>
            <w:rFonts w:ascii="Open Sans" w:hAnsi="Open Sans" w:cs="Open Sans"/>
          </w:rPr>
          <w:t>Douglas Alencar Rodrigues, julgado em 3/4/2024</w:t>
        </w:r>
      </w:hyperlink>
      <w:r w:rsidRPr="000A31D8">
        <w:rPr>
          <w:rFonts w:ascii="Open Sans" w:hAnsi="Open Sans" w:cs="Open Sans"/>
        </w:rPr>
        <w:t xml:space="preserve">) </w:t>
      </w:r>
    </w:p>
    <w:p w:rsidR="00124696" w:rsidRDefault="00124696" w:rsidP="002D05F7">
      <w:pPr>
        <w:pStyle w:val="Identificao"/>
        <w:widowControl w:val="0"/>
        <w:rPr>
          <w:rFonts w:ascii="Open Sans" w:hAnsi="Open Sans" w:cs="Open Sans"/>
          <w:lang w:val="pt-BR"/>
        </w:rPr>
      </w:pPr>
    </w:p>
    <w:p w:rsidR="000A31D8" w:rsidRDefault="000A31D8" w:rsidP="002D05F7">
      <w:pPr>
        <w:pStyle w:val="Identificao"/>
        <w:widowControl w:val="0"/>
        <w:rPr>
          <w:rFonts w:ascii="Open Sans" w:hAnsi="Open Sans" w:cs="Open Sans"/>
          <w:b/>
          <w:color w:val="FF0000"/>
        </w:rPr>
      </w:pPr>
      <w:proofErr w:type="gramStart"/>
      <w:r w:rsidRPr="000A31D8">
        <w:rPr>
          <w:rFonts w:ascii="Open Sans" w:hAnsi="Open Sans" w:cs="Open Sans"/>
          <w:bCs/>
        </w:rPr>
        <w:t>“AGRAVO.</w:t>
      </w:r>
      <w:proofErr w:type="gramEnd"/>
      <w:r w:rsidRPr="000A31D8">
        <w:rPr>
          <w:rFonts w:ascii="Open Sans" w:hAnsi="Open Sans" w:cs="Open Sans"/>
          <w:bCs/>
        </w:rPr>
        <w:t xml:space="preserve"> AGRAVO DE INSTRUMENTO EM RECURSO DE REVISTA. </w:t>
      </w:r>
      <w:proofErr w:type="gramStart"/>
      <w:r w:rsidRPr="000A31D8">
        <w:rPr>
          <w:rFonts w:ascii="Open Sans" w:hAnsi="Open Sans" w:cs="Open Sans"/>
          <w:bCs/>
        </w:rPr>
        <w:t>REGIDO PELA LEI 13.467/2017.</w:t>
      </w:r>
      <w:proofErr w:type="gramEnd"/>
      <w:r w:rsidRPr="000A31D8">
        <w:rPr>
          <w:rFonts w:ascii="Open Sans" w:hAnsi="Open Sans" w:cs="Open Sans"/>
          <w:bCs/>
        </w:rPr>
        <w:t xml:space="preserve"> MANUTENÇÃO DO VALE-CULTURA. CONTRATO DE TRABALHO FIRMADO ANTES DA LEI 13.767/17. INTEGRAÇÃO AO PATRIMÔNIO JURÍDICO </w:t>
      </w:r>
      <w:proofErr w:type="gramStart"/>
      <w:r w:rsidRPr="000A31D8">
        <w:rPr>
          <w:rFonts w:ascii="Open Sans" w:hAnsi="Open Sans" w:cs="Open Sans"/>
          <w:bCs/>
        </w:rPr>
        <w:t>DO</w:t>
      </w:r>
      <w:proofErr w:type="gramEnd"/>
      <w:r w:rsidRPr="000A31D8">
        <w:rPr>
          <w:rFonts w:ascii="Open Sans" w:hAnsi="Open Sans" w:cs="Open Sans"/>
          <w:bCs/>
        </w:rPr>
        <w:t xml:space="preserve"> EMPREGADO. AQUISIÇÃO DO DIREITO EM DECORRÊNCIA DE PREVISÃO EM NORMA REGULAMENTAR. </w:t>
      </w:r>
      <w:proofErr w:type="gramStart"/>
      <w:r w:rsidRPr="000A31D8">
        <w:rPr>
          <w:rFonts w:ascii="Open Sans" w:hAnsi="Open Sans" w:cs="Open Sans"/>
          <w:bCs/>
        </w:rPr>
        <w:t>REVOGAÇÃO.</w:t>
      </w:r>
      <w:proofErr w:type="gramEnd"/>
      <w:r w:rsidRPr="000A31D8">
        <w:rPr>
          <w:rFonts w:ascii="Open Sans" w:hAnsi="Open Sans" w:cs="Open Sans"/>
          <w:bCs/>
        </w:rPr>
        <w:t xml:space="preserve"> ART. </w:t>
      </w:r>
      <w:proofErr w:type="gramStart"/>
      <w:r w:rsidRPr="000A31D8">
        <w:rPr>
          <w:rFonts w:ascii="Open Sans" w:hAnsi="Open Sans" w:cs="Open Sans"/>
          <w:bCs/>
        </w:rPr>
        <w:t>468 DA CLT.</w:t>
      </w:r>
      <w:proofErr w:type="gramEnd"/>
      <w:r w:rsidRPr="000A31D8">
        <w:rPr>
          <w:rFonts w:ascii="Open Sans" w:hAnsi="Open Sans" w:cs="Open Sans"/>
          <w:bCs/>
        </w:rPr>
        <w:t xml:space="preserve"> SÚMULA 51, I, DO TST. </w:t>
      </w:r>
      <w:proofErr w:type="gramStart"/>
      <w:r w:rsidRPr="000A31D8">
        <w:rPr>
          <w:rFonts w:ascii="Open Sans" w:hAnsi="Open Sans" w:cs="Open Sans"/>
          <w:bCs/>
        </w:rPr>
        <w:t>TRANSCENDÊNCIA NÃO RECONHECIDA NA DECISÃO AGRAVADA.</w:t>
      </w:r>
      <w:proofErr w:type="gramEnd"/>
      <w:r w:rsidRPr="000A31D8">
        <w:rPr>
          <w:rFonts w:ascii="Open Sans" w:hAnsi="Open Sans" w:cs="Open Sans"/>
          <w:bCs/>
        </w:rPr>
        <w:t xml:space="preserve"> 1. Cinge-se a controvérsia em verificar se o empregado público teria o dir</w:t>
      </w:r>
      <w:r w:rsidR="00DD481A">
        <w:rPr>
          <w:rFonts w:ascii="Open Sans" w:hAnsi="Open Sans" w:cs="Open Sans"/>
          <w:bCs/>
        </w:rPr>
        <w:t>eito à manutenção do benefício ‘</w:t>
      </w:r>
      <w:r w:rsidRPr="000A31D8">
        <w:rPr>
          <w:rFonts w:ascii="Open Sans" w:hAnsi="Open Sans" w:cs="Open Sans"/>
          <w:bCs/>
        </w:rPr>
        <w:t>Vale-Cultura</w:t>
      </w:r>
      <w:r w:rsidR="00DD481A">
        <w:rPr>
          <w:rFonts w:ascii="Open Sans" w:hAnsi="Open Sans" w:cs="Open Sans"/>
          <w:bCs/>
        </w:rPr>
        <w:t>’</w:t>
      </w:r>
      <w:r w:rsidRPr="000A31D8">
        <w:rPr>
          <w:rFonts w:ascii="Open Sans" w:hAnsi="Open Sans" w:cs="Open Sans"/>
          <w:bCs/>
        </w:rPr>
        <w:t xml:space="preserve">, tendo em vista a revogação da parcela por sentença normativa proferida no DCG nº 1001203-57.2020.5.00.0000. 2. A CLT, em seu artigo 468, </w:t>
      </w:r>
      <w:proofErr w:type="gramStart"/>
      <w:r w:rsidRPr="000A31D8">
        <w:rPr>
          <w:rFonts w:ascii="Open Sans" w:hAnsi="Open Sans" w:cs="Open Sans"/>
          <w:bCs/>
        </w:rPr>
        <w:t>veda</w:t>
      </w:r>
      <w:proofErr w:type="gramEnd"/>
      <w:r w:rsidRPr="000A31D8">
        <w:rPr>
          <w:rFonts w:ascii="Open Sans" w:hAnsi="Open Sans" w:cs="Open Sans"/>
          <w:bCs/>
        </w:rPr>
        <w:t xml:space="preserve"> a alterações dos contratos individuais de trabalho que resultem em prejuízo ao empregado. </w:t>
      </w:r>
      <w:proofErr w:type="gramStart"/>
      <w:r w:rsidRPr="000A31D8">
        <w:rPr>
          <w:rFonts w:ascii="Open Sans" w:hAnsi="Open Sans" w:cs="Open Sans"/>
          <w:bCs/>
        </w:rPr>
        <w:t>Nesse mesmo sentido foi editada a Súmula 51/TST.</w:t>
      </w:r>
      <w:proofErr w:type="gramEnd"/>
      <w:r w:rsidRPr="000A31D8">
        <w:rPr>
          <w:rFonts w:ascii="Open Sans" w:hAnsi="Open Sans" w:cs="Open Sans"/>
          <w:bCs/>
        </w:rPr>
        <w:t xml:space="preserve"> 3. No caso dos autos, o Tribunal Regional, soberano na análise do conjunto fático-probatório, registrou expressamente que </w:t>
      </w:r>
      <w:r w:rsidR="00DD481A">
        <w:rPr>
          <w:rFonts w:ascii="Open Sans" w:hAnsi="Open Sans" w:cs="Open Sans"/>
          <w:bCs/>
        </w:rPr>
        <w:t>‘</w:t>
      </w:r>
      <w:r w:rsidRPr="000A31D8">
        <w:rPr>
          <w:rFonts w:ascii="Open Sans" w:hAnsi="Open Sans" w:cs="Open Sans"/>
          <w:bCs/>
        </w:rPr>
        <w:t>o pleito exordial formulado pelo Sindicato autor nesta ação civil pública não vem sustentado em norma convencional, ou em sentença normativa, vindo a causa de pedir fulcrada na alegação de que o benefício do vale-cultura está previsto em norma regulamentar da empregadora, no caso, o Manual de Pessoal, MANPES - Módulo 01, Capítulo 002, Anexo 28</w:t>
      </w:r>
      <w:r w:rsidR="00DD481A">
        <w:rPr>
          <w:rFonts w:ascii="Open Sans" w:hAnsi="Open Sans" w:cs="Open Sans"/>
          <w:bCs/>
        </w:rPr>
        <w:t>’</w:t>
      </w:r>
      <w:r w:rsidRPr="000A31D8">
        <w:rPr>
          <w:rFonts w:ascii="Open Sans" w:hAnsi="Open Sans" w:cs="Open Sans"/>
          <w:bCs/>
        </w:rPr>
        <w:t>. A Corte Regional consig</w:t>
      </w:r>
      <w:r w:rsidR="004E08EE">
        <w:rPr>
          <w:rFonts w:ascii="Open Sans" w:hAnsi="Open Sans" w:cs="Open Sans"/>
          <w:bCs/>
        </w:rPr>
        <w:t>nou, ainda, que ‘</w:t>
      </w:r>
      <w:r w:rsidRPr="000A31D8">
        <w:rPr>
          <w:rFonts w:ascii="Open Sans" w:hAnsi="Open Sans" w:cs="Open Sans"/>
          <w:bCs/>
        </w:rPr>
        <w:t>consta do regulamento empresarial que a periodicidade da concessão do benefício seria ‘Permanente’, razão pela qual resta infirmada a tese da defesa de que a destinação do vale estaria atrelada à existência de ACT a prevê-lo.</w:t>
      </w:r>
      <w:r w:rsidR="004E08EE">
        <w:rPr>
          <w:rFonts w:ascii="Open Sans" w:hAnsi="Open Sans" w:cs="Open Sans"/>
          <w:bCs/>
        </w:rPr>
        <w:t>’</w:t>
      </w:r>
      <w:r w:rsidRPr="000A31D8">
        <w:rPr>
          <w:rFonts w:ascii="Open Sans" w:hAnsi="Open Sans" w:cs="Open Sans"/>
          <w:bCs/>
        </w:rPr>
        <w:t xml:space="preserve">. Nesse cenário, a revogação do benefício não poderia alcançar os trabalhadores anteriormente admitidos que já haviam preenchido os requisitos para obtenção da vantagem, ante os termos do art. 468 da CLT e da Súmula 51, I, do </w:t>
      </w:r>
      <w:proofErr w:type="gramStart"/>
      <w:r w:rsidRPr="000A31D8">
        <w:rPr>
          <w:rFonts w:ascii="Open Sans" w:hAnsi="Open Sans" w:cs="Open Sans"/>
          <w:bCs/>
        </w:rPr>
        <w:t>TST,</w:t>
      </w:r>
      <w:proofErr w:type="gramEnd"/>
      <w:r w:rsidRPr="000A31D8">
        <w:rPr>
          <w:rFonts w:ascii="Open Sans" w:hAnsi="Open Sans" w:cs="Open Sans"/>
          <w:bCs/>
        </w:rPr>
        <w:t xml:space="preserve"> sob pena de se configurar alteração contratual lesiva. Assim, nos termos em que proferido, o acórdão regional está em conformidade com a Súmula 51, I, do TST, sendo inviável o processamento do recurso de revista. </w:t>
      </w:r>
      <w:proofErr w:type="gramStart"/>
      <w:r w:rsidRPr="000A31D8">
        <w:rPr>
          <w:rFonts w:ascii="Open Sans" w:hAnsi="Open Sans" w:cs="Open Sans"/>
          <w:bCs/>
        </w:rPr>
        <w:t>Julgados.</w:t>
      </w:r>
      <w:proofErr w:type="gramEnd"/>
      <w:r w:rsidRPr="000A31D8">
        <w:rPr>
          <w:rFonts w:ascii="Open Sans" w:hAnsi="Open Sans" w:cs="Open Sans"/>
          <w:bCs/>
        </w:rPr>
        <w:t xml:space="preserve"> </w:t>
      </w:r>
      <w:proofErr w:type="gramStart"/>
      <w:r w:rsidRPr="000A31D8">
        <w:rPr>
          <w:rFonts w:ascii="Open Sans" w:hAnsi="Open Sans" w:cs="Open Sans"/>
          <w:bCs/>
        </w:rPr>
        <w:t>Nesse contexto, ainda que por fundamento diverso, deve ser mantida a decisão agravada.</w:t>
      </w:r>
      <w:proofErr w:type="gramEnd"/>
      <w:r w:rsidRPr="000A31D8">
        <w:rPr>
          <w:rFonts w:ascii="Open Sans" w:hAnsi="Open Sans" w:cs="Open Sans"/>
          <w:bCs/>
        </w:rPr>
        <w:t xml:space="preserve"> </w:t>
      </w:r>
      <w:proofErr w:type="gramStart"/>
      <w:r w:rsidRPr="000A31D8">
        <w:rPr>
          <w:rFonts w:ascii="Open Sans" w:hAnsi="Open Sans" w:cs="Open Sans"/>
          <w:bCs/>
        </w:rPr>
        <w:t>Agravo não provido, com acréscimo de fundamentação.”</w:t>
      </w:r>
      <w:proofErr w:type="gramEnd"/>
      <w:r w:rsidRPr="000A31D8">
        <w:rPr>
          <w:rFonts w:ascii="Open Sans" w:hAnsi="Open Sans" w:cs="Open Sans"/>
          <w:bCs/>
        </w:rPr>
        <w:t xml:space="preserve"> </w:t>
      </w:r>
      <w:r w:rsidRPr="000A31D8">
        <w:rPr>
          <w:rFonts w:ascii="Open Sans" w:hAnsi="Open Sans" w:cs="Open Sans"/>
        </w:rPr>
        <w:t>(</w:t>
      </w:r>
      <w:hyperlink r:id="rId21" w:history="1">
        <w:r w:rsidRPr="000A31D8">
          <w:rPr>
            <w:rStyle w:val="Hyperlink"/>
            <w:rFonts w:ascii="Open Sans" w:hAnsi="Open Sans" w:cs="Open Sans"/>
          </w:rPr>
          <w:t xml:space="preserve">TST-Ag-AIRR-527-38.2021.5.10.0801, 5ª Turma, rel. </w:t>
        </w:r>
        <w:r w:rsidR="007648DC">
          <w:rPr>
            <w:rStyle w:val="Hyperlink"/>
            <w:rFonts w:ascii="Open Sans" w:hAnsi="Open Sans" w:cs="Open Sans"/>
          </w:rPr>
          <w:t xml:space="preserve">Min. </w:t>
        </w:r>
        <w:r w:rsidRPr="000A31D8">
          <w:rPr>
            <w:rStyle w:val="Hyperlink"/>
            <w:rFonts w:ascii="Open Sans" w:hAnsi="Open Sans" w:cs="Open Sans"/>
          </w:rPr>
          <w:t>Douglas Alencar Rodrigues, julgado em 3/4/2024</w:t>
        </w:r>
      </w:hyperlink>
      <w:r w:rsidRPr="000A31D8">
        <w:rPr>
          <w:rFonts w:ascii="Open Sans" w:hAnsi="Open Sans" w:cs="Open Sans"/>
        </w:rPr>
        <w:t xml:space="preserve">) </w:t>
      </w:r>
    </w:p>
    <w:p w:rsidR="006371D2" w:rsidRDefault="006371D2" w:rsidP="002D05F7">
      <w:pPr>
        <w:pStyle w:val="Identificao"/>
        <w:widowControl w:val="0"/>
        <w:rPr>
          <w:rFonts w:ascii="Open Sans" w:hAnsi="Open Sans" w:cs="Open Sans"/>
          <w:lang w:val="pt-BR"/>
        </w:rPr>
      </w:pPr>
    </w:p>
    <w:p w:rsidR="000A31D8" w:rsidRDefault="000A31D8" w:rsidP="002D05F7">
      <w:pPr>
        <w:pStyle w:val="Identificao"/>
        <w:widowControl w:val="0"/>
        <w:rPr>
          <w:rFonts w:ascii="Open Sans" w:hAnsi="Open Sans" w:cs="Open Sans"/>
          <w:b/>
          <w:color w:val="FF0000"/>
        </w:rPr>
      </w:pPr>
      <w:r w:rsidRPr="000A31D8">
        <w:rPr>
          <w:rFonts w:ascii="Open Sans" w:hAnsi="Open Sans" w:cs="Open Sans"/>
          <w:bCs/>
        </w:rPr>
        <w:t xml:space="preserve">“AGRAVO EM RECURSO DE REVISTA. </w:t>
      </w:r>
      <w:proofErr w:type="gramStart"/>
      <w:r w:rsidRPr="000A31D8">
        <w:rPr>
          <w:rFonts w:ascii="Open Sans" w:hAnsi="Open Sans" w:cs="Open Sans"/>
          <w:bCs/>
        </w:rPr>
        <w:t>REGIDO PELA LEI 13.015/2014.</w:t>
      </w:r>
      <w:proofErr w:type="gramEnd"/>
      <w:r w:rsidRPr="000A31D8">
        <w:rPr>
          <w:rFonts w:ascii="Open Sans" w:hAnsi="Open Sans" w:cs="Open Sans"/>
          <w:bCs/>
        </w:rPr>
        <w:t xml:space="preserve"> </w:t>
      </w:r>
      <w:proofErr w:type="gramStart"/>
      <w:r w:rsidRPr="000A31D8">
        <w:rPr>
          <w:rFonts w:ascii="Open Sans" w:hAnsi="Open Sans" w:cs="Open Sans"/>
          <w:bCs/>
        </w:rPr>
        <w:t>ANUÊNIOS.</w:t>
      </w:r>
      <w:proofErr w:type="gramEnd"/>
      <w:r w:rsidRPr="000A31D8">
        <w:rPr>
          <w:rFonts w:ascii="Open Sans" w:hAnsi="Open Sans" w:cs="Open Sans"/>
          <w:bCs/>
        </w:rPr>
        <w:t xml:space="preserve"> NATUREZA JURÍDICA HÍBRIDA PREVISTA EM NORMA COLETIVA. </w:t>
      </w:r>
      <w:proofErr w:type="gramStart"/>
      <w:r w:rsidRPr="000A31D8">
        <w:rPr>
          <w:rFonts w:ascii="Open Sans" w:hAnsi="Open Sans" w:cs="Open Sans"/>
          <w:bCs/>
        </w:rPr>
        <w:t>VALIDADE.</w:t>
      </w:r>
      <w:proofErr w:type="gramEnd"/>
      <w:r w:rsidRPr="000A31D8">
        <w:rPr>
          <w:rFonts w:ascii="Open Sans" w:hAnsi="Open Sans" w:cs="Open Sans"/>
          <w:bCs/>
        </w:rPr>
        <w:t xml:space="preserve"> TEMA 1.046 DA TABELA DE REPERCUSSÃO GERAL DO STF. 1. Caso em que o Tribunal Regional reputou inválidas as </w:t>
      </w:r>
      <w:proofErr w:type="gramStart"/>
      <w:r w:rsidRPr="000A31D8">
        <w:rPr>
          <w:rFonts w:ascii="Open Sans" w:hAnsi="Open Sans" w:cs="Open Sans"/>
          <w:bCs/>
        </w:rPr>
        <w:t>normas</w:t>
      </w:r>
      <w:proofErr w:type="gramEnd"/>
      <w:r w:rsidRPr="000A31D8">
        <w:rPr>
          <w:rFonts w:ascii="Open Sans" w:hAnsi="Open Sans" w:cs="Open Sans"/>
          <w:bCs/>
        </w:rPr>
        <w:t xml:space="preserve"> coletivas, nas quais prevista</w:t>
      </w:r>
      <w:r w:rsidR="00326BEC">
        <w:rPr>
          <w:rFonts w:ascii="Open Sans" w:hAnsi="Open Sans" w:cs="Open Sans"/>
          <w:bCs/>
        </w:rPr>
        <w:t xml:space="preserve"> a natureza híbrida da parcela ‘</w:t>
      </w:r>
      <w:r w:rsidRPr="000A31D8">
        <w:rPr>
          <w:rFonts w:ascii="Open Sans" w:hAnsi="Open Sans" w:cs="Open Sans"/>
          <w:bCs/>
        </w:rPr>
        <w:t>anuênio</w:t>
      </w:r>
      <w:r w:rsidR="00326BEC">
        <w:rPr>
          <w:rFonts w:ascii="Open Sans" w:hAnsi="Open Sans" w:cs="Open Sans"/>
          <w:bCs/>
        </w:rPr>
        <w:t>’</w:t>
      </w:r>
      <w:r w:rsidRPr="000A31D8">
        <w:rPr>
          <w:rFonts w:ascii="Open Sans" w:hAnsi="Open Sans" w:cs="Open Sans"/>
          <w:bCs/>
        </w:rPr>
        <w:t xml:space="preserve">. </w:t>
      </w:r>
      <w:proofErr w:type="gramStart"/>
      <w:r w:rsidRPr="000A31D8">
        <w:rPr>
          <w:rFonts w:ascii="Open Sans" w:hAnsi="Open Sans" w:cs="Open Sans"/>
          <w:bCs/>
        </w:rPr>
        <w:t xml:space="preserve">Registrou que, </w:t>
      </w:r>
      <w:r w:rsidR="00326BEC">
        <w:rPr>
          <w:rFonts w:ascii="Open Sans" w:hAnsi="Open Sans" w:cs="Open Sans"/>
          <w:bCs/>
        </w:rPr>
        <w:t>‘</w:t>
      </w:r>
      <w:r w:rsidRPr="000A31D8">
        <w:rPr>
          <w:rFonts w:ascii="Open Sans" w:hAnsi="Open Sans" w:cs="Open Sans"/>
          <w:bCs/>
        </w:rPr>
        <w:t>desde 2012/2013, as normas estabelecem uma espécie de natureza remuneratória híbrida à parcela, integrando a base de cálculo de algumas parcelas apuradas com base na remuneração</w:t>
      </w:r>
      <w:r w:rsidR="00326BEC">
        <w:rPr>
          <w:rFonts w:ascii="Open Sans" w:hAnsi="Open Sans" w:cs="Open Sans"/>
          <w:bCs/>
        </w:rPr>
        <w:t>’</w:t>
      </w:r>
      <w:r w:rsidR="008C7713">
        <w:rPr>
          <w:rFonts w:ascii="Open Sans" w:hAnsi="Open Sans" w:cs="Open Sans"/>
          <w:bCs/>
        </w:rPr>
        <w:t>.</w:t>
      </w:r>
      <w:proofErr w:type="gramEnd"/>
      <w:r w:rsidR="008C7713">
        <w:rPr>
          <w:rFonts w:ascii="Open Sans" w:hAnsi="Open Sans" w:cs="Open Sans"/>
          <w:bCs/>
        </w:rPr>
        <w:t xml:space="preserve"> Consignou que ‘</w:t>
      </w:r>
      <w:r w:rsidRPr="000A31D8">
        <w:rPr>
          <w:rFonts w:ascii="Open Sans" w:hAnsi="Open Sans" w:cs="Open Sans"/>
          <w:bCs/>
        </w:rPr>
        <w:t xml:space="preserve">o regramento </w:t>
      </w:r>
      <w:r w:rsidRPr="000A31D8">
        <w:rPr>
          <w:rFonts w:ascii="Open Sans" w:hAnsi="Open Sans" w:cs="Open Sans"/>
          <w:bCs/>
        </w:rPr>
        <w:lastRenderedPageBreak/>
        <w:t xml:space="preserve">da </w:t>
      </w:r>
      <w:proofErr w:type="gramStart"/>
      <w:r w:rsidRPr="000A31D8">
        <w:rPr>
          <w:rFonts w:ascii="Open Sans" w:hAnsi="Open Sans" w:cs="Open Sans"/>
          <w:bCs/>
        </w:rPr>
        <w:t>norma</w:t>
      </w:r>
      <w:proofErr w:type="gramEnd"/>
      <w:r w:rsidRPr="000A31D8">
        <w:rPr>
          <w:rFonts w:ascii="Open Sans" w:hAnsi="Open Sans" w:cs="Open Sans"/>
          <w:bCs/>
        </w:rPr>
        <w:t xml:space="preserve"> coletiva pertinente aos anuênios da CEEE segue sistemática híbrida e conflitante: para alguns fins, não têm natureza salarial; para outros, têm</w:t>
      </w:r>
      <w:r w:rsidR="008C7713">
        <w:rPr>
          <w:rFonts w:ascii="Open Sans" w:hAnsi="Open Sans" w:cs="Open Sans"/>
          <w:bCs/>
        </w:rPr>
        <w:t>’</w:t>
      </w:r>
      <w:r w:rsidR="000367D9">
        <w:rPr>
          <w:rFonts w:ascii="Open Sans" w:hAnsi="Open Sans" w:cs="Open Sans"/>
          <w:bCs/>
        </w:rPr>
        <w:t xml:space="preserve">. </w:t>
      </w:r>
      <w:proofErr w:type="gramStart"/>
      <w:r w:rsidR="000367D9">
        <w:rPr>
          <w:rFonts w:ascii="Open Sans" w:hAnsi="Open Sans" w:cs="Open Sans"/>
          <w:bCs/>
        </w:rPr>
        <w:t>Concluiu que ‘</w:t>
      </w:r>
      <w:r w:rsidRPr="000A31D8">
        <w:rPr>
          <w:rFonts w:ascii="Open Sans" w:hAnsi="Open Sans" w:cs="Open Sans"/>
          <w:bCs/>
        </w:rPr>
        <w:t>esse conflito inviabiliza reputar eficaz a cláusula de exceção da natureza do anuênio.</w:t>
      </w:r>
      <w:proofErr w:type="gramEnd"/>
      <w:r w:rsidRPr="000A31D8">
        <w:rPr>
          <w:rFonts w:ascii="Open Sans" w:hAnsi="Open Sans" w:cs="Open Sans"/>
          <w:bCs/>
        </w:rPr>
        <w:t xml:space="preserve"> </w:t>
      </w:r>
      <w:proofErr w:type="gramStart"/>
      <w:r w:rsidRPr="000A31D8">
        <w:rPr>
          <w:rFonts w:ascii="Open Sans" w:hAnsi="Open Sans" w:cs="Open Sans"/>
          <w:bCs/>
        </w:rPr>
        <w:t>Ou ele é parcela indenizatória, ou é salarial.</w:t>
      </w:r>
      <w:proofErr w:type="gramEnd"/>
      <w:r w:rsidRPr="000A31D8">
        <w:rPr>
          <w:rFonts w:ascii="Open Sans" w:hAnsi="Open Sans" w:cs="Open Sans"/>
          <w:bCs/>
        </w:rPr>
        <w:t xml:space="preserve"> Não pode haver parcela ‘meio salarial’. Por mais que se deva respeitar os limites da autodeterminação coletiva, não pode haver parcela com esse regramento híbrido, </w:t>
      </w:r>
      <w:proofErr w:type="gramStart"/>
      <w:r w:rsidRPr="000A31D8">
        <w:rPr>
          <w:rFonts w:ascii="Open Sans" w:hAnsi="Open Sans" w:cs="Open Sans"/>
          <w:bCs/>
        </w:rPr>
        <w:t>como</w:t>
      </w:r>
      <w:proofErr w:type="gramEnd"/>
      <w:r w:rsidRPr="000A31D8">
        <w:rPr>
          <w:rFonts w:ascii="Open Sans" w:hAnsi="Open Sans" w:cs="Open Sans"/>
          <w:bCs/>
        </w:rPr>
        <w:t xml:space="preserve"> ocorreu no caso dos anuênios da CEEE</w:t>
      </w:r>
      <w:r w:rsidR="000367D9">
        <w:rPr>
          <w:rFonts w:ascii="Open Sans" w:hAnsi="Open Sans" w:cs="Open Sans"/>
          <w:bCs/>
        </w:rPr>
        <w:t>’</w:t>
      </w:r>
      <w:r w:rsidRPr="000A31D8">
        <w:rPr>
          <w:rFonts w:ascii="Open Sans" w:hAnsi="Open Sans" w:cs="Open Sans"/>
          <w:bCs/>
        </w:rPr>
        <w:t>. 2. O Plenário do Supremo Tribunal Federal, em sessão realizada em 02/06/2022, apreciou o Tema 1.046 do ementário de repercussão geral e deu provimento ao recurso extraordinário (ARE 1121633)</w:t>
      </w:r>
      <w:r w:rsidR="00D050C9">
        <w:rPr>
          <w:rFonts w:ascii="Open Sans" w:hAnsi="Open Sans" w:cs="Open Sans"/>
          <w:bCs/>
        </w:rPr>
        <w:t xml:space="preserve"> para fixar a seguinte tese: ‘</w:t>
      </w:r>
      <w:r w:rsidRPr="000A31D8">
        <w:rPr>
          <w:rFonts w:ascii="Open Sans" w:hAnsi="Open Sans" w:cs="Open Sans"/>
          <w:bCs/>
        </w:rPr>
        <w:t>São constitucionais os acordos e as convenções coletivos que, ao considerarem a adequação setorial negociada, pactuam limitações ou afastamentos de direitos trabalhistas, independentemente da explicitação especificada de vantagens compensatórias, desde que respeitados os direitos absolutamente indisponíveis</w:t>
      </w:r>
      <w:r w:rsidR="00D050C9">
        <w:rPr>
          <w:rFonts w:ascii="Open Sans" w:hAnsi="Open Sans" w:cs="Open Sans"/>
          <w:bCs/>
        </w:rPr>
        <w:t>’</w:t>
      </w:r>
      <w:r w:rsidRPr="000A31D8">
        <w:rPr>
          <w:rFonts w:ascii="Open Sans" w:hAnsi="Open Sans" w:cs="Open Sans"/>
          <w:bCs/>
        </w:rPr>
        <w:t xml:space="preserve">. Portanto, segundo o entendimento consagrado pelo STF, as cláusulas dos acordos e convenções coletivas de trabalho, nas quais previsto o afastamento ou limitação de direitos, devem ser integralmente cumpridas e respeitadas, salvo quando, segundo a teoria da adequação setorial negociada, afrontem direitos gravados com a nota da indisponibilidade absoluta. Embora não tenha definido o STF, no enunciado da Tese 1046, quais seriam os direitos absolutamente indisponíveis, é fato que eventuais restrições legais ao exercício da autonomia da vontade, no plano das relações privadas, encontra substrato no interesse público de proteção do núcleo essencial da dignidade humana (CF, art. 1º, III), de que são exemplos a vinculação empregatícia formal (CTPS), a inscrição junto à Previdência Social, o pagamento de salário mínimo, a proteção à maternidade, o respeito às normas de proteção à saúde e segurança do trabalho, entre outras disposições minimamente essenciais. Nesse exato sentido, a Lei 13.467/2017 definiu, com clareza, conferindo a necessária segurança jurídica a esses negócios coletivos, quais seriam os direitos transacionáveis (art. 611-A da CLT) e quais estariam blindados ao procedimento negocial coletivo (art. 611-B da CLT). Ao editar a Tese 1.046, a Suprema Corte examinou recurso extraordinário interposto em instante anterior ao advento da nova legislação, fixando, objetivamente, o veto à </w:t>
      </w:r>
      <w:r w:rsidR="00A37232">
        <w:rPr>
          <w:rFonts w:ascii="Open Sans" w:hAnsi="Open Sans" w:cs="Open Sans"/>
          <w:bCs/>
        </w:rPr>
        <w:t>transação de ‘</w:t>
      </w:r>
      <w:r w:rsidRPr="000A31D8">
        <w:rPr>
          <w:rFonts w:ascii="Open Sans" w:hAnsi="Open Sans" w:cs="Open Sans"/>
          <w:bCs/>
        </w:rPr>
        <w:t>direitos absolutamente indisponíveis</w:t>
      </w:r>
      <w:r w:rsidR="00A37232">
        <w:rPr>
          <w:rFonts w:ascii="Open Sans" w:hAnsi="Open Sans" w:cs="Open Sans"/>
          <w:bCs/>
        </w:rPr>
        <w:t>’</w:t>
      </w:r>
      <w:r w:rsidRPr="000A31D8">
        <w:rPr>
          <w:rFonts w:ascii="Open Sans" w:hAnsi="Open Sans" w:cs="Open Sans"/>
          <w:bCs/>
        </w:rPr>
        <w:t>, entre os quais não se inserem, obviamente, direitos de índole essencialmente patrimonial, inclusive suscetíveis de submissão ao procedimento arbitral (Lei 9.307/96). 3. A presente hipótese refe</w:t>
      </w:r>
      <w:r w:rsidR="00A37232">
        <w:rPr>
          <w:rFonts w:ascii="Open Sans" w:hAnsi="Open Sans" w:cs="Open Sans"/>
          <w:bCs/>
        </w:rPr>
        <w:t>re-se à instituição da parcela ‘</w:t>
      </w:r>
      <w:r w:rsidRPr="000A31D8">
        <w:rPr>
          <w:rFonts w:ascii="Open Sans" w:hAnsi="Open Sans" w:cs="Open Sans"/>
          <w:bCs/>
        </w:rPr>
        <w:t>anuênio</w:t>
      </w:r>
      <w:r w:rsidR="00A37232">
        <w:rPr>
          <w:rFonts w:ascii="Open Sans" w:hAnsi="Open Sans" w:cs="Open Sans"/>
          <w:bCs/>
        </w:rPr>
        <w:t>’</w:t>
      </w:r>
      <w:r w:rsidRPr="000A31D8">
        <w:rPr>
          <w:rFonts w:ascii="Open Sans" w:hAnsi="Open Sans" w:cs="Open Sans"/>
          <w:bCs/>
        </w:rPr>
        <w:t xml:space="preserve"> com natureza jurídica híbrida por meio de </w:t>
      </w:r>
      <w:proofErr w:type="gramStart"/>
      <w:r w:rsidRPr="000A31D8">
        <w:rPr>
          <w:rFonts w:ascii="Open Sans" w:hAnsi="Open Sans" w:cs="Open Sans"/>
          <w:bCs/>
        </w:rPr>
        <w:t>norma</w:t>
      </w:r>
      <w:proofErr w:type="gramEnd"/>
      <w:r w:rsidRPr="000A31D8">
        <w:rPr>
          <w:rFonts w:ascii="Open Sans" w:hAnsi="Open Sans" w:cs="Open Sans"/>
          <w:bCs/>
        </w:rPr>
        <w:t xml:space="preserve"> coletiva, o que se mostra plenamente válido e deve ser respeitado, sob pena de maltrato ao art. 7º, XXVI, da CF, por não se tratar de matéria albergada pela vedação imposta </w:t>
      </w:r>
      <w:proofErr w:type="gramStart"/>
      <w:r w:rsidRPr="000A31D8">
        <w:rPr>
          <w:rFonts w:ascii="Open Sans" w:hAnsi="Open Sans" w:cs="Open Sans"/>
          <w:bCs/>
        </w:rPr>
        <w:t>na</w:t>
      </w:r>
      <w:proofErr w:type="gramEnd"/>
      <w:r w:rsidRPr="000A31D8">
        <w:rPr>
          <w:rFonts w:ascii="Open Sans" w:hAnsi="Open Sans" w:cs="Open Sans"/>
          <w:bCs/>
        </w:rPr>
        <w:t xml:space="preserve"> tese firmada pela Suprema Corte. Nesse cenário, a </w:t>
      </w:r>
      <w:proofErr w:type="gramStart"/>
      <w:r w:rsidRPr="000A31D8">
        <w:rPr>
          <w:rFonts w:ascii="Open Sans" w:hAnsi="Open Sans" w:cs="Open Sans"/>
          <w:bCs/>
        </w:rPr>
        <w:t>norma</w:t>
      </w:r>
      <w:proofErr w:type="gramEnd"/>
      <w:r w:rsidRPr="000A31D8">
        <w:rPr>
          <w:rFonts w:ascii="Open Sans" w:hAnsi="Open Sans" w:cs="Open Sans"/>
          <w:bCs/>
        </w:rPr>
        <w:t xml:space="preserve"> coletiva é válida e seus termos devem ser observados na apuração dos anuênios. </w:t>
      </w:r>
      <w:proofErr w:type="gramStart"/>
      <w:r w:rsidRPr="000A31D8">
        <w:rPr>
          <w:rFonts w:ascii="Open Sans" w:hAnsi="Open Sans" w:cs="Open Sans"/>
          <w:bCs/>
        </w:rPr>
        <w:t>Nesse contexto, não afastados os fundamentos da decisão agravada, nenhum reparo enseja a decisão.</w:t>
      </w:r>
      <w:proofErr w:type="gramEnd"/>
      <w:r w:rsidRPr="000A31D8">
        <w:rPr>
          <w:rFonts w:ascii="Open Sans" w:hAnsi="Open Sans" w:cs="Open Sans"/>
          <w:bCs/>
        </w:rPr>
        <w:t xml:space="preserve"> </w:t>
      </w:r>
      <w:proofErr w:type="gramStart"/>
      <w:r w:rsidRPr="000A31D8">
        <w:rPr>
          <w:rFonts w:ascii="Open Sans" w:hAnsi="Open Sans" w:cs="Open Sans"/>
          <w:bCs/>
        </w:rPr>
        <w:t>Agravo não provido, com acréscimo de fundamentação.”</w:t>
      </w:r>
      <w:proofErr w:type="gramEnd"/>
      <w:r w:rsidRPr="000A31D8">
        <w:rPr>
          <w:rFonts w:ascii="Open Sans" w:hAnsi="Open Sans" w:cs="Open Sans"/>
          <w:bCs/>
        </w:rPr>
        <w:t xml:space="preserve"> </w:t>
      </w:r>
      <w:r w:rsidRPr="000A31D8">
        <w:rPr>
          <w:rFonts w:ascii="Open Sans" w:hAnsi="Open Sans" w:cs="Open Sans"/>
        </w:rPr>
        <w:t>(</w:t>
      </w:r>
      <w:hyperlink r:id="rId22" w:history="1">
        <w:r w:rsidRPr="000A31D8">
          <w:rPr>
            <w:rStyle w:val="Hyperlink"/>
            <w:rFonts w:ascii="Open Sans" w:hAnsi="Open Sans" w:cs="Open Sans"/>
          </w:rPr>
          <w:t xml:space="preserve">TST-Ag-ED-RRAg-21227-64.2016.5.04.0029, 5ª Turma, rel. </w:t>
        </w:r>
        <w:r w:rsidR="00771C38">
          <w:rPr>
            <w:rStyle w:val="Hyperlink"/>
            <w:rFonts w:ascii="Open Sans" w:hAnsi="Open Sans" w:cs="Open Sans"/>
          </w:rPr>
          <w:t xml:space="preserve">Min. </w:t>
        </w:r>
        <w:r w:rsidRPr="000A31D8">
          <w:rPr>
            <w:rStyle w:val="Hyperlink"/>
            <w:rFonts w:ascii="Open Sans" w:hAnsi="Open Sans" w:cs="Open Sans"/>
          </w:rPr>
          <w:t xml:space="preserve">Douglas Alencar Rodrigues, julgado em </w:t>
        </w:r>
        <w:r w:rsidRPr="000A31D8">
          <w:rPr>
            <w:rStyle w:val="Hyperlink"/>
            <w:rFonts w:ascii="Open Sans" w:hAnsi="Open Sans" w:cs="Open Sans"/>
          </w:rPr>
          <w:lastRenderedPageBreak/>
          <w:t>3/4/2024</w:t>
        </w:r>
      </w:hyperlink>
      <w:r w:rsidRPr="000A31D8">
        <w:rPr>
          <w:rFonts w:ascii="Open Sans" w:hAnsi="Open Sans" w:cs="Open Sans"/>
        </w:rPr>
        <w:t xml:space="preserve">) </w:t>
      </w:r>
    </w:p>
    <w:p w:rsidR="006371D2" w:rsidRDefault="006371D2" w:rsidP="002D05F7">
      <w:pPr>
        <w:pStyle w:val="Identificao"/>
        <w:widowControl w:val="0"/>
        <w:rPr>
          <w:rFonts w:ascii="Open Sans" w:hAnsi="Open Sans" w:cs="Open Sans"/>
          <w:lang w:val="pt-BR"/>
        </w:rPr>
      </w:pPr>
    </w:p>
    <w:p w:rsidR="00443B2A" w:rsidRPr="00443B2A" w:rsidRDefault="00D079A5" w:rsidP="00443B2A">
      <w:pPr>
        <w:pStyle w:val="Identificao"/>
        <w:widowControl w:val="0"/>
        <w:rPr>
          <w:rFonts w:ascii="Open Sans" w:hAnsi="Open Sans" w:cs="Open Sans"/>
          <w:bCs/>
        </w:rPr>
      </w:pPr>
      <w:r>
        <w:rPr>
          <w:rFonts w:ascii="Open Sans" w:hAnsi="Open Sans" w:cs="Open Sans"/>
          <w:bCs/>
        </w:rPr>
        <w:t>“(...)</w:t>
      </w:r>
      <w:r w:rsidR="00443B2A" w:rsidRPr="00443B2A">
        <w:rPr>
          <w:rFonts w:ascii="Open Sans" w:hAnsi="Open Sans" w:cs="Open Sans"/>
          <w:bCs/>
        </w:rPr>
        <w:t xml:space="preserve"> III. </w:t>
      </w:r>
      <w:proofErr w:type="gramStart"/>
      <w:r w:rsidR="00443B2A" w:rsidRPr="00443B2A">
        <w:rPr>
          <w:rFonts w:ascii="Open Sans" w:hAnsi="Open Sans" w:cs="Open Sans"/>
          <w:bCs/>
        </w:rPr>
        <w:t>RECURSO DE REVISTA.</w:t>
      </w:r>
      <w:proofErr w:type="gramEnd"/>
      <w:r w:rsidR="00443B2A" w:rsidRPr="00443B2A">
        <w:rPr>
          <w:rFonts w:ascii="Open Sans" w:hAnsi="Open Sans" w:cs="Open Sans"/>
          <w:bCs/>
        </w:rPr>
        <w:t xml:space="preserve"> </w:t>
      </w:r>
      <w:proofErr w:type="gramStart"/>
      <w:r w:rsidR="00443B2A" w:rsidRPr="00443B2A">
        <w:rPr>
          <w:rFonts w:ascii="Open Sans" w:hAnsi="Open Sans" w:cs="Open Sans"/>
          <w:bCs/>
        </w:rPr>
        <w:t>REGIDO PELA LEI 13.467/2017.</w:t>
      </w:r>
      <w:proofErr w:type="gramEnd"/>
      <w:r w:rsidR="00443B2A" w:rsidRPr="00443B2A">
        <w:rPr>
          <w:rFonts w:ascii="Open Sans" w:hAnsi="Open Sans" w:cs="Open Sans"/>
          <w:bCs/>
        </w:rPr>
        <w:t xml:space="preserve"> </w:t>
      </w:r>
      <w:proofErr w:type="gramStart"/>
      <w:r w:rsidR="00443B2A" w:rsidRPr="00443B2A">
        <w:rPr>
          <w:rFonts w:ascii="Open Sans" w:hAnsi="Open Sans" w:cs="Open Sans"/>
          <w:bCs/>
        </w:rPr>
        <w:t>HORAS EXTRAS.</w:t>
      </w:r>
      <w:proofErr w:type="gramEnd"/>
      <w:r w:rsidR="00443B2A" w:rsidRPr="00443B2A">
        <w:rPr>
          <w:rFonts w:ascii="Open Sans" w:hAnsi="Open Sans" w:cs="Open Sans"/>
          <w:bCs/>
        </w:rPr>
        <w:t xml:space="preserve"> </w:t>
      </w:r>
      <w:proofErr w:type="gramStart"/>
      <w:r w:rsidR="00443B2A" w:rsidRPr="00443B2A">
        <w:rPr>
          <w:rFonts w:ascii="Open Sans" w:hAnsi="Open Sans" w:cs="Open Sans"/>
          <w:bCs/>
        </w:rPr>
        <w:t>VALIDADE DA NORMA COLETIVA.</w:t>
      </w:r>
      <w:proofErr w:type="gramEnd"/>
      <w:r w:rsidR="00443B2A" w:rsidRPr="00443B2A">
        <w:rPr>
          <w:rFonts w:ascii="Open Sans" w:hAnsi="Open Sans" w:cs="Open Sans"/>
          <w:bCs/>
        </w:rPr>
        <w:t xml:space="preserve"> ENQUADRAMENTO DOS EMPREGADOS QUE EXERCEM A FUNÇÃO DE MOTORISTA ENTREGADOR NA EXCEÇÃO </w:t>
      </w:r>
      <w:proofErr w:type="gramStart"/>
      <w:r w:rsidR="00443B2A" w:rsidRPr="00443B2A">
        <w:rPr>
          <w:rFonts w:ascii="Open Sans" w:hAnsi="Open Sans" w:cs="Open Sans"/>
          <w:bCs/>
        </w:rPr>
        <w:t>DO</w:t>
      </w:r>
      <w:proofErr w:type="gramEnd"/>
      <w:r w:rsidR="00443B2A" w:rsidRPr="00443B2A">
        <w:rPr>
          <w:rFonts w:ascii="Open Sans" w:hAnsi="Open Sans" w:cs="Open Sans"/>
          <w:bCs/>
        </w:rPr>
        <w:t xml:space="preserve"> ART. </w:t>
      </w:r>
      <w:proofErr w:type="gramStart"/>
      <w:r w:rsidR="00443B2A" w:rsidRPr="00443B2A">
        <w:rPr>
          <w:rFonts w:ascii="Open Sans" w:hAnsi="Open Sans" w:cs="Open Sans"/>
          <w:bCs/>
        </w:rPr>
        <w:t>62, I, DA CLT.</w:t>
      </w:r>
      <w:proofErr w:type="gramEnd"/>
      <w:r w:rsidR="00443B2A" w:rsidRPr="00443B2A">
        <w:rPr>
          <w:rFonts w:ascii="Open Sans" w:hAnsi="Open Sans" w:cs="Open Sans"/>
          <w:bCs/>
        </w:rPr>
        <w:t xml:space="preserve"> TESE FIRMADA PELO SUPREMO TRIBUNAL FEDERAL NO ARE 1121633 (TEMA 1.046). TRANSCENDÊNCIA POLÍTICA. 1. O Plenário do Supremo Tribunal Federal, em sessão realizada em 02/06/2022, apreciou o Tema 1.046 do ementário de repercussão geral e deu provimento ao recurso extraordinário (ARE 1121633) para fixar a seguinte tese: </w:t>
      </w:r>
      <w:r w:rsidR="00B93EDD">
        <w:rPr>
          <w:rFonts w:ascii="Open Sans" w:hAnsi="Open Sans" w:cs="Open Sans"/>
          <w:bCs/>
        </w:rPr>
        <w:t>‘</w:t>
      </w:r>
      <w:r w:rsidR="00443B2A" w:rsidRPr="00443B2A">
        <w:rPr>
          <w:rFonts w:ascii="Open Sans" w:hAnsi="Open Sans" w:cs="Open Sans"/>
          <w:bCs/>
        </w:rPr>
        <w:t>São constitucionais os acordos e as convenções coletivos que, ao considerarem a adequação setorial negociada, pactuam limitações ou afastamentos de direitos trabalhistas, independentemente da explicitação especificada de vantagens compensatórias, desde que respeitados os direitos absolutamente indisponíveis</w:t>
      </w:r>
      <w:r w:rsidR="00B93EDD">
        <w:rPr>
          <w:rFonts w:ascii="Open Sans" w:hAnsi="Open Sans" w:cs="Open Sans"/>
          <w:bCs/>
        </w:rPr>
        <w:t>’</w:t>
      </w:r>
      <w:r w:rsidR="00443B2A" w:rsidRPr="00443B2A">
        <w:rPr>
          <w:rFonts w:ascii="Open Sans" w:hAnsi="Open Sans" w:cs="Open Sans"/>
          <w:bCs/>
        </w:rPr>
        <w:t>. Portanto, segundo o entendimento consagrado pelo STF, as cláusulas dos acordos e convenções coletivas de trabalho, nas quais previsto o afastamento ou limitação de direitos, devem ser integralmente cumpridas e respeitadas, salvo quando, segundo a teoria da adequação setorial negociada, afrontem direitos gravados com a nota da indisponibilidade absoluta. Embora não tenha definido o STF, no enunciado da Tese 1046, quais seriam os direitos absolutamente indisponíveis, é fato que eventuais restrições legais ao exercício da autonomia da vontade, no plano das relações privadas, encontra substrato no interesse público de proteção do núcleo essencial da dignidade humana (CF, art. 1º, III), de que são exemplos a vinculação empregatícia formal (CTPS), a inscrição junto à Previdência Social, o pagamento de salário mínimo, a proteção à maternidade, o respeito às normas de proteção à saúde e segurança do trabalho, entre outras disposições minimamente essenciais. Nesse exato sentido, a Lei 13.467/2017, conferindo a necessária segurança jurídica a esses negócios coletivos, definiu com clareza quais seriam os direitos transacionáveis (art. 611-A da CLT) e quais estariam blindados ao procedimento negocial coletivo (art. 611-B da CLT). Ao editar a Tese 1.046, a Suprema Corte examinou recurso extraordinário interposto em instante anterior ao advento da nova legislação, fixando, objeti</w:t>
      </w:r>
      <w:r w:rsidR="00BA18DE">
        <w:rPr>
          <w:rFonts w:ascii="Open Sans" w:hAnsi="Open Sans" w:cs="Open Sans"/>
          <w:bCs/>
        </w:rPr>
        <w:t>vamente, o veto à transação de ‘</w:t>
      </w:r>
      <w:r w:rsidR="00443B2A" w:rsidRPr="00443B2A">
        <w:rPr>
          <w:rFonts w:ascii="Open Sans" w:hAnsi="Open Sans" w:cs="Open Sans"/>
          <w:bCs/>
        </w:rPr>
        <w:t>direitos absolutamente indisponíveis</w:t>
      </w:r>
      <w:r w:rsidR="00BA18DE">
        <w:rPr>
          <w:rFonts w:ascii="Open Sans" w:hAnsi="Open Sans" w:cs="Open Sans"/>
          <w:bCs/>
        </w:rPr>
        <w:t>’</w:t>
      </w:r>
      <w:r w:rsidR="00443B2A" w:rsidRPr="00443B2A">
        <w:rPr>
          <w:rFonts w:ascii="Open Sans" w:hAnsi="Open Sans" w:cs="Open Sans"/>
          <w:bCs/>
        </w:rPr>
        <w:t>, entre os quais não se inserem, obviamente, direitos de índole patrimonial, suscetíveis de submissão ao procedimento arbitral (Lei 9.307/96) e às tentativas de conciliação em reclamações trabalhistas (CLT, art. 831, par. único, e 846) e/ou perante Comissões de Conciliação Prévia (CLT, arts. 625-A a 625-H). 2. No caso presente, o T</w:t>
      </w:r>
      <w:r w:rsidR="00BA18DE">
        <w:rPr>
          <w:rFonts w:ascii="Open Sans" w:hAnsi="Open Sans" w:cs="Open Sans"/>
          <w:bCs/>
        </w:rPr>
        <w:t>ribunal Regional destacou que, ‘</w:t>
      </w:r>
      <w:r w:rsidR="00443B2A" w:rsidRPr="00443B2A">
        <w:rPr>
          <w:rFonts w:ascii="Open Sans" w:hAnsi="Open Sans" w:cs="Open Sans"/>
          <w:bCs/>
        </w:rPr>
        <w:t>Em que pese os argumentos da reclamada, não se aplica ao presente caso o disposto no artigo 62, I, da CLT, pois, a partir da vigência da Lei 12.619/2012, revogada pela Lei 13.103/2015, ambas vigentes durante o período imprescrito (fl. 371), tornou-se obrigatória a adoção de registros de horários de viagens pelo motorista empregado que transporta cargas em rodovias ou em ruas, como neste caso, não prosperando a tese da reclamada de q</w:t>
      </w:r>
      <w:r w:rsidR="00AB65F0">
        <w:rPr>
          <w:rFonts w:ascii="Open Sans" w:hAnsi="Open Sans" w:cs="Open Sans"/>
          <w:bCs/>
        </w:rPr>
        <w:t>ue o obreiro apenas efetuava a ‘</w:t>
      </w:r>
      <w:r w:rsidR="00443B2A" w:rsidRPr="00443B2A">
        <w:rPr>
          <w:rFonts w:ascii="Open Sans" w:hAnsi="Open Sans" w:cs="Open Sans"/>
          <w:bCs/>
        </w:rPr>
        <w:t xml:space="preserve">entrega de </w:t>
      </w:r>
      <w:r w:rsidR="00443B2A" w:rsidRPr="00443B2A">
        <w:rPr>
          <w:rFonts w:ascii="Open Sans" w:hAnsi="Open Sans" w:cs="Open Sans"/>
          <w:bCs/>
        </w:rPr>
        <w:lastRenderedPageBreak/>
        <w:t>produtos fracionados, dirigindo pequeno furgão e não realizando transporte rodoviário, não lhe sendo exigido formação profissional específica, bastando para tanto portar carteira de motorista comum, categoria B.</w:t>
      </w:r>
      <w:r w:rsidR="00AB65F0">
        <w:rPr>
          <w:rFonts w:ascii="Open Sans" w:hAnsi="Open Sans" w:cs="Open Sans"/>
          <w:bCs/>
        </w:rPr>
        <w:t>’’</w:t>
      </w:r>
      <w:r w:rsidR="00443B2A" w:rsidRPr="00443B2A">
        <w:rPr>
          <w:rFonts w:ascii="Open Sans" w:hAnsi="Open Sans" w:cs="Open Sans"/>
          <w:bCs/>
        </w:rPr>
        <w:t xml:space="preserve"> Concluiu que </w:t>
      </w:r>
      <w:r w:rsidR="00AB65F0">
        <w:rPr>
          <w:rFonts w:ascii="Open Sans" w:hAnsi="Open Sans" w:cs="Open Sans"/>
          <w:bCs/>
        </w:rPr>
        <w:t>‘</w:t>
      </w:r>
      <w:r w:rsidR="00443B2A" w:rsidRPr="00443B2A">
        <w:rPr>
          <w:rFonts w:ascii="Open Sans" w:hAnsi="Open Sans" w:cs="Open Sans"/>
          <w:bCs/>
        </w:rPr>
        <w:t xml:space="preserve">... é nula cláusula convencional que estabeleça que os empregados estariam submetidos à exceção legal </w:t>
      </w:r>
      <w:r w:rsidR="00AB65F0">
        <w:rPr>
          <w:rFonts w:ascii="Open Sans" w:hAnsi="Open Sans" w:cs="Open Sans"/>
          <w:bCs/>
        </w:rPr>
        <w:t xml:space="preserve">do art. </w:t>
      </w:r>
      <w:proofErr w:type="gramStart"/>
      <w:r w:rsidR="00AB65F0">
        <w:rPr>
          <w:rFonts w:ascii="Open Sans" w:hAnsi="Open Sans" w:cs="Open Sans"/>
          <w:bCs/>
        </w:rPr>
        <w:t>62, I, da CLT, vez que ‘</w:t>
      </w:r>
      <w:r w:rsidR="00443B2A" w:rsidRPr="00443B2A">
        <w:rPr>
          <w:rFonts w:ascii="Open Sans" w:hAnsi="Open Sans" w:cs="Open Sans"/>
          <w:bCs/>
        </w:rPr>
        <w:t>uma cláusula normativa que estipulasse regra fraudatória do art.</w:t>
      </w:r>
      <w:proofErr w:type="gramEnd"/>
      <w:r w:rsidR="00443B2A" w:rsidRPr="00443B2A">
        <w:rPr>
          <w:rFonts w:ascii="Open Sans" w:hAnsi="Open Sans" w:cs="Open Sans"/>
          <w:bCs/>
        </w:rPr>
        <w:t xml:space="preserve"> 7º, XIII, da Constituição da República seria inconstitucional, </w:t>
      </w:r>
      <w:proofErr w:type="gramStart"/>
      <w:r w:rsidR="00443B2A" w:rsidRPr="00443B2A">
        <w:rPr>
          <w:rFonts w:ascii="Open Sans" w:hAnsi="Open Sans" w:cs="Open Sans"/>
          <w:bCs/>
        </w:rPr>
        <w:t>sem</w:t>
      </w:r>
      <w:proofErr w:type="gramEnd"/>
      <w:r w:rsidR="00443B2A" w:rsidRPr="00443B2A">
        <w:rPr>
          <w:rFonts w:ascii="Open Sans" w:hAnsi="Open Sans" w:cs="Open Sans"/>
          <w:bCs/>
        </w:rPr>
        <w:t xml:space="preserve"> que lhe socorresse o fato de ser fixada em convenção ou acordo coletivo, pois o inc. XXVI do art. 7º não visa a favorecer fraudes, mas </w:t>
      </w:r>
      <w:proofErr w:type="gramStart"/>
      <w:r w:rsidR="00443B2A" w:rsidRPr="00443B2A">
        <w:rPr>
          <w:rFonts w:ascii="Open Sans" w:hAnsi="Open Sans" w:cs="Open Sans"/>
          <w:bCs/>
        </w:rPr>
        <w:t>a</w:t>
      </w:r>
      <w:proofErr w:type="gramEnd"/>
      <w:r w:rsidR="00443B2A" w:rsidRPr="00443B2A">
        <w:rPr>
          <w:rFonts w:ascii="Open Sans" w:hAnsi="Open Sans" w:cs="Open Sans"/>
          <w:bCs/>
        </w:rPr>
        <w:t xml:space="preserve"> assegurar a melhoria da condição social dos trabalhadores, como expressament</w:t>
      </w:r>
      <w:r w:rsidR="00AB65F0">
        <w:rPr>
          <w:rFonts w:ascii="Open Sans" w:hAnsi="Open Sans" w:cs="Open Sans"/>
          <w:bCs/>
        </w:rPr>
        <w:t>e estabelecido no ‘</w:t>
      </w:r>
      <w:r w:rsidR="00443B2A" w:rsidRPr="007800B8">
        <w:rPr>
          <w:rFonts w:ascii="Open Sans" w:hAnsi="Open Sans" w:cs="Open Sans"/>
          <w:bCs/>
          <w:i/>
        </w:rPr>
        <w:t>caput</w:t>
      </w:r>
      <w:r w:rsidR="00AB65F0">
        <w:rPr>
          <w:rFonts w:ascii="Open Sans" w:hAnsi="Open Sans" w:cs="Open Sans"/>
          <w:bCs/>
        </w:rPr>
        <w:t>’ daquele artigo.’</w:t>
      </w:r>
      <w:r w:rsidR="00443B2A" w:rsidRPr="00443B2A">
        <w:rPr>
          <w:rFonts w:ascii="Open Sans" w:hAnsi="Open Sans" w:cs="Open Sans"/>
          <w:bCs/>
        </w:rPr>
        <w:t xml:space="preserve"> </w:t>
      </w:r>
      <w:proofErr w:type="gramStart"/>
      <w:r w:rsidR="00443B2A" w:rsidRPr="00443B2A">
        <w:rPr>
          <w:rFonts w:ascii="Open Sans" w:hAnsi="Open Sans" w:cs="Open Sans"/>
          <w:bCs/>
        </w:rPr>
        <w:t>(fl. 375).</w:t>
      </w:r>
      <w:r w:rsidR="00AB65F0">
        <w:rPr>
          <w:rFonts w:ascii="Open Sans" w:hAnsi="Open Sans" w:cs="Open Sans"/>
          <w:bCs/>
        </w:rPr>
        <w:t>’</w:t>
      </w:r>
      <w:proofErr w:type="gramEnd"/>
      <w:r w:rsidR="00443B2A" w:rsidRPr="00443B2A">
        <w:rPr>
          <w:rFonts w:ascii="Open Sans" w:hAnsi="Open Sans" w:cs="Open Sans"/>
          <w:bCs/>
        </w:rPr>
        <w:t xml:space="preserve"> 3. O enquadramento dos empregados que exercem a função de motorista entregador </w:t>
      </w:r>
      <w:proofErr w:type="gramStart"/>
      <w:r w:rsidR="00443B2A" w:rsidRPr="00443B2A">
        <w:rPr>
          <w:rFonts w:ascii="Open Sans" w:hAnsi="Open Sans" w:cs="Open Sans"/>
          <w:bCs/>
        </w:rPr>
        <w:t>na</w:t>
      </w:r>
      <w:proofErr w:type="gramEnd"/>
      <w:r w:rsidR="00443B2A" w:rsidRPr="00443B2A">
        <w:rPr>
          <w:rFonts w:ascii="Open Sans" w:hAnsi="Open Sans" w:cs="Open Sans"/>
          <w:bCs/>
        </w:rPr>
        <w:t xml:space="preserve"> exceção do art. </w:t>
      </w:r>
      <w:proofErr w:type="gramStart"/>
      <w:r w:rsidR="00443B2A" w:rsidRPr="00443B2A">
        <w:rPr>
          <w:rFonts w:ascii="Open Sans" w:hAnsi="Open Sans" w:cs="Open Sans"/>
          <w:bCs/>
        </w:rPr>
        <w:t>62, I, da CLT não alcança direitos individuais indisponíveis.</w:t>
      </w:r>
      <w:proofErr w:type="gramEnd"/>
      <w:r w:rsidR="00443B2A" w:rsidRPr="00443B2A">
        <w:rPr>
          <w:rFonts w:ascii="Open Sans" w:hAnsi="Open Sans" w:cs="Open Sans"/>
          <w:bCs/>
        </w:rPr>
        <w:t xml:space="preserve"> 4. Nesse cenário, ao considerar inválida a </w:t>
      </w:r>
      <w:proofErr w:type="gramStart"/>
      <w:r w:rsidR="00443B2A" w:rsidRPr="00443B2A">
        <w:rPr>
          <w:rFonts w:ascii="Open Sans" w:hAnsi="Open Sans" w:cs="Open Sans"/>
          <w:bCs/>
        </w:rPr>
        <w:t>norma</w:t>
      </w:r>
      <w:proofErr w:type="gramEnd"/>
      <w:r w:rsidR="00443B2A" w:rsidRPr="00443B2A">
        <w:rPr>
          <w:rFonts w:ascii="Open Sans" w:hAnsi="Open Sans" w:cs="Open Sans"/>
          <w:bCs/>
        </w:rPr>
        <w:t xml:space="preserve"> coletiva e o enquadramento do Autor na exceção do art. 62, I, da CLT previsto no instrumento coletivo, o Tribunal Regional proferiu acórdão contrário ao entendimento firmado pelo STF no julgamento recurso extraordinário (ARE 1121633), razão pela qual resta configurada a transcendência política do debate. </w:t>
      </w:r>
      <w:proofErr w:type="gramStart"/>
      <w:r w:rsidR="00443B2A" w:rsidRPr="00443B2A">
        <w:rPr>
          <w:rFonts w:ascii="Open Sans" w:hAnsi="Open Sans" w:cs="Open Sans"/>
          <w:bCs/>
        </w:rPr>
        <w:t>Ofensa ao artigo 7º, XXVI, da CF configurada.</w:t>
      </w:r>
      <w:proofErr w:type="gramEnd"/>
      <w:r w:rsidR="00443B2A" w:rsidRPr="00443B2A">
        <w:rPr>
          <w:rFonts w:ascii="Open Sans" w:hAnsi="Open Sans" w:cs="Open Sans"/>
          <w:bCs/>
        </w:rPr>
        <w:t xml:space="preserve"> </w:t>
      </w:r>
      <w:proofErr w:type="gramStart"/>
      <w:r w:rsidR="00443B2A" w:rsidRPr="00443B2A">
        <w:rPr>
          <w:rFonts w:ascii="Open Sans" w:hAnsi="Open Sans" w:cs="Open Sans"/>
          <w:bCs/>
        </w:rPr>
        <w:t>Recurso de revista conhecido e provido.”</w:t>
      </w:r>
      <w:proofErr w:type="gramEnd"/>
      <w:r w:rsidR="00443B2A" w:rsidRPr="00443B2A">
        <w:rPr>
          <w:rFonts w:ascii="Open Sans" w:hAnsi="Open Sans" w:cs="Open Sans"/>
          <w:bCs/>
        </w:rPr>
        <w:t xml:space="preserve"> </w:t>
      </w:r>
      <w:r w:rsidR="00443B2A" w:rsidRPr="00443B2A">
        <w:rPr>
          <w:rFonts w:ascii="Open Sans" w:hAnsi="Open Sans" w:cs="Open Sans"/>
        </w:rPr>
        <w:t>(</w:t>
      </w:r>
      <w:hyperlink r:id="rId23" w:history="1">
        <w:r w:rsidR="00443B2A" w:rsidRPr="00443B2A">
          <w:rPr>
            <w:rStyle w:val="Hyperlink"/>
            <w:rFonts w:ascii="Open Sans" w:hAnsi="Open Sans" w:cs="Open Sans"/>
          </w:rPr>
          <w:t>TST-RR-1018-58.2018.5.09.0872, 5ª Turma, rel.</w:t>
        </w:r>
        <w:r w:rsidR="00C87780">
          <w:rPr>
            <w:rStyle w:val="Hyperlink"/>
            <w:rFonts w:ascii="Open Sans" w:hAnsi="Open Sans" w:cs="Open Sans"/>
          </w:rPr>
          <w:t xml:space="preserve"> Min.</w:t>
        </w:r>
        <w:r w:rsidR="00443B2A" w:rsidRPr="00443B2A">
          <w:rPr>
            <w:rStyle w:val="Hyperlink"/>
            <w:rFonts w:ascii="Open Sans" w:hAnsi="Open Sans" w:cs="Open Sans"/>
          </w:rPr>
          <w:t xml:space="preserve"> Douglas Alencar Rodrigues, julgado em 20/3/2024</w:t>
        </w:r>
      </w:hyperlink>
      <w:r w:rsidR="00443B2A" w:rsidRPr="00443B2A">
        <w:rPr>
          <w:rFonts w:ascii="Open Sans" w:hAnsi="Open Sans" w:cs="Open Sans"/>
        </w:rPr>
        <w:t xml:space="preserve">) </w:t>
      </w:r>
    </w:p>
    <w:p w:rsidR="00781002" w:rsidRDefault="00781002" w:rsidP="002D05F7">
      <w:pPr>
        <w:pStyle w:val="Identificao"/>
        <w:widowControl w:val="0"/>
        <w:rPr>
          <w:rFonts w:ascii="Open Sans" w:hAnsi="Open Sans" w:cs="Open Sans"/>
          <w:lang w:val="pt-BR"/>
        </w:rPr>
      </w:pPr>
    </w:p>
    <w:p w:rsidR="00463070" w:rsidRPr="00463070" w:rsidRDefault="00D079A5" w:rsidP="00463070">
      <w:pPr>
        <w:pStyle w:val="Identificao"/>
        <w:widowControl w:val="0"/>
        <w:rPr>
          <w:rFonts w:ascii="Open Sans" w:hAnsi="Open Sans" w:cs="Open Sans"/>
          <w:bCs/>
        </w:rPr>
      </w:pPr>
      <w:r>
        <w:rPr>
          <w:rFonts w:ascii="Open Sans" w:hAnsi="Open Sans" w:cs="Open Sans"/>
          <w:bCs/>
        </w:rPr>
        <w:t>“(...)</w:t>
      </w:r>
      <w:r w:rsidR="00463070" w:rsidRPr="00463070">
        <w:rPr>
          <w:rFonts w:ascii="Open Sans" w:hAnsi="Open Sans" w:cs="Open Sans"/>
          <w:bCs/>
        </w:rPr>
        <w:t xml:space="preserve"> RECURSO DE REVISTA. </w:t>
      </w:r>
      <w:proofErr w:type="gramStart"/>
      <w:r w:rsidR="00463070" w:rsidRPr="00463070">
        <w:rPr>
          <w:rFonts w:ascii="Open Sans" w:hAnsi="Open Sans" w:cs="Open Sans"/>
          <w:bCs/>
        </w:rPr>
        <w:t>ACÓRDÃO PUBLICADO NA VIGÊNCIA DA LEI Nº 13.467/2017.</w:t>
      </w:r>
      <w:proofErr w:type="gramEnd"/>
      <w:r w:rsidR="00463070" w:rsidRPr="00463070">
        <w:rPr>
          <w:rFonts w:ascii="Open Sans" w:hAnsi="Open Sans" w:cs="Open Sans"/>
          <w:bCs/>
        </w:rPr>
        <w:t xml:space="preserve"> </w:t>
      </w:r>
      <w:proofErr w:type="gramStart"/>
      <w:r w:rsidR="00463070" w:rsidRPr="00463070">
        <w:rPr>
          <w:rFonts w:ascii="Open Sans" w:hAnsi="Open Sans" w:cs="Open Sans"/>
          <w:bCs/>
        </w:rPr>
        <w:t>PROTESTO JUDICIAL.</w:t>
      </w:r>
      <w:proofErr w:type="gramEnd"/>
      <w:r w:rsidR="00463070" w:rsidRPr="00463070">
        <w:rPr>
          <w:rFonts w:ascii="Open Sans" w:hAnsi="Open Sans" w:cs="Open Sans"/>
          <w:bCs/>
        </w:rPr>
        <w:t xml:space="preserve"> </w:t>
      </w:r>
      <w:proofErr w:type="gramStart"/>
      <w:r w:rsidR="00463070" w:rsidRPr="00463070">
        <w:rPr>
          <w:rFonts w:ascii="Open Sans" w:hAnsi="Open Sans" w:cs="Open Sans"/>
          <w:bCs/>
        </w:rPr>
        <w:t>INTERRUPÇÃO DA PRESCRIÇÃO.</w:t>
      </w:r>
      <w:proofErr w:type="gramEnd"/>
      <w:r w:rsidR="00463070" w:rsidRPr="00463070">
        <w:rPr>
          <w:rFonts w:ascii="Open Sans" w:hAnsi="Open Sans" w:cs="Open Sans"/>
          <w:bCs/>
        </w:rPr>
        <w:t xml:space="preserve"> </w:t>
      </w:r>
      <w:proofErr w:type="gramStart"/>
      <w:r w:rsidR="00463070" w:rsidRPr="00463070">
        <w:rPr>
          <w:rFonts w:ascii="Open Sans" w:hAnsi="Open Sans" w:cs="Open Sans"/>
          <w:bCs/>
        </w:rPr>
        <w:t>JUNTADA DE DOCUMENTOS.</w:t>
      </w:r>
      <w:proofErr w:type="gramEnd"/>
      <w:r w:rsidR="00463070" w:rsidRPr="00463070">
        <w:rPr>
          <w:rFonts w:ascii="Open Sans" w:hAnsi="Open Sans" w:cs="Open Sans"/>
          <w:bCs/>
        </w:rPr>
        <w:t xml:space="preserve"> </w:t>
      </w:r>
      <w:proofErr w:type="gramStart"/>
      <w:r w:rsidR="00463070" w:rsidRPr="00463070">
        <w:rPr>
          <w:rFonts w:ascii="Open Sans" w:hAnsi="Open Sans" w:cs="Open Sans"/>
          <w:bCs/>
        </w:rPr>
        <w:t>ÔNUS DA PROVA.</w:t>
      </w:r>
      <w:proofErr w:type="gramEnd"/>
      <w:r w:rsidR="00463070" w:rsidRPr="00463070">
        <w:rPr>
          <w:rFonts w:ascii="Open Sans" w:hAnsi="Open Sans" w:cs="Open Sans"/>
          <w:bCs/>
        </w:rPr>
        <w:t xml:space="preserve"> TRANSCENDÊNCIA JURÍDICA RECONHECIDA. O e. TRT, levando em conta a simples afirmação constante da inicial de que houve o ajuizamento de ação de protesto anterior, </w:t>
      </w:r>
      <w:proofErr w:type="gramStart"/>
      <w:r w:rsidR="00463070" w:rsidRPr="00463070">
        <w:rPr>
          <w:rFonts w:ascii="Open Sans" w:hAnsi="Open Sans" w:cs="Open Sans"/>
          <w:bCs/>
        </w:rPr>
        <w:t>sem</w:t>
      </w:r>
      <w:proofErr w:type="gramEnd"/>
      <w:r w:rsidR="00463070" w:rsidRPr="00463070">
        <w:rPr>
          <w:rFonts w:ascii="Open Sans" w:hAnsi="Open Sans" w:cs="Open Sans"/>
          <w:bCs/>
        </w:rPr>
        <w:t xml:space="preserve"> que tenha havido a juntada de documentos comprobatórios para tal, confirmou a sentença que declarou a interrupção dos praz</w:t>
      </w:r>
      <w:r w:rsidR="00AB65F0">
        <w:rPr>
          <w:rFonts w:ascii="Open Sans" w:hAnsi="Open Sans" w:cs="Open Sans"/>
          <w:bCs/>
        </w:rPr>
        <w:t>os prescricionais. Pontuou que ‘</w:t>
      </w:r>
      <w:r w:rsidR="00463070" w:rsidRPr="00463070">
        <w:rPr>
          <w:rFonts w:ascii="Open Sans" w:hAnsi="Open Sans" w:cs="Open Sans"/>
          <w:bCs/>
        </w:rPr>
        <w:t xml:space="preserve">em situações </w:t>
      </w:r>
      <w:proofErr w:type="gramStart"/>
      <w:r w:rsidR="00463070" w:rsidRPr="00463070">
        <w:rPr>
          <w:rFonts w:ascii="Open Sans" w:hAnsi="Open Sans" w:cs="Open Sans"/>
          <w:bCs/>
        </w:rPr>
        <w:t>como</w:t>
      </w:r>
      <w:proofErr w:type="gramEnd"/>
      <w:r w:rsidR="00463070" w:rsidRPr="00463070">
        <w:rPr>
          <w:rFonts w:ascii="Open Sans" w:hAnsi="Open Sans" w:cs="Open Sans"/>
          <w:bCs/>
        </w:rPr>
        <w:t xml:space="preserve"> a dos autos reputa-se que o autor cumpre adequadamente o seu ônus probatório (art. 818, I, da CLT) com a indicação do número do processo e com a data na qual teria ocorrido a interrupção da prescrição</w:t>
      </w:r>
      <w:r w:rsidR="00AB65F0">
        <w:rPr>
          <w:rFonts w:ascii="Open Sans" w:hAnsi="Open Sans" w:cs="Open Sans"/>
          <w:bCs/>
        </w:rPr>
        <w:t>’. Destacou, ainda, que ‘</w:t>
      </w:r>
      <w:r w:rsidR="00463070" w:rsidRPr="00463070">
        <w:rPr>
          <w:rFonts w:ascii="Open Sans" w:hAnsi="Open Sans" w:cs="Open Sans"/>
          <w:bCs/>
        </w:rPr>
        <w:t>em razão das centenas de demandas semelhantes à ora examinada que foram ajuizadas no âmbito de atuação deste E. Tribunal, tem-se que constitui fato notório, o qual independe de prova, nos termos da legislação process</w:t>
      </w:r>
      <w:r w:rsidR="00AB65F0">
        <w:rPr>
          <w:rFonts w:ascii="Open Sans" w:hAnsi="Open Sans" w:cs="Open Sans"/>
          <w:bCs/>
        </w:rPr>
        <w:t>ual (art. 374, I, do CPC), que ‘</w:t>
      </w:r>
      <w:r w:rsidR="00463070" w:rsidRPr="00463070">
        <w:rPr>
          <w:rFonts w:ascii="Open Sans" w:hAnsi="Open Sans" w:cs="Open Sans"/>
          <w:bCs/>
        </w:rPr>
        <w:t>houve interrupção da prescrição bienal e quinquenal com a propositura da ação de protesto n. 0000641-61.2018.5</w:t>
      </w:r>
      <w:r w:rsidR="00AB65F0">
        <w:rPr>
          <w:rFonts w:ascii="Open Sans" w:hAnsi="Open Sans" w:cs="Open Sans"/>
          <w:bCs/>
        </w:rPr>
        <w:t>.14.0091, na data de 11/10/2018’</w:t>
      </w:r>
      <w:r w:rsidR="00463070" w:rsidRPr="00463070">
        <w:rPr>
          <w:rFonts w:ascii="Open Sans" w:hAnsi="Open Sans" w:cs="Open Sans"/>
          <w:bCs/>
        </w:rPr>
        <w:t xml:space="preserve"> (Id e5ac78e - Pág. 7), como declinado na exordial</w:t>
      </w:r>
      <w:r w:rsidR="00AB65F0">
        <w:rPr>
          <w:rFonts w:ascii="Open Sans" w:hAnsi="Open Sans" w:cs="Open Sans"/>
          <w:bCs/>
        </w:rPr>
        <w:t>’</w:t>
      </w:r>
      <w:r w:rsidR="00463070" w:rsidRPr="00463070">
        <w:rPr>
          <w:rFonts w:ascii="Open Sans" w:hAnsi="Open Sans" w:cs="Open Sans"/>
          <w:bCs/>
        </w:rPr>
        <w:t xml:space="preserve">. </w:t>
      </w:r>
      <w:proofErr w:type="gramStart"/>
      <w:r w:rsidR="00463070" w:rsidRPr="00463070">
        <w:rPr>
          <w:rFonts w:ascii="Open Sans" w:hAnsi="Open Sans" w:cs="Open Sans"/>
          <w:bCs/>
        </w:rPr>
        <w:t>Pois bem.</w:t>
      </w:r>
      <w:proofErr w:type="gramEnd"/>
      <w:r w:rsidR="00463070" w:rsidRPr="00463070">
        <w:rPr>
          <w:rFonts w:ascii="Open Sans" w:hAnsi="Open Sans" w:cs="Open Sans"/>
          <w:bCs/>
        </w:rPr>
        <w:t xml:space="preserve"> Não se desconhece que a prescrição seja matéria de defesa, devendo ser arguida pela reclamada, entretanto no que refere às hipóteses interruptivas do prazo prescricional, em especial a hipótese de protesto judicial, cabe à parte demandante comprovar que referido prazo deve ser contado para além do que dispõe o art. </w:t>
      </w:r>
      <w:proofErr w:type="gramStart"/>
      <w:r w:rsidR="00463070" w:rsidRPr="00463070">
        <w:rPr>
          <w:rFonts w:ascii="Open Sans" w:hAnsi="Open Sans" w:cs="Open Sans"/>
          <w:bCs/>
        </w:rPr>
        <w:t>7°, XXIX, da Constituição Federal.</w:t>
      </w:r>
      <w:proofErr w:type="gramEnd"/>
      <w:r w:rsidR="00463070" w:rsidRPr="00463070">
        <w:rPr>
          <w:rFonts w:ascii="Open Sans" w:hAnsi="Open Sans" w:cs="Open Sans"/>
          <w:bCs/>
        </w:rPr>
        <w:t xml:space="preserve"> A </w:t>
      </w:r>
      <w:proofErr w:type="gramStart"/>
      <w:r w:rsidR="00463070" w:rsidRPr="00463070">
        <w:rPr>
          <w:rFonts w:ascii="Open Sans" w:hAnsi="Open Sans" w:cs="Open Sans"/>
          <w:bCs/>
        </w:rPr>
        <w:t>simples</w:t>
      </w:r>
      <w:proofErr w:type="gramEnd"/>
      <w:r w:rsidR="00463070" w:rsidRPr="00463070">
        <w:rPr>
          <w:rFonts w:ascii="Open Sans" w:hAnsi="Open Sans" w:cs="Open Sans"/>
          <w:bCs/>
        </w:rPr>
        <w:t xml:space="preserve"> menção do número de autuação do protesto judicial, sem a devida comprovação, não é capaz de gerar o </w:t>
      </w:r>
      <w:r w:rsidR="00463070" w:rsidRPr="00463070">
        <w:rPr>
          <w:rFonts w:ascii="Open Sans" w:hAnsi="Open Sans" w:cs="Open Sans"/>
          <w:bCs/>
        </w:rPr>
        <w:lastRenderedPageBreak/>
        <w:t xml:space="preserve">efeito interruptivo, devendo ser comprovada mediante juntada dos atos judiciais. Frise-se que a jurisprudência desta Corte é firme no sentido que compete à parte autora o ônus de comprovar a identidade de pedidos entre a demanda anterior e a atual, a fim de lograr a interrupção da prescrição, o que não foi cumprido pelo reclamante. </w:t>
      </w:r>
      <w:proofErr w:type="gramStart"/>
      <w:r w:rsidR="00463070" w:rsidRPr="00463070">
        <w:rPr>
          <w:rFonts w:ascii="Open Sans" w:hAnsi="Open Sans" w:cs="Open Sans"/>
          <w:bCs/>
        </w:rPr>
        <w:t>Precedentes.</w:t>
      </w:r>
      <w:proofErr w:type="gramEnd"/>
      <w:r w:rsidR="00463070" w:rsidRPr="00463070">
        <w:rPr>
          <w:rFonts w:ascii="Open Sans" w:hAnsi="Open Sans" w:cs="Open Sans"/>
          <w:bCs/>
        </w:rPr>
        <w:t xml:space="preserve"> Nesse contexto, o e. TRT, ao atribuir o encargo probatório à reclamada, violou as regras de distribuição do ônus da prova, pois que a alegação da existência de ação de protesto interruptivo da prescrição do direito pleiteado é fato constitutivo do direito do autor, nos termos do art. 818, I, da CLT c/c artigo 373, I, do CPC. </w:t>
      </w:r>
      <w:proofErr w:type="gramStart"/>
      <w:r w:rsidR="00463070" w:rsidRPr="00463070">
        <w:rPr>
          <w:rFonts w:ascii="Open Sans" w:hAnsi="Open Sans" w:cs="Open Sans"/>
          <w:bCs/>
        </w:rPr>
        <w:t>Recurso de revista conhecido e provido.”</w:t>
      </w:r>
      <w:proofErr w:type="gramEnd"/>
      <w:r w:rsidR="00463070" w:rsidRPr="00463070">
        <w:rPr>
          <w:rFonts w:ascii="Open Sans" w:hAnsi="Open Sans" w:cs="Open Sans"/>
          <w:bCs/>
        </w:rPr>
        <w:t xml:space="preserve"> </w:t>
      </w:r>
      <w:r w:rsidR="00463070" w:rsidRPr="00463070">
        <w:rPr>
          <w:rFonts w:ascii="Open Sans" w:hAnsi="Open Sans" w:cs="Open Sans"/>
        </w:rPr>
        <w:t>(</w:t>
      </w:r>
      <w:hyperlink r:id="rId24" w:history="1">
        <w:r w:rsidR="00463070" w:rsidRPr="00463070">
          <w:rPr>
            <w:rStyle w:val="Hyperlink"/>
            <w:rFonts w:ascii="Open Sans" w:hAnsi="Open Sans" w:cs="Open Sans"/>
          </w:rPr>
          <w:t>TST-RRAg-161-44.2022.5.14.0092, 5ª Turma, rel.</w:t>
        </w:r>
        <w:r w:rsidR="003F3B32">
          <w:rPr>
            <w:rStyle w:val="Hyperlink"/>
            <w:rFonts w:ascii="Open Sans" w:hAnsi="Open Sans" w:cs="Open Sans"/>
          </w:rPr>
          <w:t xml:space="preserve"> Min.</w:t>
        </w:r>
        <w:r w:rsidR="00463070" w:rsidRPr="00463070">
          <w:rPr>
            <w:rStyle w:val="Hyperlink"/>
            <w:rFonts w:ascii="Open Sans" w:hAnsi="Open Sans" w:cs="Open Sans"/>
          </w:rPr>
          <w:t xml:space="preserve"> Breno Medeiros, julgado em 20/3/2024</w:t>
        </w:r>
      </w:hyperlink>
      <w:r w:rsidR="00463070" w:rsidRPr="00463070">
        <w:rPr>
          <w:rFonts w:ascii="Open Sans" w:hAnsi="Open Sans" w:cs="Open Sans"/>
        </w:rPr>
        <w:t xml:space="preserve">) </w:t>
      </w:r>
    </w:p>
    <w:p w:rsidR="00552228" w:rsidRDefault="00552228" w:rsidP="005F7CFB">
      <w:pPr>
        <w:pStyle w:val="Identificao"/>
        <w:widowControl w:val="0"/>
        <w:rPr>
          <w:rFonts w:ascii="Open Sans" w:hAnsi="Open Sans" w:cs="Open Sans"/>
          <w:bCs/>
        </w:rPr>
      </w:pPr>
    </w:p>
    <w:p w:rsidR="00552228" w:rsidRPr="005F7CFB" w:rsidRDefault="00CE60C4" w:rsidP="005F7CFB">
      <w:pPr>
        <w:pStyle w:val="Identificao"/>
        <w:widowControl w:val="0"/>
        <w:rPr>
          <w:rFonts w:ascii="Open Sans" w:hAnsi="Open Sans" w:cs="Open Sans"/>
        </w:rPr>
      </w:pPr>
      <w:proofErr w:type="gramStart"/>
      <w:r w:rsidRPr="00CE60C4">
        <w:rPr>
          <w:rFonts w:ascii="Open Sans" w:hAnsi="Open Sans" w:cs="Open Sans"/>
          <w:bCs/>
          <w:lang w:val="pt-BR"/>
        </w:rPr>
        <w:t>“</w:t>
      </w:r>
      <w:r w:rsidR="00D079A5">
        <w:rPr>
          <w:rFonts w:ascii="Open Sans" w:hAnsi="Open Sans" w:cs="Open Sans"/>
          <w:bCs/>
          <w:lang w:val="pt-BR"/>
        </w:rPr>
        <w:t>(...)</w:t>
      </w:r>
      <w:r w:rsidR="003309E1">
        <w:rPr>
          <w:rFonts w:ascii="Open Sans" w:hAnsi="Open Sans" w:cs="Open Sans"/>
          <w:bCs/>
          <w:lang w:val="pt-BR"/>
        </w:rPr>
        <w:t xml:space="preserve"> III - </w:t>
      </w:r>
      <w:r w:rsidRPr="00CE60C4">
        <w:rPr>
          <w:rFonts w:ascii="Open Sans" w:hAnsi="Open Sans" w:cs="Open Sans"/>
          <w:bCs/>
          <w:lang w:val="pt-BR"/>
        </w:rPr>
        <w:t>RECURSO DE REVISTA.</w:t>
      </w:r>
      <w:proofErr w:type="gramEnd"/>
      <w:r w:rsidRPr="00CE60C4">
        <w:rPr>
          <w:rFonts w:ascii="Open Sans" w:hAnsi="Open Sans" w:cs="Open Sans"/>
          <w:bCs/>
          <w:lang w:val="pt-BR"/>
        </w:rPr>
        <w:t xml:space="preserve"> RECLAMANTE. LEI N.º 13.467/2017. INDENIZAÇÃO POR DANOS MORAIS. XINGAMENTO EM MENSAGEM DE AÚDIO. VALOR ARBITRADO. MAJORAÇÃO. 1 - Quanto aos fatos anteriores à vigência da Lei 13.467/2017, na fixação do montante da indenização por danos morais levam-se em consideração os princípios da proporcionalidade e da reparação integral dos danos (arts. 5º, V, da Constituição Federal e 944 do Código Civil). A regra matriz da indenização por danos morais (art. 5º, X, da CF) é a dignidade da pessoa humana, indicada pelo legislador constituinte originário como um dos fundamentos do Estado Democrático de Direito (art. 1º, III, da CF). Por esses motivos, de acordo com o STF, não encontraram legitimidade na Constituição Federal as antigas leis especiais que fixavam valores da indenização por danos morais em hipóteses específicas, como eram os casos da Lei de Imprensa (Lei 5.250/1967), do Código Brasileiro de Telecomunicações (Lei 4.117/1962) e do Código Brasileiro de Aeronáutica (Lei 7.565/1986. No RE 447.584/RJ, Ministro Cezar Peluso, o STF concluiu pela não recepção do art. 52 da Lei de Imprensa (Lei 5250/1967) registrando que </w:t>
      </w:r>
      <w:r w:rsidR="003E76DA">
        <w:rPr>
          <w:rFonts w:ascii="Open Sans" w:hAnsi="Open Sans" w:cs="Open Sans"/>
          <w:bCs/>
          <w:lang w:val="pt-BR"/>
        </w:rPr>
        <w:t>‘</w:t>
      </w:r>
      <w:r w:rsidRPr="00CE60C4">
        <w:rPr>
          <w:rFonts w:ascii="Open Sans" w:hAnsi="Open Sans" w:cs="Open Sans"/>
          <w:bCs/>
          <w:lang w:val="pt-BR"/>
        </w:rPr>
        <w:t>Toda limitação, prévia e abstrata, ao valor de indenização por dano moral, objeto de juízo de equidade, é incompatível com o alcance da indenizabilidade irrestrita assegurada pela atual Constituição da República</w:t>
      </w:r>
      <w:r w:rsidR="003E76DA">
        <w:rPr>
          <w:rFonts w:ascii="Open Sans" w:hAnsi="Open Sans" w:cs="Open Sans"/>
          <w:bCs/>
          <w:lang w:val="pt-BR"/>
        </w:rPr>
        <w:t>’</w:t>
      </w:r>
      <w:r w:rsidRPr="00CE60C4">
        <w:rPr>
          <w:rFonts w:ascii="Open Sans" w:hAnsi="Open Sans" w:cs="Open Sans"/>
          <w:bCs/>
          <w:lang w:val="pt-BR"/>
        </w:rPr>
        <w:t>. Na ADPF 130, Ministro Carlos Britto, o STF decidiu pela não recepção integral da Lei de Imprensa (Lei 5250/1967), afastando novamente a hipótese de tabelamento do montante da indenização por danos morais, entre out</w:t>
      </w:r>
      <w:r w:rsidR="003E76DA">
        <w:rPr>
          <w:rFonts w:ascii="Open Sans" w:hAnsi="Open Sans" w:cs="Open Sans"/>
          <w:bCs/>
          <w:lang w:val="pt-BR"/>
        </w:rPr>
        <w:t>ros, pelo seguinte fundamento: ‘</w:t>
      </w:r>
      <w:r w:rsidRPr="00CE60C4">
        <w:rPr>
          <w:rFonts w:ascii="Open Sans" w:hAnsi="Open Sans" w:cs="Open Sans"/>
          <w:bCs/>
          <w:lang w:val="pt-BR"/>
        </w:rPr>
        <w:t>(...) A relação de proporcionalidade entre o dano moral ou material sofrido por alguém e a indenização que lhe caiba receber (quanto maior o dano maior a indenização) opera é no âmbito interno da potencialidade da ofensa e da concreta situação do ofendido (...)</w:t>
      </w:r>
      <w:r w:rsidR="003E76DA">
        <w:rPr>
          <w:rFonts w:ascii="Open Sans" w:hAnsi="Open Sans" w:cs="Open Sans"/>
          <w:bCs/>
          <w:lang w:val="pt-BR"/>
        </w:rPr>
        <w:t>’</w:t>
      </w:r>
      <w:r w:rsidRPr="00CE60C4">
        <w:rPr>
          <w:rFonts w:ascii="Open Sans" w:hAnsi="Open Sans" w:cs="Open Sans"/>
          <w:bCs/>
          <w:lang w:val="pt-BR"/>
        </w:rPr>
        <w:t xml:space="preserve">. 2 - Quanto aos fatos posteriores à vigência da Lei 13.467/2017, na fixação do montante da indenização por danos </w:t>
      </w:r>
      <w:proofErr w:type="gramStart"/>
      <w:r w:rsidRPr="00CE60C4">
        <w:rPr>
          <w:rFonts w:ascii="Open Sans" w:hAnsi="Open Sans" w:cs="Open Sans"/>
          <w:bCs/>
          <w:lang w:val="pt-BR"/>
        </w:rPr>
        <w:t>morais</w:t>
      </w:r>
      <w:proofErr w:type="gramEnd"/>
      <w:r w:rsidRPr="00CE60C4">
        <w:rPr>
          <w:rFonts w:ascii="Open Sans" w:hAnsi="Open Sans" w:cs="Open Sans"/>
          <w:bCs/>
          <w:lang w:val="pt-BR"/>
        </w:rPr>
        <w:t xml:space="preserve"> também seguem aplicáveis os princípios da proporcionalidade e da reparação integral dos danos (arts. 5º, V, da Constituição Federal e 944 do Código Civil).  Em razão das disposições da Lei 13.467/2017 sobre a matéria, foram propostas ações diretas de inconstitucionalidade pela ANAMATRA (ADI 6.050), pela CNTI (ADI 6.082) e pelo CFOAB (ADI 6.069), as quais foram desapensadas da ADI 5.870 (extinta sem resolução do </w:t>
      </w:r>
      <w:r w:rsidRPr="00CE60C4">
        <w:rPr>
          <w:rFonts w:ascii="Open Sans" w:hAnsi="Open Sans" w:cs="Open Sans"/>
          <w:bCs/>
          <w:lang w:val="pt-BR"/>
        </w:rPr>
        <w:lastRenderedPageBreak/>
        <w:t xml:space="preserve">mérito por perda de objeto ante o fim da vigência da MP 808/2017). Nas </w:t>
      </w:r>
      <w:proofErr w:type="gramStart"/>
      <w:r w:rsidRPr="00CE60C4">
        <w:rPr>
          <w:rFonts w:ascii="Open Sans" w:hAnsi="Open Sans" w:cs="Open Sans"/>
          <w:bCs/>
          <w:lang w:val="pt-BR"/>
        </w:rPr>
        <w:t>ADIs</w:t>
      </w:r>
      <w:proofErr w:type="gramEnd"/>
      <w:r w:rsidRPr="00CE60C4">
        <w:rPr>
          <w:rFonts w:ascii="Open Sans" w:hAnsi="Open Sans" w:cs="Open Sans"/>
          <w:bCs/>
          <w:lang w:val="pt-BR"/>
        </w:rPr>
        <w:t xml:space="preserve"> 6.050, 6.082 e 6.069, a conclusão do STF foi s</w:t>
      </w:r>
      <w:r w:rsidR="003E76DA">
        <w:rPr>
          <w:rFonts w:ascii="Open Sans" w:hAnsi="Open Sans" w:cs="Open Sans"/>
          <w:bCs/>
          <w:lang w:val="pt-BR"/>
        </w:rPr>
        <w:t>intetizada na seguinte ementa: ‘</w:t>
      </w:r>
      <w:r w:rsidRPr="00CE60C4">
        <w:rPr>
          <w:rFonts w:ascii="Open Sans" w:hAnsi="Open Sans" w:cs="Open Sans"/>
          <w:bCs/>
          <w:lang w:val="pt-BR"/>
        </w:rPr>
        <w:t xml:space="preserve">Ações diretas de inconstitucionalidade. 2. Reforma Trabalhista. Artigos 223-A e 223-G, §§ 1º e 2º, da CLT, na redação dada pela Lei 13.467/2017. Parâmetros para a fixação do </w:t>
      </w:r>
      <w:r w:rsidRPr="00CE60C4">
        <w:rPr>
          <w:rFonts w:ascii="Open Sans" w:hAnsi="Open Sans" w:cs="Open Sans"/>
          <w:bCs/>
          <w:i/>
          <w:lang w:val="pt-BR"/>
        </w:rPr>
        <w:t>quantum</w:t>
      </w:r>
      <w:r w:rsidRPr="00CE60C4">
        <w:rPr>
          <w:rFonts w:ascii="Open Sans" w:hAnsi="Open Sans" w:cs="Open Sans"/>
          <w:bCs/>
          <w:lang w:val="pt-BR"/>
        </w:rPr>
        <w:t xml:space="preserve"> indenizatório dos danos extrapatrimoniais. 3. Ações conhecidas e julgadas parcialmente procedentes para conferir interpretação conforme a Constituição, de modo a estabelecer que: 3.1. As redações conferidas aos art. 223-A e 223- B, da CLT, não excluem o direito à reparação por dano moral indireto ou dano em ricochete no âmbito das relações de trabalho, a ser apreciado nos termos da legislação civil; 3.2. Os critérios de quantificação de reparação por dano extrapatrimonial previstos no art. 223-G, caput e §1º, da CLT deverão ser observados pelo julgador como critérios orientativos de fundamentação da decisão judicial. É constitucional, porém, o arbitramento judicial do dano em valores superior aos limites máximos dispostos nos incisos I a IV do § 1º do art. 223-G, quando consideradas as circunstâncias do caso concreto e os princípios da razoabilidade, da proporcionalidade e da igualdade</w:t>
      </w:r>
      <w:r w:rsidR="003E76DA">
        <w:rPr>
          <w:rFonts w:ascii="Open Sans" w:hAnsi="Open Sans" w:cs="Open Sans"/>
          <w:bCs/>
          <w:lang w:val="pt-BR"/>
        </w:rPr>
        <w:t>’</w:t>
      </w:r>
      <w:r w:rsidRPr="00CE60C4">
        <w:rPr>
          <w:rFonts w:ascii="Open Sans" w:hAnsi="Open Sans" w:cs="Open Sans"/>
          <w:bCs/>
          <w:lang w:val="pt-BR"/>
        </w:rPr>
        <w:t>. Assim, quanto aos fatos ocorridos na vigência da Lei 13.467/2017, podem ser utilizados na fixação do montante da indenização por danos morais os parâmetros do art. 223-G da CLT. O dispositivo, contudo, na parte em que apresenta tabelamento de valores, não vincula o julgador na fixação da indeniza</w:t>
      </w:r>
      <w:r w:rsidR="003E76DA">
        <w:rPr>
          <w:rFonts w:ascii="Open Sans" w:hAnsi="Open Sans" w:cs="Open Sans"/>
          <w:bCs/>
          <w:lang w:val="pt-BR"/>
        </w:rPr>
        <w:t>ção por danos morais, conforme ‘</w:t>
      </w:r>
      <w:r w:rsidRPr="00CE60C4">
        <w:rPr>
          <w:rFonts w:ascii="Open Sans" w:hAnsi="Open Sans" w:cs="Open Sans"/>
          <w:bCs/>
          <w:lang w:val="pt-BR"/>
        </w:rPr>
        <w:t>as circunstâncias do caso concreto e os princípios da razoabilidade, da proporcionalidade e da igualdade</w:t>
      </w:r>
      <w:r w:rsidR="003E76DA">
        <w:rPr>
          <w:rFonts w:ascii="Open Sans" w:hAnsi="Open Sans" w:cs="Open Sans"/>
          <w:bCs/>
          <w:lang w:val="pt-BR"/>
        </w:rPr>
        <w:t>’</w:t>
      </w:r>
      <w:r w:rsidRPr="00CE60C4">
        <w:rPr>
          <w:rFonts w:ascii="Open Sans" w:hAnsi="Open Sans" w:cs="Open Sans"/>
          <w:bCs/>
          <w:lang w:val="pt-BR"/>
        </w:rPr>
        <w:t xml:space="preserve"> (nos termos decididos pelo STF). 3 – No caso concreto, o dano moral decorre de xingamento sofrido pelo reclamante, no</w:t>
      </w:r>
      <w:r w:rsidR="003E76DA">
        <w:rPr>
          <w:rFonts w:ascii="Open Sans" w:hAnsi="Open Sans" w:cs="Open Sans"/>
          <w:bCs/>
          <w:lang w:val="pt-BR"/>
        </w:rPr>
        <w:t xml:space="preserve"> qual seu superior o </w:t>
      </w:r>
      <w:proofErr w:type="gramStart"/>
      <w:r w:rsidR="003E76DA">
        <w:rPr>
          <w:rFonts w:ascii="Open Sans" w:hAnsi="Open Sans" w:cs="Open Sans"/>
          <w:bCs/>
          <w:lang w:val="pt-BR"/>
        </w:rPr>
        <w:t>xingou</w:t>
      </w:r>
      <w:proofErr w:type="gramEnd"/>
      <w:r w:rsidR="003E76DA">
        <w:rPr>
          <w:rFonts w:ascii="Open Sans" w:hAnsi="Open Sans" w:cs="Open Sans"/>
          <w:bCs/>
          <w:lang w:val="pt-BR"/>
        </w:rPr>
        <w:t xml:space="preserve"> de ‘burro’</w:t>
      </w:r>
      <w:r w:rsidRPr="00CE60C4">
        <w:rPr>
          <w:rFonts w:ascii="Open Sans" w:hAnsi="Open Sans" w:cs="Open Sans"/>
          <w:bCs/>
          <w:lang w:val="pt-BR"/>
        </w:rPr>
        <w:t xml:space="preserve"> diversas vezes na mensagem de áudio enviada em razão de afastamento para uso do banheiro sem avisar ao segurança do shopping. 4 - O TRT manteve o valor arbitrado na sentença (R$ 1.632,00). Considerou o dano leve, pois não se tratou de situação repetitiva, o xingamento não foi intenso, e não ocorreu na frente de colegas de trabalho, sendo situação pontual e com pouca repercussão. 5 - Porém, ao contrário do que entende o Tribunal Regional, a conduta não foi leve, mas grave e inadmissível, pelo que o valor deve ser majorado para R$ 5.000,00 (cinco mil reais), considerando o dano sofrido, a sua extensão, o grau de culpabilidade da reclamada e capacidade econômica dos envolvidos. 6 – Recurso de revista de que se conhece e a que se dá provimento.</w:t>
      </w:r>
      <w:r w:rsidRPr="00CE60C4">
        <w:rPr>
          <w:rFonts w:ascii="Open Sans" w:hAnsi="Open Sans" w:cs="Open Sans"/>
          <w:lang w:val="pt-BR"/>
        </w:rPr>
        <w:t xml:space="preserve">“ </w:t>
      </w:r>
      <w:r w:rsidRPr="00CE60C4">
        <w:rPr>
          <w:rFonts w:ascii="Open Sans" w:hAnsi="Open Sans" w:cs="Open Sans"/>
          <w:bCs/>
          <w:lang w:val="pt-BR"/>
        </w:rPr>
        <w:t>(</w:t>
      </w:r>
      <w:hyperlink r:id="rId25" w:history="1">
        <w:r w:rsidRPr="00CE60C4">
          <w:rPr>
            <w:rStyle w:val="Hyperlink"/>
            <w:rFonts w:ascii="Open Sans" w:hAnsi="Open Sans" w:cs="Open Sans"/>
            <w:bCs/>
            <w:lang w:val="pt-BR"/>
          </w:rPr>
          <w:t>TST-RR-666-10.2018.5.09.0029, 6ª Turma, rel. Min. Kátia Magalhães Arruda, julgado em 22/3/2024</w:t>
        </w:r>
      </w:hyperlink>
      <w:r w:rsidRPr="00CE60C4">
        <w:rPr>
          <w:rFonts w:ascii="Open Sans" w:hAnsi="Open Sans" w:cs="Open Sans"/>
          <w:bCs/>
          <w:lang w:val="pt-BR"/>
        </w:rPr>
        <w:t>).</w:t>
      </w:r>
    </w:p>
    <w:p w:rsidR="00463070" w:rsidRDefault="00463070" w:rsidP="002D05F7">
      <w:pPr>
        <w:pStyle w:val="Identificao"/>
        <w:widowControl w:val="0"/>
        <w:rPr>
          <w:rFonts w:ascii="Open Sans" w:hAnsi="Open Sans" w:cs="Open Sans"/>
          <w:lang w:val="pt-BR"/>
        </w:rPr>
      </w:pPr>
    </w:p>
    <w:p w:rsidR="00E736C8" w:rsidRPr="00E736C8" w:rsidRDefault="00E736C8" w:rsidP="00E736C8">
      <w:pPr>
        <w:pStyle w:val="Identificao"/>
        <w:widowControl w:val="0"/>
        <w:rPr>
          <w:rFonts w:ascii="Open Sans" w:hAnsi="Open Sans" w:cs="Open Sans"/>
          <w:bCs/>
        </w:rPr>
      </w:pPr>
      <w:r w:rsidRPr="00E736C8">
        <w:rPr>
          <w:rFonts w:ascii="Open Sans" w:hAnsi="Open Sans" w:cs="Open Sans"/>
          <w:bCs/>
        </w:rPr>
        <w:t xml:space="preserve">“PROTOCOLO DE JULGAMENTO </w:t>
      </w:r>
      <w:proofErr w:type="gramStart"/>
      <w:r w:rsidRPr="00E736C8">
        <w:rPr>
          <w:rFonts w:ascii="Open Sans" w:hAnsi="Open Sans" w:cs="Open Sans"/>
          <w:bCs/>
        </w:rPr>
        <w:t>SOB</w:t>
      </w:r>
      <w:proofErr w:type="gramEnd"/>
      <w:r w:rsidRPr="00E736C8">
        <w:rPr>
          <w:rFonts w:ascii="Open Sans" w:hAnsi="Open Sans" w:cs="Open Sans"/>
          <w:bCs/>
        </w:rPr>
        <w:t xml:space="preserve"> A PERSPECTIVA DE GÊNERO – RESOLUÇÃO DO CNJ Nº 492/2023 – PORTARIA CNJ Nº 27/2021. </w:t>
      </w:r>
      <w:proofErr w:type="gramStart"/>
      <w:r w:rsidRPr="00E736C8">
        <w:rPr>
          <w:rFonts w:ascii="Open Sans" w:hAnsi="Open Sans" w:cs="Open Sans"/>
          <w:bCs/>
        </w:rPr>
        <w:t>AGRAVO DE INSTRUMENTO.</w:t>
      </w:r>
      <w:proofErr w:type="gramEnd"/>
      <w:r w:rsidRPr="00E736C8">
        <w:rPr>
          <w:rFonts w:ascii="Open Sans" w:hAnsi="Open Sans" w:cs="Open Sans"/>
          <w:bCs/>
        </w:rPr>
        <w:t xml:space="preserve"> </w:t>
      </w:r>
      <w:proofErr w:type="gramStart"/>
      <w:r w:rsidRPr="00E736C8">
        <w:rPr>
          <w:rFonts w:ascii="Open Sans" w:hAnsi="Open Sans" w:cs="Open Sans"/>
          <w:bCs/>
        </w:rPr>
        <w:t>RECURSO DE REVISTA.</w:t>
      </w:r>
      <w:proofErr w:type="gramEnd"/>
      <w:r w:rsidRPr="00E736C8">
        <w:rPr>
          <w:rFonts w:ascii="Open Sans" w:hAnsi="Open Sans" w:cs="Open Sans"/>
          <w:bCs/>
        </w:rPr>
        <w:t xml:space="preserve"> INTERPOSIÇÃO SOB </w:t>
      </w:r>
      <w:proofErr w:type="gramStart"/>
      <w:r w:rsidRPr="00E736C8">
        <w:rPr>
          <w:rFonts w:ascii="Open Sans" w:hAnsi="Open Sans" w:cs="Open Sans"/>
          <w:bCs/>
        </w:rPr>
        <w:t>A</w:t>
      </w:r>
      <w:proofErr w:type="gramEnd"/>
      <w:r w:rsidRPr="00E736C8">
        <w:rPr>
          <w:rFonts w:ascii="Open Sans" w:hAnsi="Open Sans" w:cs="Open Sans"/>
          <w:bCs/>
        </w:rPr>
        <w:t xml:space="preserve"> ÉGIDE DA LEI 13.467/2017. </w:t>
      </w:r>
      <w:proofErr w:type="gramStart"/>
      <w:r w:rsidRPr="00E736C8">
        <w:rPr>
          <w:rFonts w:ascii="Open Sans" w:hAnsi="Open Sans" w:cs="Open Sans"/>
          <w:bCs/>
        </w:rPr>
        <w:t>ASSÉDIO MORAL/SEXUAL.</w:t>
      </w:r>
      <w:proofErr w:type="gramEnd"/>
      <w:r w:rsidRPr="00E736C8">
        <w:rPr>
          <w:rFonts w:ascii="Open Sans" w:hAnsi="Open Sans" w:cs="Open Sans"/>
          <w:bCs/>
        </w:rPr>
        <w:t xml:space="preserve"> CONDUTA TÍPICA DE PREPOSTO </w:t>
      </w:r>
      <w:proofErr w:type="gramStart"/>
      <w:r w:rsidRPr="00E736C8">
        <w:rPr>
          <w:rFonts w:ascii="Open Sans" w:hAnsi="Open Sans" w:cs="Open Sans"/>
          <w:bCs/>
        </w:rPr>
        <w:t>DO</w:t>
      </w:r>
      <w:proofErr w:type="gramEnd"/>
      <w:r w:rsidRPr="00E736C8">
        <w:rPr>
          <w:rFonts w:ascii="Open Sans" w:hAnsi="Open Sans" w:cs="Open Sans"/>
          <w:bCs/>
        </w:rPr>
        <w:t xml:space="preserve"> TOMADOR DE SERVIÇOS. RESPONSABILIDADE SOLIDÁRIA. Reconhecida a transcendência jurídica do recurso, nos termos do art. </w:t>
      </w:r>
      <w:proofErr w:type="gramStart"/>
      <w:r w:rsidRPr="00E736C8">
        <w:rPr>
          <w:rFonts w:ascii="Open Sans" w:hAnsi="Open Sans" w:cs="Open Sans"/>
          <w:bCs/>
        </w:rPr>
        <w:t>896-A, IV, da CLT.</w:t>
      </w:r>
      <w:proofErr w:type="gramEnd"/>
      <w:r w:rsidRPr="00E736C8">
        <w:rPr>
          <w:rFonts w:ascii="Open Sans" w:hAnsi="Open Sans" w:cs="Open Sans"/>
          <w:bCs/>
        </w:rPr>
        <w:t xml:space="preserve"> 1. Discute-se nos autos os efeitos jurídicos do assédio moral e sexual sofridos por mulher trabalhadora no contexto do ambiente de </w:t>
      </w:r>
      <w:r w:rsidRPr="00E736C8">
        <w:rPr>
          <w:rFonts w:ascii="Open Sans" w:hAnsi="Open Sans" w:cs="Open Sans"/>
          <w:bCs/>
        </w:rPr>
        <w:lastRenderedPageBreak/>
        <w:t>trabalho terceirizado, bem como a responsabilidade do tomador de serviços. 2. A Corte Regional, última instância apta à análise do conjunto pr</w:t>
      </w:r>
      <w:r w:rsidR="00AB65F0">
        <w:rPr>
          <w:rFonts w:ascii="Open Sans" w:hAnsi="Open Sans" w:cs="Open Sans"/>
          <w:bCs/>
        </w:rPr>
        <w:t>obatório dos autos, apurou que ‘</w:t>
      </w:r>
      <w:r w:rsidRPr="00E736C8">
        <w:rPr>
          <w:rFonts w:ascii="Open Sans" w:hAnsi="Open Sans" w:cs="Open Sans"/>
          <w:bCs/>
        </w:rPr>
        <w:t xml:space="preserve">O tomador dos serviços, na figura da Superintendente C.P.da C., com fundamento em pretensas mensagens reveladoras de ter aceitado convite anterior para ir a um motel com W. - não apresentadas à empregadora ou juntadas no processo - solicitou a imediata substituição da vítima do assédio sexual, que prestava serviços no local há mais de dois anos e sobre a qual inexiste qualquer fato desabonador comprovado. Cabe referir que a possibilidade - não comprovada, de a empregada ter mantido relacionamento prévio com o assediador não valida o comportamento deste e, muito menos, desqualifica a denúncia da trabalhadora, que tem o direito de desenvolver suas atividades profissionais em ambiente saudável e livre de qualquer constrangimento ou violência. Está demonstrado que o tomador dos serviços - a quem, assim como compete ao empregador, competia zelar pelo meio ambiente laboral hígido e seguro - ignorou a violência à integridade emocional da trabalhadora ocorrida nas suas dependências e, com sua conduta, agravou os danos suportados pela demandante que teve o seu contrato de trabalho rescindido contribuindo para o fortalecimento da crença de que a denúncia da prática de assédio sexual no trabalho acaba por penalizar a própria vítima, que, na imensa maioria dos casos, lamentavelmente, é do gênero feminino. No que diz respeito à responsabilidade do tomador de serviços, as circunstâncias fáticas do caso concreto expostas anteriormente atraem </w:t>
      </w:r>
      <w:proofErr w:type="gramStart"/>
      <w:r w:rsidRPr="00E736C8">
        <w:rPr>
          <w:rFonts w:ascii="Open Sans" w:hAnsi="Open Sans" w:cs="Open Sans"/>
          <w:bCs/>
        </w:rPr>
        <w:t>a</w:t>
      </w:r>
      <w:proofErr w:type="gramEnd"/>
      <w:r w:rsidRPr="00E736C8">
        <w:rPr>
          <w:rFonts w:ascii="Open Sans" w:hAnsi="Open Sans" w:cs="Open Sans"/>
          <w:bCs/>
        </w:rPr>
        <w:t xml:space="preserve"> incidência dos artigos 264 e 942, ambos do Cód. </w:t>
      </w:r>
      <w:proofErr w:type="gramStart"/>
      <w:r w:rsidRPr="00E736C8">
        <w:rPr>
          <w:rFonts w:ascii="Open Sans" w:hAnsi="Open Sans" w:cs="Open Sans"/>
          <w:bCs/>
        </w:rPr>
        <w:t>Civil, e art.</w:t>
      </w:r>
      <w:proofErr w:type="gramEnd"/>
      <w:r w:rsidRPr="00E736C8">
        <w:rPr>
          <w:rFonts w:ascii="Open Sans" w:hAnsi="Open Sans" w:cs="Open Sans"/>
          <w:bCs/>
        </w:rPr>
        <w:t xml:space="preserve"> </w:t>
      </w:r>
      <w:proofErr w:type="gramStart"/>
      <w:r w:rsidRPr="00E736C8">
        <w:rPr>
          <w:rFonts w:ascii="Open Sans" w:hAnsi="Open Sans" w:cs="Open Sans"/>
          <w:bCs/>
        </w:rPr>
        <w:t>37, § 6º da Constituição Federal.</w:t>
      </w:r>
      <w:proofErr w:type="gramEnd"/>
      <w:r w:rsidRPr="00E736C8">
        <w:rPr>
          <w:rFonts w:ascii="Open Sans" w:hAnsi="Open Sans" w:cs="Open Sans"/>
          <w:bCs/>
        </w:rPr>
        <w:t xml:space="preserve"> É indiscutível que o IBAMA e a empregadora foram coautores dos atos ilícitos que ocasionaram os danos suportados pela trabalhadora, o que justifica a responsabilização solidária do ente público pelos créditos deferidos, </w:t>
      </w:r>
      <w:proofErr w:type="gramStart"/>
      <w:r w:rsidRPr="00E736C8">
        <w:rPr>
          <w:rFonts w:ascii="Open Sans" w:hAnsi="Open Sans" w:cs="Open Sans"/>
          <w:bCs/>
        </w:rPr>
        <w:t>como</w:t>
      </w:r>
      <w:proofErr w:type="gramEnd"/>
      <w:r w:rsidRPr="00E736C8">
        <w:rPr>
          <w:rFonts w:ascii="Open Sans" w:hAnsi="Open Sans" w:cs="Open Sans"/>
          <w:bCs/>
        </w:rPr>
        <w:t xml:space="preserve"> postulado na inicial e reiterado no recurso, que pretende a condenação das rés e se reporta à inicial. [</w:t>
      </w:r>
      <w:proofErr w:type="gramStart"/>
      <w:r w:rsidRPr="00E736C8">
        <w:rPr>
          <w:rFonts w:ascii="Open Sans" w:hAnsi="Open Sans" w:cs="Open Sans"/>
          <w:bCs/>
        </w:rPr>
        <w:t>nomes</w:t>
      </w:r>
      <w:proofErr w:type="gramEnd"/>
      <w:r w:rsidRPr="00E736C8">
        <w:rPr>
          <w:rFonts w:ascii="Open Sans" w:hAnsi="Open Sans" w:cs="Open Sans"/>
          <w:bCs/>
        </w:rPr>
        <w:t xml:space="preserve"> ocultados]. 3. Para casos como o presente, o CNJ editou a Resolução nº 492/2023 que aprovou o Protocolo de Julgamento sob a Perspectiva de Gênero, disposto na Portaria CNJ nº 27/2021, do qual se extraem várias orientações para o julgamento de causas envolvendo a violência contra a mulher. Como se verifica do referido Protocolo, em casos </w:t>
      </w:r>
      <w:proofErr w:type="gramStart"/>
      <w:r w:rsidRPr="00E736C8">
        <w:rPr>
          <w:rFonts w:ascii="Open Sans" w:hAnsi="Open Sans" w:cs="Open Sans"/>
          <w:bCs/>
        </w:rPr>
        <w:t>como</w:t>
      </w:r>
      <w:proofErr w:type="gramEnd"/>
      <w:r w:rsidRPr="00E736C8">
        <w:rPr>
          <w:rFonts w:ascii="Open Sans" w:hAnsi="Open Sans" w:cs="Open Sans"/>
          <w:bCs/>
        </w:rPr>
        <w:t xml:space="preserve"> o dos autos, que envolvem assédio e violência sexual no ambiente laboral, os indícios e o depoimento da vítima ganham relevância. O Protocolo do CNJ merece destaque e aplicação no presente caso, diante d</w:t>
      </w:r>
      <w:r w:rsidR="00AB65F0">
        <w:rPr>
          <w:rFonts w:ascii="Open Sans" w:hAnsi="Open Sans" w:cs="Open Sans"/>
          <w:bCs/>
        </w:rPr>
        <w:t>a insofismável previsão de que ‘</w:t>
      </w:r>
      <w:r w:rsidRPr="00E736C8">
        <w:rPr>
          <w:rFonts w:ascii="Open Sans" w:hAnsi="Open Sans" w:cs="Open Sans"/>
          <w:bCs/>
        </w:rPr>
        <w:t>a ocorrência da violência ou do assédio normalmente se dá de forma clandestina, o que pode ensejar uma readequação da distribuição do ônus probatório, bem como a consideração do depoimento pessoal da vítima e da relevância de prova indiciária e indireta</w:t>
      </w:r>
      <w:r w:rsidR="00AB65F0">
        <w:rPr>
          <w:rFonts w:ascii="Open Sans" w:hAnsi="Open Sans" w:cs="Open Sans"/>
          <w:bCs/>
        </w:rPr>
        <w:t>’</w:t>
      </w:r>
      <w:r w:rsidRPr="00E736C8">
        <w:rPr>
          <w:rFonts w:ascii="Open Sans" w:hAnsi="Open Sans" w:cs="Open Sans"/>
          <w:bCs/>
        </w:rPr>
        <w:t xml:space="preserve">. 4. O acórdão regional é claro quanto a existência de assédio sexual perpetrado por colega de trabalho em face da autora, e que, uma vez denunciado o fato, a vítima foi também penalizada pelo tomador de serviços ao ser requerida sua substituição, e, posteriormente pela sua empregadora, que a manteve intencionalmente sem atribuições definidas e subaproveitada em local de péssimas condições, até seu </w:t>
      </w:r>
      <w:r w:rsidRPr="00E736C8">
        <w:rPr>
          <w:rFonts w:ascii="Open Sans" w:hAnsi="Open Sans" w:cs="Open Sans"/>
          <w:bCs/>
        </w:rPr>
        <w:lastRenderedPageBreak/>
        <w:t xml:space="preserve">desligamento dois meses após os fatos. A par de todo o quadro fático delineado, não restam dúvidas quanto ao ambiente hostil, ruim e degradado presente no local de trabalho, que terminou por propiciar que o assédio sexual e moral contra </w:t>
      </w:r>
      <w:proofErr w:type="gramStart"/>
      <w:r w:rsidRPr="00E736C8">
        <w:rPr>
          <w:rFonts w:ascii="Open Sans" w:hAnsi="Open Sans" w:cs="Open Sans"/>
          <w:bCs/>
        </w:rPr>
        <w:t>a</w:t>
      </w:r>
      <w:proofErr w:type="gramEnd"/>
      <w:r w:rsidRPr="00E736C8">
        <w:rPr>
          <w:rFonts w:ascii="Open Sans" w:hAnsi="Open Sans" w:cs="Open Sans"/>
          <w:bCs/>
        </w:rPr>
        <w:t xml:space="preserve"> autora. E, se </w:t>
      </w:r>
      <w:proofErr w:type="gramStart"/>
      <w:r w:rsidRPr="00E736C8">
        <w:rPr>
          <w:rFonts w:ascii="Open Sans" w:hAnsi="Open Sans" w:cs="Open Sans"/>
          <w:bCs/>
        </w:rPr>
        <w:t>tais</w:t>
      </w:r>
      <w:proofErr w:type="gramEnd"/>
      <w:r w:rsidRPr="00E736C8">
        <w:rPr>
          <w:rFonts w:ascii="Open Sans" w:hAnsi="Open Sans" w:cs="Open Sans"/>
          <w:bCs/>
        </w:rPr>
        <w:t xml:space="preserve"> condutas decorreram no contexto do meio ambiente do trabalho, por meio de um preposto da tomadora, patente a sua culpa no evento. 5. Ora, a Constituição da República elevou a dignidade da pessoa humana ao centro do ordenamento jurídico brasileiro (art. 1º, III) e elencou, dentre os direitos sociais, o direito à saúde (art. 6º). </w:t>
      </w:r>
      <w:proofErr w:type="gramStart"/>
      <w:r w:rsidRPr="00E736C8">
        <w:rPr>
          <w:rFonts w:ascii="Open Sans" w:hAnsi="Open Sans" w:cs="Open Sans"/>
          <w:bCs/>
        </w:rPr>
        <w:t>Inseriu, ainda, no rol dos direitos de todos os tra</w:t>
      </w:r>
      <w:r w:rsidR="00AB65F0">
        <w:rPr>
          <w:rFonts w:ascii="Open Sans" w:hAnsi="Open Sans" w:cs="Open Sans"/>
          <w:bCs/>
        </w:rPr>
        <w:t>balhadores - art.</w:t>
      </w:r>
      <w:proofErr w:type="gramEnd"/>
      <w:r w:rsidR="00AB65F0">
        <w:rPr>
          <w:rFonts w:ascii="Open Sans" w:hAnsi="Open Sans" w:cs="Open Sans"/>
          <w:bCs/>
        </w:rPr>
        <w:t xml:space="preserve"> 7º, XXII – a ‘</w:t>
      </w:r>
      <w:r w:rsidRPr="00E736C8">
        <w:rPr>
          <w:rFonts w:ascii="Open Sans" w:hAnsi="Open Sans" w:cs="Open Sans"/>
          <w:bCs/>
        </w:rPr>
        <w:t xml:space="preserve">redução dos riscos inerentes ao trabalho, por meio de </w:t>
      </w:r>
      <w:proofErr w:type="gramStart"/>
      <w:r w:rsidRPr="00E736C8">
        <w:rPr>
          <w:rFonts w:ascii="Open Sans" w:hAnsi="Open Sans" w:cs="Open Sans"/>
          <w:bCs/>
        </w:rPr>
        <w:t>normas</w:t>
      </w:r>
      <w:proofErr w:type="gramEnd"/>
      <w:r w:rsidRPr="00E736C8">
        <w:rPr>
          <w:rFonts w:ascii="Open Sans" w:hAnsi="Open Sans" w:cs="Open Sans"/>
          <w:bCs/>
        </w:rPr>
        <w:t xml:space="preserve"> de saúde, higiene e segurança</w:t>
      </w:r>
      <w:r w:rsidR="00AB65F0">
        <w:rPr>
          <w:rFonts w:ascii="Open Sans" w:hAnsi="Open Sans" w:cs="Open Sans"/>
          <w:bCs/>
        </w:rPr>
        <w:t>’</w:t>
      </w:r>
      <w:r w:rsidRPr="00E736C8">
        <w:rPr>
          <w:rFonts w:ascii="Open Sans" w:hAnsi="Open Sans" w:cs="Open Sans"/>
          <w:bCs/>
        </w:rPr>
        <w:t xml:space="preserve">. No contexto do mercado de trabalho da mulher, a luta pela igualdade de direitos e a não discriminação iniciou-se com a Constituição de 1988, mas mesmo após 35 anos da sua promulgação, em um país culturalmente machista, com raízes no colonialismo e nos padrões eurocêntricos de superioridade em relação ao sexo, gênero, raça, origem, dentre outros, é necessário dizer o óbvio, criar leis que assegurem o direito à mulher a um mercado de trabalho justo, equânime, isonômico, proporcionando um ambiente laboral equilibrado, de respeito e livre de assédios. 6. Nesse cenário, o constitucionalismo feminino, inaugurado no julgamento da ADC 19, em que se declarou a constitucionalidade da Lei Maria da Penha (11.340/06), a Suprema Corte passou a entender pela existência de um microssistema de proteção à mulher, de forma que os processos judiciais envolvendo tais questões sociais devem ser vistos pelas lentes do constitucionalismo feminino, de igualdade substancial e de afirmação social. </w:t>
      </w:r>
      <w:proofErr w:type="gramStart"/>
      <w:r w:rsidRPr="00E736C8">
        <w:rPr>
          <w:rFonts w:ascii="Open Sans" w:hAnsi="Open Sans" w:cs="Open Sans"/>
          <w:bCs/>
        </w:rPr>
        <w:t>Tal concepção vem ao encontro da 7ª onda renovatória de acesso a justiça, de Bryant Garth, que busca proteger os grupos sociais vulneráveis ou culturalmente vulnerabilizados, onde se incluem as mulheres, diante da desigualdade de gênero e raça nos sistemas de Justiça.</w:t>
      </w:r>
      <w:proofErr w:type="gramEnd"/>
      <w:r w:rsidRPr="00E736C8">
        <w:rPr>
          <w:rFonts w:ascii="Open Sans" w:hAnsi="Open Sans" w:cs="Open Sans"/>
          <w:bCs/>
        </w:rPr>
        <w:t xml:space="preserve"> 7. O direito a um meio ambiente ecologicamente equilibrado, no qual se inclui o meio ambiente do trabalho, é direito de todos e essencial à sadia qualidade de vida, sendo dever de todos a sua proteção, nos estritos termos dos arts. </w:t>
      </w:r>
      <w:proofErr w:type="gramStart"/>
      <w:r w:rsidRPr="00E736C8">
        <w:rPr>
          <w:rFonts w:ascii="Open Sans" w:hAnsi="Open Sans" w:cs="Open Sans"/>
          <w:bCs/>
        </w:rPr>
        <w:t>200, VIII c/c 225 da CF. Neste ínterim, cabe aos empregadores manterem um ambiente de trabalho hígido, livre de mazelas, sejam elas físicas ou mentais (arts. 154 e 157 da CLT).</w:t>
      </w:r>
      <w:proofErr w:type="gramEnd"/>
      <w:r w:rsidRPr="00E736C8">
        <w:rPr>
          <w:rFonts w:ascii="Open Sans" w:hAnsi="Open Sans" w:cs="Open Sans"/>
          <w:bCs/>
        </w:rPr>
        <w:t xml:space="preserve"> A preocupação com o meio ambiente laboral ganhou força no cenário internacional e culminou na ratificação da Convenção 155 da OIT</w:t>
      </w:r>
      <w:r w:rsidR="00F6740D">
        <w:rPr>
          <w:rFonts w:ascii="Open Sans" w:hAnsi="Open Sans" w:cs="Open Sans"/>
          <w:bCs/>
        </w:rPr>
        <w:t>, que expressamente dispõe que ‘</w:t>
      </w:r>
      <w:r w:rsidRPr="00E736C8">
        <w:rPr>
          <w:rFonts w:ascii="Open Sans" w:hAnsi="Open Sans" w:cs="Open Sans"/>
          <w:bCs/>
        </w:rPr>
        <w:t>o termo ‘saúde’, com relação ao trabalho, abrange não só a ausência de afecções ou de doenças, mas também os elementos físicos e mentais que afetam a saúde e estão diretamente relacionados com a segurança e a higiene no trabalho</w:t>
      </w:r>
      <w:r w:rsidR="00F6740D">
        <w:rPr>
          <w:rFonts w:ascii="Open Sans" w:hAnsi="Open Sans" w:cs="Open Sans"/>
          <w:bCs/>
        </w:rPr>
        <w:t>’</w:t>
      </w:r>
      <w:r w:rsidRPr="00E736C8">
        <w:rPr>
          <w:rFonts w:ascii="Open Sans" w:hAnsi="Open Sans" w:cs="Open Sans"/>
          <w:bCs/>
        </w:rPr>
        <w:t xml:space="preserve">. A importância do meio ambiente do trabalho sadio ganhou mais destaque por ocasião da 110ª Convenção Internacional do Trabalho, em que os estados-membros se comprometeram a respeitar e promover o direito fundamental a um ambiente de trabalho seguro e saudável, tenham ou não ratificado as Convenções relevantes. Com isso, inseriu-se a saúde e segurança do trabalho </w:t>
      </w:r>
      <w:proofErr w:type="gramStart"/>
      <w:r w:rsidRPr="00E736C8">
        <w:rPr>
          <w:rFonts w:ascii="Open Sans" w:hAnsi="Open Sans" w:cs="Open Sans"/>
          <w:bCs/>
        </w:rPr>
        <w:t>como</w:t>
      </w:r>
      <w:proofErr w:type="gramEnd"/>
      <w:r w:rsidRPr="00E736C8">
        <w:rPr>
          <w:rFonts w:ascii="Open Sans" w:hAnsi="Open Sans" w:cs="Open Sans"/>
          <w:bCs/>
        </w:rPr>
        <w:t xml:space="preserve"> a 5ª categoria de Princípios e Direitos Fundamentais no Trabalho, sendo a Convenção 155 da OIT, uma das convenções fundamentais. Logo, a redução dos riscos inerentes </w:t>
      </w:r>
      <w:r w:rsidRPr="00E736C8">
        <w:rPr>
          <w:rFonts w:ascii="Open Sans" w:hAnsi="Open Sans" w:cs="Open Sans"/>
          <w:bCs/>
        </w:rPr>
        <w:lastRenderedPageBreak/>
        <w:t xml:space="preserve">à saúde e segurança do trabalho engloba a preocupação com a saúde mental e psíquica dos empregados, sendo dever das empresas primarem por um ambiente de trabalho sadio. 8. A fim de evitar o assédio no meio ambiente do trabalho e promover ações preventivas, a Convenção 190 da OIT, apesar de não ter sido ratificada pelo Brasil, traçou </w:t>
      </w:r>
      <w:proofErr w:type="gramStart"/>
      <w:r w:rsidRPr="00E736C8">
        <w:rPr>
          <w:rFonts w:ascii="Open Sans" w:hAnsi="Open Sans" w:cs="Open Sans"/>
          <w:bCs/>
        </w:rPr>
        <w:t>normas</w:t>
      </w:r>
      <w:proofErr w:type="gramEnd"/>
      <w:r w:rsidRPr="00E736C8">
        <w:rPr>
          <w:rFonts w:ascii="Open Sans" w:hAnsi="Open Sans" w:cs="Open Sans"/>
          <w:bCs/>
        </w:rPr>
        <w:t xml:space="preserve"> e diretrizes que servem como vetor interpretativo. Como se pode notar, para </w:t>
      </w:r>
      <w:proofErr w:type="gramStart"/>
      <w:r w:rsidRPr="00E736C8">
        <w:rPr>
          <w:rFonts w:ascii="Open Sans" w:hAnsi="Open Sans" w:cs="Open Sans"/>
          <w:bCs/>
        </w:rPr>
        <w:t>a</w:t>
      </w:r>
      <w:proofErr w:type="gramEnd"/>
      <w:r w:rsidRPr="00E736C8">
        <w:rPr>
          <w:rFonts w:ascii="Open Sans" w:hAnsi="Open Sans" w:cs="Open Sans"/>
          <w:bCs/>
        </w:rPr>
        <w:t xml:space="preserve"> OIT, é irrelevante o fato de o assédio ter decorrido de ato único ou de ter ocorrido através de mensagens eletrônicas, pois relacionada e decorrente do trabalho desenvolvido. Sob outro vértice, a Agenda 2030 da ONU dispõe sobre as medidas que devem ser implementadas pelos Estados-membros para o desenvolvimento sustentável global, tendo o B</w:t>
      </w:r>
      <w:r w:rsidR="007D2198">
        <w:rPr>
          <w:rFonts w:ascii="Open Sans" w:hAnsi="Open Sans" w:cs="Open Sans"/>
          <w:bCs/>
        </w:rPr>
        <w:t>rasil firmado o compromisso de ‘</w:t>
      </w:r>
      <w:r w:rsidRPr="00E736C8">
        <w:rPr>
          <w:rFonts w:ascii="Open Sans" w:hAnsi="Open Sans" w:cs="Open Sans"/>
          <w:bCs/>
        </w:rPr>
        <w:t>Alcançar a igualdade de gênero e empoderar todas as mulheres e meninas</w:t>
      </w:r>
      <w:r w:rsidR="007D2198">
        <w:rPr>
          <w:rFonts w:ascii="Open Sans" w:hAnsi="Open Sans" w:cs="Open Sans"/>
          <w:bCs/>
        </w:rPr>
        <w:t>’ (ODS 5) e ‘</w:t>
      </w:r>
      <w:r w:rsidRPr="00E736C8">
        <w:rPr>
          <w:rFonts w:ascii="Open Sans" w:hAnsi="Open Sans" w:cs="Open Sans"/>
          <w:bCs/>
        </w:rPr>
        <w:t>Promover o crescimento econômico sustentado, inclusivo e sustentável, emprego pleno e produtivo e trabalho decente para todos</w:t>
      </w:r>
      <w:r w:rsidR="007D2198">
        <w:rPr>
          <w:rFonts w:ascii="Open Sans" w:hAnsi="Open Sans" w:cs="Open Sans"/>
          <w:bCs/>
        </w:rPr>
        <w:t>’</w:t>
      </w:r>
      <w:r w:rsidRPr="00E736C8">
        <w:rPr>
          <w:rFonts w:ascii="Open Sans" w:hAnsi="Open Sans" w:cs="Open Sans"/>
          <w:bCs/>
        </w:rPr>
        <w:t xml:space="preserve"> (ODS 8). </w:t>
      </w:r>
      <w:proofErr w:type="gramStart"/>
      <w:r w:rsidRPr="00E736C8">
        <w:rPr>
          <w:rFonts w:ascii="Open Sans" w:hAnsi="Open Sans" w:cs="Open Sans"/>
          <w:bCs/>
        </w:rPr>
        <w:t>Dentre um dos objetivos de desenvolvimento sustentável nº 5, encontr</w:t>
      </w:r>
      <w:r w:rsidR="009D3DC1">
        <w:rPr>
          <w:rFonts w:ascii="Open Sans" w:hAnsi="Open Sans" w:cs="Open Sans"/>
          <w:bCs/>
        </w:rPr>
        <w:t>a-se no subitem 5.2 o dever de ‘</w:t>
      </w:r>
      <w:r w:rsidRPr="00E736C8">
        <w:rPr>
          <w:rFonts w:ascii="Open Sans" w:hAnsi="Open Sans" w:cs="Open Sans"/>
          <w:bCs/>
        </w:rPr>
        <w:t>Eliminar todas as formas de violência contra todas as mulheres e meninas nas esferas públicas e privadas, incluindo o tráfico e exploração sexual e de outros tipos</w:t>
      </w:r>
      <w:r w:rsidR="009D3DC1">
        <w:rPr>
          <w:rFonts w:ascii="Open Sans" w:hAnsi="Open Sans" w:cs="Open Sans"/>
          <w:bCs/>
        </w:rPr>
        <w:t>’</w:t>
      </w:r>
      <w:r w:rsidRPr="00E736C8">
        <w:rPr>
          <w:rFonts w:ascii="Open Sans" w:hAnsi="Open Sans" w:cs="Open Sans"/>
          <w:bCs/>
        </w:rPr>
        <w:t>.</w:t>
      </w:r>
      <w:proofErr w:type="gramEnd"/>
      <w:r w:rsidRPr="00E736C8">
        <w:rPr>
          <w:rFonts w:ascii="Open Sans" w:hAnsi="Open Sans" w:cs="Open Sans"/>
          <w:bCs/>
        </w:rPr>
        <w:t xml:space="preserve"> Logo, a preocupação com a eliminação de todas as formas de discriminação e violência contra a mulher, inclusive no ambiente do trabalho, é matéria sensível a toda comunidade internacional e engloba todos os ramos da Justiça Brasileira, não podendo passar despercebida nesta Especializada. 9. A violência sexual contra a mulher é ato ilícito que fere a sua dignidade, vulnera a sua existência e merece a repressão adequada. Por todo o exposto, diante do arcabouço jurídico nacional e internacional, bem como com base nas premissas fáticas delineadas supramencionadas, entendo que ficaram comprovados os requisitos ensejadores da reparação civil, quais sejam o dano, a culpa da empregadora e do tomador e o nexo causal com o trabalho desempenhado junto às empresas, conforme acima exposto. </w:t>
      </w:r>
      <w:proofErr w:type="gramStart"/>
      <w:r w:rsidRPr="00E736C8">
        <w:rPr>
          <w:rFonts w:ascii="Open Sans" w:hAnsi="Open Sans" w:cs="Open Sans"/>
          <w:bCs/>
        </w:rPr>
        <w:t>Portanto, estão presentes os pressupostos ensejadores da responsabilidade civil previstos nos arts.</w:t>
      </w:r>
      <w:proofErr w:type="gramEnd"/>
      <w:r w:rsidRPr="00E736C8">
        <w:rPr>
          <w:rFonts w:ascii="Open Sans" w:hAnsi="Open Sans" w:cs="Open Sans"/>
          <w:bCs/>
        </w:rPr>
        <w:t xml:space="preserve"> 223-B e 223-C da CLT, 186 e 927 </w:t>
      </w:r>
      <w:proofErr w:type="gramStart"/>
      <w:r w:rsidRPr="00E736C8">
        <w:rPr>
          <w:rFonts w:ascii="Open Sans" w:hAnsi="Open Sans" w:cs="Open Sans"/>
          <w:bCs/>
        </w:rPr>
        <w:t>do</w:t>
      </w:r>
      <w:proofErr w:type="gramEnd"/>
      <w:r w:rsidRPr="00E736C8">
        <w:rPr>
          <w:rFonts w:ascii="Open Sans" w:hAnsi="Open Sans" w:cs="Open Sans"/>
          <w:bCs/>
        </w:rPr>
        <w:t xml:space="preserve"> CCB. 10. Quanto à responsabilidade do tomador de serviços, os arts. 223-E da CLT e 942 </w:t>
      </w:r>
      <w:proofErr w:type="gramStart"/>
      <w:r w:rsidRPr="00E736C8">
        <w:rPr>
          <w:rFonts w:ascii="Open Sans" w:hAnsi="Open Sans" w:cs="Open Sans"/>
          <w:bCs/>
        </w:rPr>
        <w:t>do</w:t>
      </w:r>
      <w:proofErr w:type="gramEnd"/>
      <w:r w:rsidRPr="00E736C8">
        <w:rPr>
          <w:rFonts w:ascii="Open Sans" w:hAnsi="Open Sans" w:cs="Open Sans"/>
          <w:bCs/>
        </w:rPr>
        <w:t xml:space="preserve"> CC preveem a responsabilidade solidária dos co-autores do dano. A conduta da preposta do IBAMA (tomador de serviços), também mulher, em requerer a substituição da empregada terceirizada vítima de assédio sexual naquele ambiente, com a</w:t>
      </w:r>
      <w:r w:rsidR="00AA36A3">
        <w:rPr>
          <w:rFonts w:ascii="Open Sans" w:hAnsi="Open Sans" w:cs="Open Sans"/>
          <w:bCs/>
        </w:rPr>
        <w:t xml:space="preserve"> sua ‘</w:t>
      </w:r>
      <w:r w:rsidRPr="00E736C8">
        <w:rPr>
          <w:rFonts w:ascii="Open Sans" w:hAnsi="Open Sans" w:cs="Open Sans"/>
          <w:bCs/>
        </w:rPr>
        <w:t>devolução ao empregador</w:t>
      </w:r>
      <w:r w:rsidR="00AA36A3">
        <w:rPr>
          <w:rFonts w:ascii="Open Sans" w:hAnsi="Open Sans" w:cs="Open Sans"/>
          <w:bCs/>
        </w:rPr>
        <w:t>’</w:t>
      </w:r>
      <w:r w:rsidRPr="00E736C8">
        <w:rPr>
          <w:rFonts w:ascii="Open Sans" w:hAnsi="Open Sans" w:cs="Open Sans"/>
          <w:bCs/>
        </w:rPr>
        <w:t xml:space="preserve">, sem registro de nenhum fato desabonador à sua conduta profissional, só reforça a discriminação estrutural contra as mulheres, e implica na revitimização e desprezo à condição da vítima, sendo, portanto, co-autora do dano sofrido pela trabalhadora. Destarte, o tomador de serviços também foi responsável pelo fato e contribuiu para </w:t>
      </w:r>
      <w:proofErr w:type="gramStart"/>
      <w:r w:rsidRPr="00E736C8">
        <w:rPr>
          <w:rFonts w:ascii="Open Sans" w:hAnsi="Open Sans" w:cs="Open Sans"/>
          <w:bCs/>
        </w:rPr>
        <w:t>este</w:t>
      </w:r>
      <w:proofErr w:type="gramEnd"/>
      <w:r w:rsidRPr="00E736C8">
        <w:rPr>
          <w:rFonts w:ascii="Open Sans" w:hAnsi="Open Sans" w:cs="Open Sans"/>
          <w:bCs/>
        </w:rPr>
        <w:t xml:space="preserve">, de forma que sua responsabilidade pelos danos sofridos pela autora é solidária, nos estritos termos do art. </w:t>
      </w:r>
      <w:proofErr w:type="gramStart"/>
      <w:r w:rsidRPr="00E736C8">
        <w:rPr>
          <w:rFonts w:ascii="Open Sans" w:hAnsi="Open Sans" w:cs="Open Sans"/>
          <w:bCs/>
        </w:rPr>
        <w:t>223-E da CLT c/c art.</w:t>
      </w:r>
      <w:proofErr w:type="gramEnd"/>
      <w:r w:rsidRPr="00E736C8">
        <w:rPr>
          <w:rFonts w:ascii="Open Sans" w:hAnsi="Open Sans" w:cs="Open Sans"/>
          <w:bCs/>
        </w:rPr>
        <w:t xml:space="preserve"> 942 do Código Civil. </w:t>
      </w:r>
      <w:proofErr w:type="gramStart"/>
      <w:r w:rsidRPr="00E736C8">
        <w:rPr>
          <w:rFonts w:ascii="Open Sans" w:hAnsi="Open Sans" w:cs="Open Sans"/>
          <w:bCs/>
        </w:rPr>
        <w:t>Assim, uma vez apurada a conduta típica de assédio moral por parte da preposta do tomador de serviços, correta sua responsabilização solidária.</w:t>
      </w:r>
      <w:proofErr w:type="gramEnd"/>
      <w:r w:rsidRPr="00E736C8">
        <w:rPr>
          <w:rFonts w:ascii="Open Sans" w:hAnsi="Open Sans" w:cs="Open Sans"/>
          <w:bCs/>
        </w:rPr>
        <w:t xml:space="preserve"> </w:t>
      </w:r>
      <w:proofErr w:type="gramStart"/>
      <w:r w:rsidRPr="00E736C8">
        <w:rPr>
          <w:rFonts w:ascii="Open Sans" w:hAnsi="Open Sans" w:cs="Open Sans"/>
          <w:bCs/>
        </w:rPr>
        <w:t>Agravo de instrumento conhecido e desprovido.”</w:t>
      </w:r>
      <w:proofErr w:type="gramEnd"/>
      <w:r w:rsidRPr="00E736C8">
        <w:rPr>
          <w:rFonts w:ascii="Open Sans" w:hAnsi="Open Sans" w:cs="Open Sans"/>
          <w:bCs/>
        </w:rPr>
        <w:t xml:space="preserve"> </w:t>
      </w:r>
      <w:proofErr w:type="gramStart"/>
      <w:r w:rsidRPr="00E736C8">
        <w:rPr>
          <w:rFonts w:ascii="Open Sans" w:hAnsi="Open Sans" w:cs="Open Sans"/>
        </w:rPr>
        <w:t>(</w:t>
      </w:r>
      <w:hyperlink r:id="rId26" w:history="1">
        <w:r w:rsidRPr="00E736C8">
          <w:rPr>
            <w:rStyle w:val="Hyperlink"/>
            <w:rFonts w:ascii="Open Sans" w:hAnsi="Open Sans" w:cs="Open Sans"/>
          </w:rPr>
          <w:t xml:space="preserve">TST-AIRR-21056-50.2019.5.04.0014, 7ª </w:t>
        </w:r>
        <w:r w:rsidRPr="00E736C8">
          <w:rPr>
            <w:rStyle w:val="Hyperlink"/>
            <w:rFonts w:ascii="Open Sans" w:hAnsi="Open Sans" w:cs="Open Sans"/>
          </w:rPr>
          <w:lastRenderedPageBreak/>
          <w:t>Turma, rel. Min. Alexandre de Souza Agra Belmonte, julgado em 20/3/2024)</w:t>
        </w:r>
      </w:hyperlink>
      <w:r w:rsidRPr="00E736C8">
        <w:rPr>
          <w:rFonts w:ascii="Open Sans" w:hAnsi="Open Sans" w:cs="Open Sans"/>
        </w:rPr>
        <w:t>.</w:t>
      </w:r>
      <w:proofErr w:type="gramEnd"/>
      <w:r w:rsidRPr="00E736C8">
        <w:rPr>
          <w:rFonts w:ascii="Open Sans" w:hAnsi="Open Sans" w:cs="Open Sans"/>
        </w:rPr>
        <w:t xml:space="preserve"> </w:t>
      </w:r>
    </w:p>
    <w:p w:rsidR="005F7CFB" w:rsidRDefault="005F7CFB" w:rsidP="002D05F7">
      <w:pPr>
        <w:pStyle w:val="Identificao"/>
        <w:widowControl w:val="0"/>
        <w:rPr>
          <w:rFonts w:ascii="Open Sans" w:hAnsi="Open Sans" w:cs="Open Sans"/>
          <w:lang w:val="pt-BR"/>
        </w:rPr>
      </w:pPr>
    </w:p>
    <w:p w:rsidR="00CE7BA8" w:rsidRPr="00CE7BA8" w:rsidRDefault="00CE7BA8" w:rsidP="00CE7BA8">
      <w:pPr>
        <w:pStyle w:val="Identificao"/>
        <w:widowControl w:val="0"/>
        <w:rPr>
          <w:rFonts w:ascii="Open Sans" w:hAnsi="Open Sans" w:cs="Open Sans"/>
        </w:rPr>
      </w:pPr>
      <w:r w:rsidRPr="00CE7BA8">
        <w:rPr>
          <w:rFonts w:ascii="Open Sans" w:hAnsi="Open Sans" w:cs="Open Sans"/>
        </w:rPr>
        <w:t xml:space="preserve">“RECURSO DE REVISTA </w:t>
      </w:r>
      <w:proofErr w:type="gramStart"/>
      <w:r w:rsidRPr="00CE7BA8">
        <w:rPr>
          <w:rFonts w:ascii="Open Sans" w:hAnsi="Open Sans" w:cs="Open Sans"/>
        </w:rPr>
        <w:t>DO</w:t>
      </w:r>
      <w:proofErr w:type="gramEnd"/>
      <w:r w:rsidRPr="00CE7BA8">
        <w:rPr>
          <w:rFonts w:ascii="Open Sans" w:hAnsi="Open Sans" w:cs="Open Sans"/>
        </w:rPr>
        <w:t xml:space="preserve"> RECLAMANTE. </w:t>
      </w:r>
      <w:proofErr w:type="gramStart"/>
      <w:r w:rsidRPr="00CE7BA8">
        <w:rPr>
          <w:rFonts w:ascii="Open Sans" w:hAnsi="Open Sans" w:cs="Open Sans"/>
        </w:rPr>
        <w:t>INTERPOSTO NA VIGÊNCIA DA LEI Nº 13.467/2017.</w:t>
      </w:r>
      <w:proofErr w:type="gramEnd"/>
      <w:r w:rsidRPr="00CE7BA8">
        <w:rPr>
          <w:rFonts w:ascii="Open Sans" w:hAnsi="Open Sans" w:cs="Open Sans"/>
        </w:rPr>
        <w:t xml:space="preserve"> PRELIMINAR DE NULIDADE POR CERCEAMENTO </w:t>
      </w:r>
      <w:proofErr w:type="gramStart"/>
      <w:r w:rsidRPr="00CE7BA8">
        <w:rPr>
          <w:rFonts w:ascii="Open Sans" w:hAnsi="Open Sans" w:cs="Open Sans"/>
        </w:rPr>
        <w:t>DO</w:t>
      </w:r>
      <w:proofErr w:type="gramEnd"/>
      <w:r w:rsidRPr="00CE7BA8">
        <w:rPr>
          <w:rFonts w:ascii="Open Sans" w:hAnsi="Open Sans" w:cs="Open Sans"/>
        </w:rPr>
        <w:t xml:space="preserve"> DIREITO DE DEFESA. MANDATO TÁCITO. INDEFERIMENTO DE SUSTENTAÇÃO ORAL PRESENCIAL. TRANSCENDÊNCIA RECONHECIDA. Considerando a possibilidade de a decisão recorrida contrariar entendimento consubstanciado </w:t>
      </w:r>
      <w:proofErr w:type="gramStart"/>
      <w:r w:rsidRPr="00CE7BA8">
        <w:rPr>
          <w:rFonts w:ascii="Open Sans" w:hAnsi="Open Sans" w:cs="Open Sans"/>
        </w:rPr>
        <w:t>na</w:t>
      </w:r>
      <w:proofErr w:type="gramEnd"/>
      <w:r w:rsidRPr="00CE7BA8">
        <w:rPr>
          <w:rFonts w:ascii="Open Sans" w:hAnsi="Open Sans" w:cs="Open Sans"/>
        </w:rPr>
        <w:t xml:space="preserve"> Orientação Jurisprudencial nº 286 da SBDI-1, verifica-se a transcendência política, nos termos do artigo 896-A, § 1º, II, da CLT. PRELIMINAR DE NULIDADE POR CERCEAMENTO </w:t>
      </w:r>
      <w:proofErr w:type="gramStart"/>
      <w:r w:rsidRPr="00CE7BA8">
        <w:rPr>
          <w:rFonts w:ascii="Open Sans" w:hAnsi="Open Sans" w:cs="Open Sans"/>
        </w:rPr>
        <w:t>DO</w:t>
      </w:r>
      <w:proofErr w:type="gramEnd"/>
      <w:r w:rsidRPr="00CE7BA8">
        <w:rPr>
          <w:rFonts w:ascii="Open Sans" w:hAnsi="Open Sans" w:cs="Open Sans"/>
        </w:rPr>
        <w:t xml:space="preserve"> DIREITO DE DEFESA. MANDATO TÁCITO. INDEFERIMENTO DE SUSTENTAÇÃO ORAL PRESENCIAL. </w:t>
      </w:r>
      <w:proofErr w:type="gramStart"/>
      <w:r w:rsidRPr="00CE7BA8">
        <w:rPr>
          <w:rFonts w:ascii="Open Sans" w:hAnsi="Open Sans" w:cs="Open Sans"/>
        </w:rPr>
        <w:t>PROVIMENTO.</w:t>
      </w:r>
      <w:proofErr w:type="gramEnd"/>
      <w:r w:rsidRPr="00CE7BA8">
        <w:rPr>
          <w:rFonts w:ascii="Open Sans" w:hAnsi="Open Sans" w:cs="Open Sans"/>
        </w:rPr>
        <w:t xml:space="preserve"> O cerceamento do direito de defesa da parte se caracteriza quando evidenciado o seu prejuízo em razão de ter-lhe sido negada a oportunidade de praticar ato processual ou de produzir prova essencial à defesa do seu direito. A sustentação oral, por sua vez, é um direito do advogado, relevante para garantir </w:t>
      </w:r>
      <w:proofErr w:type="gramStart"/>
      <w:r w:rsidRPr="00CE7BA8">
        <w:rPr>
          <w:rFonts w:ascii="Open Sans" w:hAnsi="Open Sans" w:cs="Open Sans"/>
        </w:rPr>
        <w:t>a</w:t>
      </w:r>
      <w:proofErr w:type="gramEnd"/>
      <w:r w:rsidRPr="00CE7BA8">
        <w:rPr>
          <w:rFonts w:ascii="Open Sans" w:hAnsi="Open Sans" w:cs="Open Sans"/>
        </w:rPr>
        <w:t xml:space="preserve"> ampla defesa de seu cliente, possibilitando o uso da palavra para o esclarecimento de elementos essenciais, capazes de influenciar no julgamento do feito. Nesse contexto, observa-se que o direito à sustentação oral do patrono da parte está intimamente associado ao direito de defesa, e eventual indeferimento pode configurar o cerceamento desse direito. No mais, o entendimento pacífico desta Corte Superior é de que a ausência de mandato expresso pode ser suprida pelo mandato tácito, o qual se dá com a juntada da ata de audiência, em que consignada a presença do advogado da parte. Inteligência da Orientação Jurisprudencial nº 286 da SBDI-1. Observa-se, assim, que o mandato tácito não está limitado à própria audiência, possibilitando ao advogado praticar atos processuais, inclusive </w:t>
      </w:r>
      <w:proofErr w:type="gramStart"/>
      <w:r w:rsidRPr="00CE7BA8">
        <w:rPr>
          <w:rFonts w:ascii="Open Sans" w:hAnsi="Open Sans" w:cs="Open Sans"/>
        </w:rPr>
        <w:t>na</w:t>
      </w:r>
      <w:proofErr w:type="gramEnd"/>
      <w:r w:rsidRPr="00CE7BA8">
        <w:rPr>
          <w:rFonts w:ascii="Open Sans" w:hAnsi="Open Sans" w:cs="Open Sans"/>
        </w:rPr>
        <w:t xml:space="preserve"> fase recursal. Na hipótese, o egrégio Tribunal Regional indeferiu o requerimento de adiamento do julgamento para realização de sustentação oral presencial, sob o fundamento de que, apesar de o advogado requerente ser detentor de mandato tácito, visto que acompanhou a reclamante em uma audiência em 2021, não está habilitado para praticar atos fora daquela assentada, sendo necessária procuração específica. Registrou, ademais, que o pedido de sustentação oral foi feito por mais dois advogados e que um deles apresentou sustentação de forma telepresencial. Por fim, em sede de embargos de declaração em que foi requerida a nulidade do acórdão por cerceamento do direito de defesa, a Corte de origem pontuou que o julgamento em sessão telepresencial, designado regularmente, não acarretou qualquer prejuízo à requerente, não havendo que se falar em nulidade. Nesse contexto, depreende-se, inicialmente, que o Colegiado Regional contrariou o entendimento consubstanciado na Orientação Jurisprudencial nº 286 da SBDI-1, pois, apesar de reconhecer que o patrono da reclamante a acompanhou em audiência na fase de conhecimento, não reconheceu a validade do mandato tácito para a fase recursal. Salienta-se, ademais, que o fato de existir outros advogados habilitados para realizar a sustentação oral não afasta eventual prejuízo acarretado à recorrente, pois cada patrono tem a sua capacidade </w:t>
      </w:r>
      <w:r w:rsidRPr="00CE7BA8">
        <w:rPr>
          <w:rFonts w:ascii="Open Sans" w:hAnsi="Open Sans" w:cs="Open Sans"/>
        </w:rPr>
        <w:lastRenderedPageBreak/>
        <w:t xml:space="preserve">técnica específica para influenciar no julgamento do feito. </w:t>
      </w:r>
      <w:proofErr w:type="gramStart"/>
      <w:r w:rsidRPr="00CE7BA8">
        <w:rPr>
          <w:rFonts w:ascii="Open Sans" w:hAnsi="Open Sans" w:cs="Open Sans"/>
        </w:rPr>
        <w:t>Se assim não fosse, não haveria necessidade de habilitar todos os patronos.</w:t>
      </w:r>
      <w:proofErr w:type="gramEnd"/>
      <w:r w:rsidRPr="00CE7BA8">
        <w:rPr>
          <w:rFonts w:ascii="Open Sans" w:hAnsi="Open Sans" w:cs="Open Sans"/>
        </w:rPr>
        <w:t xml:space="preserve"> Insta realçar que, nos termos do artigo 3º da Resolução nº 354/2020 do Conselho Nacional de Justiça, as audiências telepresenciais serão determinadas pelo juízo, a requerimento das partes ou de ofício no caso de urgência, substituição ou designação de magistrado com sede funcional diversa, mutirão ou projeto específico, conciliação ou mediação, e indisponibilidade temporária do foro, calamidade pública ou força maior. No caso, além de não constar nos autos nenhum dos motivos supracitados, houve pedido expresso para realização do julgamento de forma presencial, a fim de possibilitar a recorrente a exercer o seu direito de ampla defesa de forma plena. </w:t>
      </w:r>
      <w:proofErr w:type="gramStart"/>
      <w:r w:rsidRPr="00CE7BA8">
        <w:rPr>
          <w:rFonts w:ascii="Open Sans" w:hAnsi="Open Sans" w:cs="Open Sans"/>
        </w:rPr>
        <w:t>Recurso de revista de que se conhece e a que se dá provimento."</w:t>
      </w:r>
      <w:proofErr w:type="gramEnd"/>
      <w:r w:rsidRPr="00CE7BA8">
        <w:rPr>
          <w:rFonts w:ascii="Open Sans" w:hAnsi="Open Sans" w:cs="Open Sans"/>
        </w:rPr>
        <w:t xml:space="preserve"> </w:t>
      </w:r>
      <w:proofErr w:type="gramStart"/>
      <w:r w:rsidRPr="00CE7BA8">
        <w:rPr>
          <w:rFonts w:ascii="Open Sans" w:hAnsi="Open Sans" w:cs="Open Sans"/>
        </w:rPr>
        <w:t>(</w:t>
      </w:r>
      <w:hyperlink r:id="rId27" w:history="1">
        <w:r w:rsidRPr="00CE7BA8">
          <w:rPr>
            <w:rStyle w:val="Hyperlink"/>
            <w:rFonts w:ascii="Open Sans" w:hAnsi="Open Sans" w:cs="Open Sans"/>
          </w:rPr>
          <w:t>TST-RR- 214-13.2020.5.19.0009, 8ª Turma, rel. Des.</w:t>
        </w:r>
        <w:proofErr w:type="gramEnd"/>
        <w:r w:rsidRPr="00CE7BA8">
          <w:rPr>
            <w:rStyle w:val="Hyperlink"/>
            <w:rFonts w:ascii="Open Sans" w:hAnsi="Open Sans" w:cs="Open Sans"/>
          </w:rPr>
          <w:t xml:space="preserve"> </w:t>
        </w:r>
        <w:proofErr w:type="gramStart"/>
        <w:r w:rsidRPr="00CE7BA8">
          <w:rPr>
            <w:rStyle w:val="Hyperlink"/>
            <w:rFonts w:ascii="Open Sans" w:hAnsi="Open Sans" w:cs="Open Sans"/>
          </w:rPr>
          <w:t xml:space="preserve">Conv. </w:t>
        </w:r>
        <w:proofErr w:type="gramEnd"/>
        <w:r w:rsidRPr="00CE7BA8">
          <w:rPr>
            <w:rStyle w:val="Hyperlink"/>
            <w:rFonts w:ascii="Open Sans" w:hAnsi="Open Sans" w:cs="Open Sans"/>
          </w:rPr>
          <w:t>Eduardo Pugliese, julgado em 20/3/2024</w:t>
        </w:r>
      </w:hyperlink>
      <w:r w:rsidRPr="00CE7BA8">
        <w:rPr>
          <w:rFonts w:ascii="Open Sans" w:hAnsi="Open Sans" w:cs="Open Sans"/>
        </w:rPr>
        <w:t>)</w:t>
      </w:r>
      <w:bookmarkStart w:id="1" w:name="_GoBack"/>
      <w:bookmarkEnd w:id="1"/>
    </w:p>
    <w:p w:rsidR="00E736C8" w:rsidRDefault="00E736C8" w:rsidP="002D05F7">
      <w:pPr>
        <w:pStyle w:val="Identificao"/>
        <w:widowControl w:val="0"/>
        <w:rPr>
          <w:rFonts w:ascii="Open Sans" w:hAnsi="Open Sans" w:cs="Open Sans"/>
          <w:lang w:val="pt-BR"/>
        </w:rPr>
      </w:pPr>
    </w:p>
    <w:p w:rsidR="00364B2A" w:rsidRPr="00364B2A" w:rsidRDefault="00D079A5" w:rsidP="00364B2A">
      <w:pPr>
        <w:pStyle w:val="Identificao"/>
        <w:widowControl w:val="0"/>
        <w:rPr>
          <w:rFonts w:ascii="Open Sans" w:hAnsi="Open Sans" w:cs="Open Sans"/>
        </w:rPr>
      </w:pPr>
      <w:r>
        <w:rPr>
          <w:rFonts w:ascii="Open Sans" w:hAnsi="Open Sans" w:cs="Open Sans"/>
        </w:rPr>
        <w:t>“(...)</w:t>
      </w:r>
      <w:r w:rsidR="00364B2A" w:rsidRPr="00364B2A">
        <w:rPr>
          <w:rFonts w:ascii="Open Sans" w:hAnsi="Open Sans" w:cs="Open Sans"/>
        </w:rPr>
        <w:t xml:space="preserve"> II – RECURSO DE REVISTA DA RECLAMANTE. </w:t>
      </w:r>
      <w:proofErr w:type="gramStart"/>
      <w:r w:rsidR="00364B2A" w:rsidRPr="00364B2A">
        <w:rPr>
          <w:rFonts w:ascii="Open Sans" w:hAnsi="Open Sans" w:cs="Open Sans"/>
        </w:rPr>
        <w:t>APELO REGIDO PELA LEI 13.467/2017.</w:t>
      </w:r>
      <w:proofErr w:type="gramEnd"/>
      <w:r w:rsidR="00364B2A" w:rsidRPr="00364B2A">
        <w:rPr>
          <w:rFonts w:ascii="Open Sans" w:hAnsi="Open Sans" w:cs="Open Sans"/>
        </w:rPr>
        <w:t xml:space="preserve"> EMPRESA PÚBLICA. CUMULAÇÃO DE PROVENTOS DE APOSENTADORIA E REMUNERAÇÃO EM EMPREGO PÚBLICO. TETO REMUNERATÓRIO CONSTITUCIONAL. TEMA 359 DA TABELA DE REPERCUSSÃO GERAL DO STF. VIOLAÇÃO DO ARTIGO 37, XI, </w:t>
      </w:r>
      <w:proofErr w:type="gramStart"/>
      <w:r w:rsidR="00364B2A" w:rsidRPr="00364B2A">
        <w:rPr>
          <w:rFonts w:ascii="Open Sans" w:hAnsi="Open Sans" w:cs="Open Sans"/>
        </w:rPr>
        <w:t>DA</w:t>
      </w:r>
      <w:proofErr w:type="gramEnd"/>
      <w:r w:rsidR="00364B2A" w:rsidRPr="00364B2A">
        <w:rPr>
          <w:rFonts w:ascii="Open Sans" w:hAnsi="Open Sans" w:cs="Open Sans"/>
        </w:rPr>
        <w:t xml:space="preserve"> CONSTITUIÇÃO FEDERAL. NÃO PROVIMENTO. Como é cediço, o artigo 37, XI, da Constituição Federal veda, expressamente, que ocupantes de cargos e empregos públicos recebam, inclusive de forma cumulativa, remuneração, proventos, pensões ou qualquer tipo remuneração ou vantagem, em valores superiores ao subsídio mensal dos Ministros do Supremo Tribunal Federal. Por seu turno, o mesmo preceit</w:t>
      </w:r>
      <w:r w:rsidR="00151B9E">
        <w:rPr>
          <w:rFonts w:ascii="Open Sans" w:hAnsi="Open Sans" w:cs="Open Sans"/>
        </w:rPr>
        <w:t>o, em seu § 9º, estabelece que ‘</w:t>
      </w:r>
      <w:r w:rsidR="00364B2A" w:rsidRPr="00364B2A">
        <w:rPr>
          <w:rFonts w:ascii="Open Sans" w:hAnsi="Open Sans" w:cs="Open Sans"/>
        </w:rPr>
        <w:t>o disposto no inciso XI aplica-se às empresas públicas e às sociedades de economia mista, e suas subsidiárias, que receberem recursos da União, dos Estados, do Distrito Federal ou dos Municípios para pagamento de despesas de pessoal ou de custeio em geral</w:t>
      </w:r>
      <w:r w:rsidR="00151B9E">
        <w:rPr>
          <w:rFonts w:ascii="Open Sans" w:hAnsi="Open Sans" w:cs="Open Sans"/>
        </w:rPr>
        <w:t>’</w:t>
      </w:r>
      <w:r w:rsidR="00364B2A" w:rsidRPr="00364B2A">
        <w:rPr>
          <w:rFonts w:ascii="Open Sans" w:hAnsi="Open Sans" w:cs="Open Sans"/>
        </w:rPr>
        <w:t xml:space="preserve">. Desse modo, não há como se admitir que um servidor ou empregado público receba valores acima do teto remuneratório previsto no artigo 37, XI, da Constituição Federal, sob pena de descumprimento da vedação expressa no referido preceito. Na espécie, o Tribunal Regional consignou que a reclamante recebe proventos de aposentadoria e pensão por morte, cumulativamente com a remuneração do cargo que continuou exercendo depois de sua aposentação. </w:t>
      </w:r>
      <w:proofErr w:type="gramStart"/>
      <w:r w:rsidR="00364B2A" w:rsidRPr="00364B2A">
        <w:rPr>
          <w:rFonts w:ascii="Open Sans" w:hAnsi="Open Sans" w:cs="Open Sans"/>
        </w:rPr>
        <w:t>Entendeu, assim, que o teto remuneratório deve incidir sobre o cômputo de todas essas verbas, de modo a não ultrapassar o limite fixado no artigo 37, XI, da Constituição Federal.</w:t>
      </w:r>
      <w:proofErr w:type="gramEnd"/>
      <w:r w:rsidR="00364B2A" w:rsidRPr="00364B2A">
        <w:rPr>
          <w:rFonts w:ascii="Open Sans" w:hAnsi="Open Sans" w:cs="Open Sans"/>
        </w:rPr>
        <w:t xml:space="preserve"> Na sua decisão, considerou escorreito o procedimento adotado pela reclamada que, atendendo a recomendação da Controladoria Geral da União (Nota Técnica nº 292/2020/NAC4-RS/RIO GRANDE DO SUL), passou a considerar no cálculo do teto constitucional, a partir de outubro de 2020, os valores recebidos pelos empregados a título de aposentadoria, juntamente com a remuneração decorrente do cargo em exercício. </w:t>
      </w:r>
      <w:proofErr w:type="gramStart"/>
      <w:r w:rsidR="00364B2A" w:rsidRPr="00364B2A">
        <w:rPr>
          <w:rFonts w:ascii="Open Sans" w:hAnsi="Open Sans" w:cs="Open Sans"/>
        </w:rPr>
        <w:t xml:space="preserve">A citada decisão, por certo, observa, </w:t>
      </w:r>
      <w:r w:rsidR="00364B2A" w:rsidRPr="00A92DD4">
        <w:rPr>
          <w:rFonts w:ascii="Open Sans" w:hAnsi="Open Sans" w:cs="Open Sans"/>
          <w:i/>
        </w:rPr>
        <w:t>ipsis litteris</w:t>
      </w:r>
      <w:r w:rsidR="00364B2A" w:rsidRPr="00364B2A">
        <w:rPr>
          <w:rFonts w:ascii="Open Sans" w:hAnsi="Open Sans" w:cs="Open Sans"/>
        </w:rPr>
        <w:t>, a diretriz do artigo 37, XI, da Constituição Federal.</w:t>
      </w:r>
      <w:proofErr w:type="gramEnd"/>
      <w:r w:rsidR="00364B2A" w:rsidRPr="00364B2A">
        <w:rPr>
          <w:rFonts w:ascii="Open Sans" w:hAnsi="Open Sans" w:cs="Open Sans"/>
        </w:rPr>
        <w:t xml:space="preserve"> Saliente-se, por oportuno, que, como bem registrou o Colegiado Regional, o tema 377 da Tabela de Repercussão Geral do </w:t>
      </w:r>
      <w:r w:rsidR="00364B2A" w:rsidRPr="00364B2A">
        <w:rPr>
          <w:rFonts w:ascii="Open Sans" w:hAnsi="Open Sans" w:cs="Open Sans"/>
        </w:rPr>
        <w:lastRenderedPageBreak/>
        <w:t xml:space="preserve">STF, trata da não aplicação do teto remuneratório para os servidores e empregados públicos que acumulam cargos autorizados pela Constituição Federal, enquanto que o Tema 384 versa sobre a mesma inaplicabilidade para aqueles que já ocupavam dois cargos públicos antes da vigência da Emenda Constitucional 41/2003, não incidindo no caso dos autos, uma vez que a discussão gira em torno da cumulação de proventos de aposentadoria com remuneração em emprego público. </w:t>
      </w:r>
      <w:proofErr w:type="gramStart"/>
      <w:r w:rsidR="00364B2A" w:rsidRPr="00364B2A">
        <w:rPr>
          <w:rFonts w:ascii="Open Sans" w:hAnsi="Open Sans" w:cs="Open Sans"/>
        </w:rPr>
        <w:t>A questão, portanto, não tem aderência com os temas 377 e 384.</w:t>
      </w:r>
      <w:proofErr w:type="gramEnd"/>
      <w:r w:rsidR="00364B2A" w:rsidRPr="00364B2A">
        <w:rPr>
          <w:rFonts w:ascii="Open Sans" w:hAnsi="Open Sans" w:cs="Open Sans"/>
        </w:rPr>
        <w:t xml:space="preserve"> Importante salientar que o STF, no julgamento do RE 602.584 - Distrito Federal, no qual se discutia a aplicação do teto remuneratório para servidora que recebia pensão por morte e remuneração de cargo público efetivo, entendeu que o caso não se enquadra no Tema 377, por se tratar de questão diversa, como bem pontuou no seu voto o eminente Ministro Marco Aurélio, Relator do processo. Ressalte-se que o julgado em epígrafe serviu como </w:t>
      </w:r>
      <w:r w:rsidR="00364B2A" w:rsidRPr="003D501E">
        <w:rPr>
          <w:rFonts w:ascii="Open Sans" w:hAnsi="Open Sans" w:cs="Open Sans"/>
          <w:i/>
        </w:rPr>
        <w:t>leading case</w:t>
      </w:r>
      <w:r w:rsidR="00364B2A" w:rsidRPr="00364B2A">
        <w:rPr>
          <w:rFonts w:ascii="Open Sans" w:hAnsi="Open Sans" w:cs="Open Sans"/>
        </w:rPr>
        <w:t xml:space="preserve"> para fixação do tema 359 da Tabela de Repercussão Geral do STF, na qual se estabeleceu a seguinte tese</w:t>
      </w:r>
      <w:r w:rsidR="00B1415D">
        <w:rPr>
          <w:rFonts w:ascii="Open Sans" w:hAnsi="Open Sans" w:cs="Open Sans"/>
        </w:rPr>
        <w:t xml:space="preserve"> jurídica: ‘</w:t>
      </w:r>
      <w:r w:rsidR="00364B2A" w:rsidRPr="00364B2A">
        <w:rPr>
          <w:rFonts w:ascii="Open Sans" w:hAnsi="Open Sans" w:cs="Open Sans"/>
        </w:rPr>
        <w:t>ocorrida a morte do instituidor da pensão em momento posterior ao da Emenda Constitucional nº 19/1998, o teto constitucional previsto no inciso XI do artigo 37 da Constituição Federal incide sobre o somatório de remuneração ou provento e pensão percebida por servidor</w:t>
      </w:r>
      <w:r w:rsidR="00B1415D">
        <w:rPr>
          <w:rFonts w:ascii="Open Sans" w:hAnsi="Open Sans" w:cs="Open Sans"/>
        </w:rPr>
        <w:t>’</w:t>
      </w:r>
      <w:r w:rsidR="00364B2A" w:rsidRPr="00364B2A">
        <w:rPr>
          <w:rFonts w:ascii="Open Sans" w:hAnsi="Open Sans" w:cs="Open Sans"/>
        </w:rPr>
        <w:t xml:space="preserve">. Nesse contexto, tem-se que a Corte Regional, ao manter a sentença que determinou a aplicação do teto remuneratório ao caso dos autos, não violou a letra do artigo 37, XI, da Constituição Federal, senão lhe deu plena eficácia, fazendo valer o seu comando, o qual veda, expressamente, o recebimento de valores por servidores e empregados públicos acima do limite estabelecido no seu texto. </w:t>
      </w:r>
      <w:proofErr w:type="gramStart"/>
      <w:r w:rsidR="00364B2A" w:rsidRPr="00364B2A">
        <w:rPr>
          <w:rFonts w:ascii="Open Sans" w:hAnsi="Open Sans" w:cs="Open Sans"/>
        </w:rPr>
        <w:t>Recurso de revis</w:t>
      </w:r>
      <w:r w:rsidR="00A400E9">
        <w:rPr>
          <w:rFonts w:ascii="Open Sans" w:hAnsi="Open Sans" w:cs="Open Sans"/>
        </w:rPr>
        <w:t>ta de que não se conhece.</w:t>
      </w:r>
      <w:r w:rsidR="00364B2A" w:rsidRPr="00364B2A">
        <w:rPr>
          <w:rFonts w:ascii="Open Sans" w:hAnsi="Open Sans" w:cs="Open Sans"/>
        </w:rPr>
        <w:t>"</w:t>
      </w:r>
      <w:proofErr w:type="gramEnd"/>
      <w:r w:rsidR="00364B2A" w:rsidRPr="00364B2A">
        <w:rPr>
          <w:rFonts w:ascii="Open Sans" w:hAnsi="Open Sans" w:cs="Open Sans"/>
        </w:rPr>
        <w:t xml:space="preserve"> </w:t>
      </w:r>
      <w:proofErr w:type="gramStart"/>
      <w:r w:rsidR="00364B2A" w:rsidRPr="00364B2A">
        <w:rPr>
          <w:rFonts w:ascii="Open Sans" w:hAnsi="Open Sans" w:cs="Open Sans"/>
        </w:rPr>
        <w:t>(</w:t>
      </w:r>
      <w:hyperlink r:id="rId28" w:history="1">
        <w:r w:rsidR="00364B2A" w:rsidRPr="00364B2A">
          <w:rPr>
            <w:rStyle w:val="Hyperlink"/>
            <w:rFonts w:ascii="Open Sans" w:hAnsi="Open Sans" w:cs="Open Sans"/>
          </w:rPr>
          <w:t>TST-RRAg-738-</w:t>
        </w:r>
        <w:r w:rsidR="00364B2A" w:rsidRPr="00364B2A">
          <w:rPr>
            <w:rStyle w:val="Hyperlink"/>
            <w:rFonts w:ascii="Open Sans" w:hAnsi="Open Sans" w:cs="Open Sans"/>
          </w:rPr>
          <w:t>2</w:t>
        </w:r>
        <w:r w:rsidR="00364B2A" w:rsidRPr="00364B2A">
          <w:rPr>
            <w:rStyle w:val="Hyperlink"/>
            <w:rFonts w:ascii="Open Sans" w:hAnsi="Open Sans" w:cs="Open Sans"/>
          </w:rPr>
          <w:t>6.2020.5.10.0020, 8ª Turma, red.</w:t>
        </w:r>
        <w:r w:rsidR="003F3B32">
          <w:rPr>
            <w:rStyle w:val="Hyperlink"/>
            <w:rFonts w:ascii="Open Sans" w:hAnsi="Open Sans" w:cs="Open Sans"/>
          </w:rPr>
          <w:t xml:space="preserve"> p/ acórdão</w:t>
        </w:r>
        <w:r w:rsidR="00364B2A" w:rsidRPr="00364B2A">
          <w:rPr>
            <w:rStyle w:val="Hyperlink"/>
            <w:rFonts w:ascii="Open Sans" w:hAnsi="Open Sans" w:cs="Open Sans"/>
          </w:rPr>
          <w:t xml:space="preserve"> Des.</w:t>
        </w:r>
        <w:proofErr w:type="gramEnd"/>
        <w:r w:rsidR="00364B2A" w:rsidRPr="00364B2A">
          <w:rPr>
            <w:rStyle w:val="Hyperlink"/>
            <w:rFonts w:ascii="Open Sans" w:hAnsi="Open Sans" w:cs="Open Sans"/>
          </w:rPr>
          <w:t xml:space="preserve"> Conv. Eduardo Pugliese, julgado em 20/3/2024</w:t>
        </w:r>
      </w:hyperlink>
      <w:r w:rsidR="00364B2A" w:rsidRPr="00364B2A">
        <w:rPr>
          <w:rFonts w:ascii="Open Sans" w:hAnsi="Open Sans" w:cs="Open Sans"/>
        </w:rPr>
        <w:t>)</w:t>
      </w:r>
    </w:p>
    <w:p w:rsidR="00CE7BA8" w:rsidRDefault="00CE7BA8" w:rsidP="002D05F7">
      <w:pPr>
        <w:pStyle w:val="Identificao"/>
        <w:widowControl w:val="0"/>
        <w:rPr>
          <w:rFonts w:ascii="Open Sans" w:hAnsi="Open Sans" w:cs="Open Sans"/>
          <w:lang w:val="pt-BR"/>
        </w:rPr>
      </w:pPr>
    </w:p>
    <w:p w:rsidR="00E11BF5" w:rsidRPr="00E11BF5" w:rsidRDefault="00E11BF5" w:rsidP="00E11BF5">
      <w:pPr>
        <w:pStyle w:val="Identificao"/>
        <w:widowControl w:val="0"/>
        <w:rPr>
          <w:rFonts w:ascii="Open Sans" w:hAnsi="Open Sans" w:cs="Open Sans"/>
        </w:rPr>
      </w:pPr>
      <w:r w:rsidRPr="00E11BF5">
        <w:rPr>
          <w:rFonts w:ascii="Open Sans" w:hAnsi="Open Sans" w:cs="Open Sans"/>
        </w:rPr>
        <w:t xml:space="preserve">“I – AGRAVO DE INSTRUMENTO EM RECURSO DE REVISTA DO RECLAMANTE. </w:t>
      </w:r>
      <w:proofErr w:type="gramStart"/>
      <w:r w:rsidRPr="00E11BF5">
        <w:rPr>
          <w:rFonts w:ascii="Open Sans" w:hAnsi="Open Sans" w:cs="Open Sans"/>
        </w:rPr>
        <w:t>INDENIZAÇÃO POR DANOS MORAIS.</w:t>
      </w:r>
      <w:proofErr w:type="gramEnd"/>
      <w:r w:rsidRPr="00E11BF5">
        <w:rPr>
          <w:rFonts w:ascii="Open Sans" w:hAnsi="Open Sans" w:cs="Open Sans"/>
        </w:rPr>
        <w:t xml:space="preserve"> ROMPIMENTO DA BARRAGEM DE BRUMADINHO. </w:t>
      </w:r>
      <w:proofErr w:type="gramStart"/>
      <w:r w:rsidRPr="00E11BF5">
        <w:rPr>
          <w:rFonts w:ascii="Open Sans" w:hAnsi="Open Sans" w:cs="Open Sans"/>
        </w:rPr>
        <w:t>MORTE DA EMPREGADA.</w:t>
      </w:r>
      <w:proofErr w:type="gramEnd"/>
      <w:r w:rsidRPr="00E11BF5">
        <w:rPr>
          <w:rFonts w:ascii="Open Sans" w:hAnsi="Open Sans" w:cs="Open Sans"/>
        </w:rPr>
        <w:t xml:space="preserve"> </w:t>
      </w:r>
      <w:proofErr w:type="gramStart"/>
      <w:r w:rsidRPr="00E11BF5">
        <w:rPr>
          <w:rFonts w:ascii="Open Sans" w:hAnsi="Open Sans" w:cs="Open Sans"/>
        </w:rPr>
        <w:t>DANO EM RICOCHETE.</w:t>
      </w:r>
      <w:proofErr w:type="gramEnd"/>
      <w:r w:rsidRPr="00E11BF5">
        <w:rPr>
          <w:rFonts w:ascii="Open Sans" w:hAnsi="Open Sans" w:cs="Open Sans"/>
        </w:rPr>
        <w:t xml:space="preserve"> MORTE DA TIA </w:t>
      </w:r>
      <w:proofErr w:type="gramStart"/>
      <w:r w:rsidRPr="00E11BF5">
        <w:rPr>
          <w:rFonts w:ascii="Open Sans" w:hAnsi="Open Sans" w:cs="Open Sans"/>
        </w:rPr>
        <w:t>DO</w:t>
      </w:r>
      <w:proofErr w:type="gramEnd"/>
      <w:r w:rsidRPr="00E11BF5">
        <w:rPr>
          <w:rFonts w:ascii="Open Sans" w:hAnsi="Open Sans" w:cs="Open Sans"/>
        </w:rPr>
        <w:t xml:space="preserve"> AUTOR. AUSÊNCIA DE CONVIVÊNCIA ÍNTIMA. TRANSCENDÊNCIA NÃO RECONHECIDA. O dano moral reflexo, também conhecido </w:t>
      </w:r>
      <w:proofErr w:type="gramStart"/>
      <w:r w:rsidRPr="00E11BF5">
        <w:rPr>
          <w:rFonts w:ascii="Open Sans" w:hAnsi="Open Sans" w:cs="Open Sans"/>
        </w:rPr>
        <w:t>como</w:t>
      </w:r>
      <w:proofErr w:type="gramEnd"/>
      <w:r w:rsidRPr="00E11BF5">
        <w:rPr>
          <w:rFonts w:ascii="Open Sans" w:hAnsi="Open Sans" w:cs="Open Sans"/>
        </w:rPr>
        <w:t xml:space="preserve"> dano por ricochete, diz respeito ao direito autônomo de pessoas intimamente ligadas à vítima de um ato ilícito que resultou na violação de seus direitos fundamentais. No caso do falecimento de empregado devido </w:t>
      </w:r>
      <w:proofErr w:type="gramStart"/>
      <w:r w:rsidRPr="00E11BF5">
        <w:rPr>
          <w:rFonts w:ascii="Open Sans" w:hAnsi="Open Sans" w:cs="Open Sans"/>
        </w:rPr>
        <w:t>a</w:t>
      </w:r>
      <w:proofErr w:type="gramEnd"/>
      <w:r w:rsidRPr="00E11BF5">
        <w:rPr>
          <w:rFonts w:ascii="Open Sans" w:hAnsi="Open Sans" w:cs="Open Sans"/>
        </w:rPr>
        <w:t xml:space="preserve"> acidente de trabalho, esse ato ilícito permite o pagamento de dano moral reflexo para familiares e pessoas que mantêm uma relação especial de afeto com o falecido. Nesse cenário, existe a presunção legal de dano moral reflexo apenas para o núcleo familiar básico da vítima do acidente (cônjuge, companheiro, companheira, filhos, pai e mãe). Outros parentes que não estejam incluídos nesse núcleo familiar básico, como tios, primos e sobrinhos, por exemplo, podem ter direito à compensação por danos morais reflexos decorrentes do falecimento do empregado vítima de acidente de trabalho, desde que consigam comprovar a existência de uma relação íntima de afeto que tenha causado o dano moral. No presente caso, o acórdão regional</w:t>
      </w:r>
      <w:r w:rsidR="00B06F75">
        <w:rPr>
          <w:rFonts w:ascii="Open Sans" w:hAnsi="Open Sans" w:cs="Open Sans"/>
        </w:rPr>
        <w:t xml:space="preserve"> </w:t>
      </w:r>
      <w:r w:rsidR="00B06F75">
        <w:rPr>
          <w:rFonts w:ascii="Open Sans" w:hAnsi="Open Sans" w:cs="Open Sans"/>
        </w:rPr>
        <w:lastRenderedPageBreak/>
        <w:t>consignou expressamente que ‘</w:t>
      </w:r>
      <w:r w:rsidRPr="00E11BF5">
        <w:rPr>
          <w:rFonts w:ascii="Open Sans" w:hAnsi="Open Sans" w:cs="Open Sans"/>
        </w:rPr>
        <w:t xml:space="preserve">os elementos probatórios demonstram uma convivência habitual e próxima, mas insuficiente para demonstrar um grau de amizade e afetividades fortes, de modo a configurar um abalo emocional e um sentimento de dor pela perda mais intensa que o existente com a morte de uma </w:t>
      </w:r>
      <w:proofErr w:type="gramStart"/>
      <w:r w:rsidRPr="00E11BF5">
        <w:rPr>
          <w:rFonts w:ascii="Open Sans" w:hAnsi="Open Sans" w:cs="Open Sans"/>
        </w:rPr>
        <w:t>tia</w:t>
      </w:r>
      <w:proofErr w:type="gramEnd"/>
      <w:r w:rsidR="00B06F75">
        <w:rPr>
          <w:rFonts w:ascii="Open Sans" w:hAnsi="Open Sans" w:cs="Open Sans"/>
        </w:rPr>
        <w:t>’</w:t>
      </w:r>
      <w:r w:rsidRPr="00E11BF5">
        <w:rPr>
          <w:rFonts w:ascii="Open Sans" w:hAnsi="Open Sans" w:cs="Open Sans"/>
        </w:rPr>
        <w:t xml:space="preserve">. O acórdão regional encontra-se, portanto, em conformidade com a jurisprudência </w:t>
      </w:r>
      <w:proofErr w:type="gramStart"/>
      <w:r w:rsidRPr="00E11BF5">
        <w:rPr>
          <w:rFonts w:ascii="Open Sans" w:hAnsi="Open Sans" w:cs="Open Sans"/>
        </w:rPr>
        <w:t>do</w:t>
      </w:r>
      <w:proofErr w:type="gramEnd"/>
      <w:r w:rsidRPr="00E11BF5">
        <w:rPr>
          <w:rFonts w:ascii="Open Sans" w:hAnsi="Open Sans" w:cs="Open Sans"/>
        </w:rPr>
        <w:t xml:space="preserve"> TST. Incabível eventual reanálise do acervo fático-probatório, nos termos da Súmula 126 do TST. Desse modo, mostra-se inviável o processamento do recurso de revista, não havendo </w:t>
      </w:r>
      <w:proofErr w:type="gramStart"/>
      <w:r w:rsidRPr="00E11BF5">
        <w:rPr>
          <w:rFonts w:ascii="Open Sans" w:hAnsi="Open Sans" w:cs="Open Sans"/>
        </w:rPr>
        <w:t>como</w:t>
      </w:r>
      <w:proofErr w:type="gramEnd"/>
      <w:r w:rsidRPr="00E11BF5">
        <w:rPr>
          <w:rFonts w:ascii="Open Sans" w:hAnsi="Open Sans" w:cs="Open Sans"/>
        </w:rPr>
        <w:t xml:space="preserve"> reconhecer a transcendência da causa (artigo 896-A da CLT), em qualquer de suas modalidades. </w:t>
      </w:r>
      <w:proofErr w:type="gramStart"/>
      <w:r w:rsidRPr="00E11BF5">
        <w:rPr>
          <w:rFonts w:ascii="Open Sans" w:hAnsi="Open Sans" w:cs="Open Sans"/>
        </w:rPr>
        <w:t>Agravo de instrumento a que se nega provimento.</w:t>
      </w:r>
      <w:proofErr w:type="gramEnd"/>
      <w:r w:rsidRPr="00E11BF5">
        <w:rPr>
          <w:rFonts w:ascii="Open Sans" w:hAnsi="Open Sans" w:cs="Open Sans"/>
        </w:rPr>
        <w:t xml:space="preserve"> [...]." (</w:t>
      </w:r>
      <w:hyperlink r:id="rId29" w:history="1">
        <w:r w:rsidRPr="00E11BF5">
          <w:rPr>
            <w:rStyle w:val="Hyperlink"/>
            <w:rFonts w:ascii="Open Sans" w:hAnsi="Open Sans" w:cs="Open Sans"/>
          </w:rPr>
          <w:t>TST-RRAg-10172-56.2021.5.03.0163, 8ª Turma, rel. Min. Sergio Pinto Martins, julgado em 20/3/2024</w:t>
        </w:r>
      </w:hyperlink>
      <w:r w:rsidRPr="00E11BF5">
        <w:rPr>
          <w:rFonts w:ascii="Open Sans" w:hAnsi="Open Sans" w:cs="Open Sans"/>
        </w:rPr>
        <w:t>)</w:t>
      </w:r>
    </w:p>
    <w:p w:rsidR="00364B2A" w:rsidRDefault="00364B2A" w:rsidP="002D05F7">
      <w:pPr>
        <w:pStyle w:val="Identificao"/>
        <w:widowControl w:val="0"/>
        <w:rPr>
          <w:rFonts w:ascii="Open Sans" w:hAnsi="Open Sans" w:cs="Open Sans"/>
          <w:lang w:val="pt-BR"/>
        </w:rPr>
      </w:pPr>
    </w:p>
    <w:p w:rsidR="00CF0AA1" w:rsidRDefault="00CF0AA1" w:rsidP="002D05F7">
      <w:pPr>
        <w:pStyle w:val="Cabealho"/>
        <w:widowControl w:val="0"/>
        <w:tabs>
          <w:tab w:val="clear" w:pos="4419"/>
          <w:tab w:val="clear" w:pos="8838"/>
        </w:tabs>
        <w:ind w:firstLine="142"/>
        <w:jc w:val="center"/>
        <w:rPr>
          <w:rFonts w:ascii="Open Sans" w:hAnsi="Open Sans" w:cs="Open Sans"/>
          <w:i/>
        </w:rPr>
      </w:pPr>
    </w:p>
    <w:p w:rsidR="00CF0AA1" w:rsidRPr="003509A3" w:rsidRDefault="00CF0AA1" w:rsidP="002D05F7">
      <w:pPr>
        <w:pStyle w:val="Cabealho"/>
        <w:widowControl w:val="0"/>
        <w:tabs>
          <w:tab w:val="clear" w:pos="4419"/>
          <w:tab w:val="clear" w:pos="8838"/>
        </w:tabs>
        <w:ind w:firstLine="142"/>
        <w:jc w:val="center"/>
        <w:rPr>
          <w:rFonts w:ascii="Open Sans" w:hAnsi="Open Sans" w:cs="Open Sans"/>
          <w:i/>
        </w:rPr>
      </w:pPr>
    </w:p>
    <w:p w:rsidR="001A7589" w:rsidRPr="003509A3" w:rsidRDefault="001A7589" w:rsidP="00CF0AA1">
      <w:pPr>
        <w:pStyle w:val="Corpodetexto"/>
        <w:widowControl w:val="0"/>
        <w:pBdr>
          <w:top w:val="single" w:sz="4" w:space="1" w:color="auto"/>
          <w:left w:val="single" w:sz="4" w:space="0" w:color="auto"/>
          <w:bottom w:val="single" w:sz="4" w:space="1" w:color="auto"/>
          <w:right w:val="single" w:sz="4" w:space="1" w:color="auto"/>
        </w:pBdr>
        <w:shd w:val="clear" w:color="auto" w:fill="B8CCE4"/>
        <w:ind w:firstLine="142"/>
        <w:outlineLvl w:val="0"/>
        <w:rPr>
          <w:rFonts w:ascii="Open Sans" w:hAnsi="Open Sans" w:cs="Open Sans"/>
          <w:b w:val="0"/>
          <w:bCs w:val="0"/>
          <w:snapToGrid w:val="0"/>
          <w:sz w:val="24"/>
          <w:szCs w:val="24"/>
        </w:rPr>
      </w:pPr>
      <w:r w:rsidRPr="003509A3">
        <w:rPr>
          <w:rFonts w:ascii="Open Sans" w:hAnsi="Open Sans" w:cs="Open Sans"/>
          <w:b w:val="0"/>
          <w:bCs w:val="0"/>
          <w:snapToGrid w:val="0"/>
          <w:sz w:val="24"/>
          <w:szCs w:val="24"/>
        </w:rPr>
        <w:t>O</w:t>
      </w:r>
      <w:r w:rsidR="00EB437B">
        <w:rPr>
          <w:rFonts w:ascii="Open Sans" w:hAnsi="Open Sans" w:cs="Open Sans"/>
          <w:b w:val="0"/>
          <w:bCs w:val="0"/>
          <w:snapToGrid w:val="0"/>
          <w:sz w:val="24"/>
          <w:szCs w:val="24"/>
        </w:rPr>
        <w:t xml:space="preserve"> Informativo TST é mantido pela</w:t>
      </w:r>
    </w:p>
    <w:p w:rsidR="001A7589" w:rsidRPr="003509A3" w:rsidRDefault="001A7589" w:rsidP="00CF0AA1">
      <w:pPr>
        <w:pStyle w:val="Corpodetexto"/>
        <w:widowControl w:val="0"/>
        <w:pBdr>
          <w:top w:val="single" w:sz="4" w:space="1" w:color="auto"/>
          <w:left w:val="single" w:sz="4" w:space="0" w:color="auto"/>
          <w:bottom w:val="single" w:sz="4" w:space="1" w:color="auto"/>
          <w:right w:val="single" w:sz="4" w:space="1" w:color="auto"/>
        </w:pBdr>
        <w:shd w:val="clear" w:color="auto" w:fill="B8CCE4"/>
        <w:ind w:firstLine="142"/>
        <w:rPr>
          <w:rFonts w:ascii="Open Sans" w:hAnsi="Open Sans" w:cs="Open Sans"/>
          <w:b w:val="0"/>
          <w:bCs w:val="0"/>
          <w:snapToGrid w:val="0"/>
          <w:sz w:val="24"/>
          <w:szCs w:val="24"/>
        </w:rPr>
      </w:pPr>
      <w:r w:rsidRPr="003509A3">
        <w:rPr>
          <w:rFonts w:ascii="Open Sans" w:hAnsi="Open Sans" w:cs="Open Sans"/>
          <w:b w:val="0"/>
          <w:bCs w:val="0"/>
          <w:snapToGrid w:val="0"/>
          <w:sz w:val="24"/>
          <w:szCs w:val="24"/>
        </w:rPr>
        <w:t>Coordenadoria de Jurisprudência – CJUR.</w:t>
      </w:r>
    </w:p>
    <w:p w:rsidR="001A7589" w:rsidRPr="003509A3" w:rsidRDefault="001A7589" w:rsidP="00CF0AA1">
      <w:pPr>
        <w:widowControl w:val="0"/>
        <w:pBdr>
          <w:top w:val="single" w:sz="4" w:space="1" w:color="auto"/>
          <w:left w:val="single" w:sz="4" w:space="0" w:color="auto"/>
          <w:bottom w:val="single" w:sz="4" w:space="1" w:color="auto"/>
          <w:right w:val="single" w:sz="4" w:space="1" w:color="auto"/>
        </w:pBdr>
        <w:shd w:val="clear" w:color="auto" w:fill="B8CCE4"/>
        <w:ind w:firstLine="142"/>
        <w:jc w:val="center"/>
        <w:rPr>
          <w:rFonts w:ascii="Open Sans" w:hAnsi="Open Sans" w:cs="Open Sans"/>
          <w:snapToGrid w:val="0"/>
          <w:sz w:val="24"/>
          <w:szCs w:val="24"/>
        </w:rPr>
      </w:pPr>
    </w:p>
    <w:p w:rsidR="001A7589" w:rsidRPr="003509A3" w:rsidRDefault="001A7589" w:rsidP="00CF0AA1">
      <w:pPr>
        <w:widowControl w:val="0"/>
        <w:pBdr>
          <w:top w:val="single" w:sz="4" w:space="1" w:color="auto"/>
          <w:left w:val="single" w:sz="4" w:space="0" w:color="auto"/>
          <w:bottom w:val="single" w:sz="4" w:space="1" w:color="auto"/>
          <w:right w:val="single" w:sz="4" w:space="1" w:color="auto"/>
        </w:pBdr>
        <w:shd w:val="clear" w:color="auto" w:fill="B8CCE4"/>
        <w:ind w:firstLine="142"/>
        <w:jc w:val="center"/>
        <w:rPr>
          <w:rFonts w:ascii="Open Sans" w:hAnsi="Open Sans" w:cs="Open Sans"/>
          <w:snapToGrid w:val="0"/>
          <w:sz w:val="24"/>
          <w:szCs w:val="24"/>
        </w:rPr>
      </w:pPr>
      <w:r w:rsidRPr="003509A3">
        <w:rPr>
          <w:rFonts w:ascii="Open Sans" w:hAnsi="Open Sans" w:cs="Open Sans"/>
          <w:snapToGrid w:val="0"/>
          <w:sz w:val="24"/>
          <w:szCs w:val="24"/>
        </w:rPr>
        <w:t xml:space="preserve">Informações/Sugestões/Críticas: (61)3043-4612 ou </w:t>
      </w:r>
      <w:hyperlink r:id="rId30" w:history="1">
        <w:r w:rsidRPr="003509A3">
          <w:rPr>
            <w:rStyle w:val="Hyperlink"/>
            <w:rFonts w:ascii="Open Sans" w:hAnsi="Open Sans" w:cs="Open Sans"/>
            <w:snapToGrid w:val="0"/>
            <w:sz w:val="24"/>
            <w:szCs w:val="24"/>
          </w:rPr>
          <w:t>cjur@tst.jus.br</w:t>
        </w:r>
      </w:hyperlink>
    </w:p>
    <w:p w:rsidR="001A7589" w:rsidRPr="003509A3" w:rsidRDefault="001A7589" w:rsidP="00CF0AA1">
      <w:pPr>
        <w:widowControl w:val="0"/>
        <w:pBdr>
          <w:top w:val="single" w:sz="4" w:space="1" w:color="auto"/>
          <w:left w:val="single" w:sz="4" w:space="0" w:color="auto"/>
          <w:bottom w:val="single" w:sz="4" w:space="1" w:color="auto"/>
          <w:right w:val="single" w:sz="4" w:space="1" w:color="auto"/>
        </w:pBdr>
        <w:shd w:val="clear" w:color="auto" w:fill="B8CCE4"/>
        <w:ind w:firstLine="142"/>
        <w:jc w:val="center"/>
        <w:rPr>
          <w:rFonts w:ascii="Open Sans" w:hAnsi="Open Sans" w:cs="Open Sans"/>
          <w:snapToGrid w:val="0"/>
          <w:sz w:val="24"/>
          <w:szCs w:val="24"/>
        </w:rPr>
      </w:pPr>
    </w:p>
    <w:p w:rsidR="001A7589" w:rsidRPr="003509A3" w:rsidRDefault="001A7589" w:rsidP="00CF0AA1">
      <w:pPr>
        <w:widowControl w:val="0"/>
        <w:pBdr>
          <w:top w:val="single" w:sz="4" w:space="1" w:color="auto"/>
          <w:left w:val="single" w:sz="4" w:space="0" w:color="auto"/>
          <w:bottom w:val="single" w:sz="4" w:space="1" w:color="auto"/>
          <w:right w:val="single" w:sz="4" w:space="1" w:color="auto"/>
        </w:pBdr>
        <w:shd w:val="clear" w:color="auto" w:fill="B8CCE4"/>
        <w:ind w:firstLine="142"/>
        <w:jc w:val="center"/>
        <w:rPr>
          <w:rFonts w:ascii="Open Sans" w:hAnsi="Open Sans" w:cs="Open Sans"/>
          <w:snapToGrid w:val="0"/>
          <w:sz w:val="24"/>
          <w:szCs w:val="24"/>
        </w:rPr>
      </w:pPr>
      <w:r w:rsidRPr="003509A3">
        <w:rPr>
          <w:rFonts w:ascii="Open Sans" w:hAnsi="Open Sans" w:cs="Open Sans"/>
          <w:snapToGrid w:val="0"/>
          <w:sz w:val="24"/>
          <w:szCs w:val="24"/>
        </w:rPr>
        <w:t xml:space="preserve">Para acessar todas as edições: </w:t>
      </w:r>
      <w:hyperlink r:id="rId31" w:history="1">
        <w:r w:rsidRPr="003509A3">
          <w:rPr>
            <w:rStyle w:val="Hyperlink"/>
            <w:rFonts w:ascii="Open Sans" w:hAnsi="Open Sans" w:cs="Open Sans"/>
            <w:snapToGrid w:val="0"/>
            <w:sz w:val="24"/>
            <w:szCs w:val="24"/>
          </w:rPr>
          <w:t>http://www.tst.jus.br/web/guest/informativo-tst</w:t>
        </w:r>
      </w:hyperlink>
    </w:p>
    <w:p w:rsidR="001A7589" w:rsidRPr="003509A3" w:rsidRDefault="001A7589" w:rsidP="00CF0AA1">
      <w:pPr>
        <w:widowControl w:val="0"/>
        <w:pBdr>
          <w:top w:val="single" w:sz="4" w:space="1" w:color="auto"/>
          <w:left w:val="single" w:sz="4" w:space="0" w:color="auto"/>
          <w:bottom w:val="single" w:sz="4" w:space="1" w:color="auto"/>
          <w:right w:val="single" w:sz="4" w:space="1" w:color="auto"/>
        </w:pBdr>
        <w:shd w:val="clear" w:color="auto" w:fill="B8CCE4"/>
        <w:ind w:firstLine="142"/>
        <w:jc w:val="center"/>
        <w:rPr>
          <w:rFonts w:ascii="Open Sans" w:hAnsi="Open Sans" w:cs="Open Sans"/>
          <w:snapToGrid w:val="0"/>
          <w:sz w:val="24"/>
          <w:szCs w:val="24"/>
        </w:rPr>
      </w:pPr>
    </w:p>
    <w:p w:rsidR="001A7589" w:rsidRPr="008C74B3" w:rsidRDefault="001A7589" w:rsidP="00CF0AA1">
      <w:pPr>
        <w:widowControl w:val="0"/>
        <w:pBdr>
          <w:top w:val="single" w:sz="4" w:space="1" w:color="auto"/>
          <w:left w:val="single" w:sz="4" w:space="0" w:color="auto"/>
          <w:bottom w:val="single" w:sz="4" w:space="1" w:color="auto"/>
          <w:right w:val="single" w:sz="4" w:space="1" w:color="auto"/>
        </w:pBdr>
        <w:shd w:val="clear" w:color="auto" w:fill="B8CCE4"/>
        <w:ind w:firstLine="142"/>
        <w:jc w:val="center"/>
        <w:rPr>
          <w:rFonts w:ascii="Open Sans" w:hAnsi="Open Sans" w:cs="Open Sans"/>
          <w:snapToGrid w:val="0"/>
          <w:sz w:val="24"/>
          <w:szCs w:val="24"/>
        </w:rPr>
      </w:pPr>
      <w:r w:rsidRPr="003509A3">
        <w:rPr>
          <w:rFonts w:ascii="Open Sans" w:hAnsi="Open Sans" w:cs="Open Sans"/>
          <w:snapToGrid w:val="0"/>
          <w:sz w:val="24"/>
          <w:szCs w:val="24"/>
        </w:rPr>
        <w:t xml:space="preserve">Para receber via </w:t>
      </w:r>
      <w:r w:rsidRPr="003509A3">
        <w:rPr>
          <w:rFonts w:ascii="Open Sans" w:hAnsi="Open Sans" w:cs="Open Sans"/>
          <w:i/>
          <w:snapToGrid w:val="0"/>
          <w:sz w:val="24"/>
          <w:szCs w:val="24"/>
        </w:rPr>
        <w:t>e-mail</w:t>
      </w:r>
      <w:r w:rsidRPr="003509A3">
        <w:rPr>
          <w:rFonts w:ascii="Open Sans" w:hAnsi="Open Sans" w:cs="Open Sans"/>
          <w:snapToGrid w:val="0"/>
          <w:sz w:val="24"/>
          <w:szCs w:val="24"/>
        </w:rPr>
        <w:t xml:space="preserve">: </w:t>
      </w:r>
      <w:hyperlink r:id="rId32" w:history="1">
        <w:r w:rsidRPr="003509A3">
          <w:rPr>
            <w:rStyle w:val="Hyperlink"/>
            <w:rFonts w:ascii="Open Sans" w:hAnsi="Open Sans" w:cs="Open Sans"/>
            <w:snapToGrid w:val="0"/>
            <w:sz w:val="24"/>
            <w:szCs w:val="24"/>
          </w:rPr>
          <w:t>http://www.tst.jus.br/push</w:t>
        </w:r>
      </w:hyperlink>
    </w:p>
    <w:p w:rsidR="00ED73E7" w:rsidRDefault="00ED73E7" w:rsidP="002D05F7">
      <w:pPr>
        <w:widowControl w:val="0"/>
      </w:pPr>
    </w:p>
    <w:sectPr w:rsidR="00ED73E7" w:rsidSect="0081505B">
      <w:headerReference w:type="default" r:id="rId33"/>
      <w:footerReference w:type="default" r:id="rId34"/>
      <w:headerReference w:type="first" r:id="rId35"/>
      <w:footerReference w:type="first" r:id="rId36"/>
      <w:pgSz w:w="11906" w:h="16838" w:code="9"/>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50D" w:rsidRDefault="0062450D" w:rsidP="001A7589">
      <w:r>
        <w:separator/>
      </w:r>
    </w:p>
  </w:endnote>
  <w:endnote w:type="continuationSeparator" w:id="0">
    <w:p w:rsidR="0062450D" w:rsidRDefault="0062450D" w:rsidP="001A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bas Neue Regular">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885249"/>
      <w:docPartObj>
        <w:docPartGallery w:val="Page Numbers (Bottom of Page)"/>
        <w:docPartUnique/>
      </w:docPartObj>
    </w:sdtPr>
    <w:sdtEndPr/>
    <w:sdtContent>
      <w:sdt>
        <w:sdtPr>
          <w:id w:val="1122496863"/>
          <w:docPartObj>
            <w:docPartGallery w:val="Page Numbers (Bottom of Page)"/>
            <w:docPartUnique/>
          </w:docPartObj>
        </w:sdtPr>
        <w:sdtEndPr/>
        <w:sdtContent>
          <w:p w:rsidR="0062450D" w:rsidRDefault="0062450D" w:rsidP="00702ABA">
            <w:pPr>
              <w:pStyle w:val="Rodap"/>
              <w:pBdr>
                <w:top w:val="single" w:sz="4" w:space="1" w:color="auto"/>
              </w:pBdr>
              <w:jc w:val="right"/>
            </w:pPr>
            <w:r>
              <w:fldChar w:fldCharType="begin"/>
            </w:r>
            <w:r>
              <w:instrText>PAGE   \* MERGEFORMAT</w:instrText>
            </w:r>
            <w:r>
              <w:fldChar w:fldCharType="separate"/>
            </w:r>
            <w:r w:rsidR="009524EF">
              <w:rPr>
                <w:noProof/>
              </w:rPr>
              <w:t>22</w:t>
            </w:r>
            <w:r>
              <w:fldChar w:fldCharType="end"/>
            </w:r>
          </w:p>
        </w:sdtContent>
      </w:sdt>
      <w:p w:rsidR="0062450D" w:rsidRDefault="009524EF" w:rsidP="00ED73E7">
        <w:pPr>
          <w:pStyle w:val="Rodap"/>
          <w:jc w:val="right"/>
        </w:pPr>
      </w:p>
    </w:sdtContent>
  </w:sdt>
  <w:p w:rsidR="0062450D" w:rsidRDefault="0062450D" w:rsidP="00ED73E7">
    <w:pPr>
      <w:pStyle w:val="Rodap"/>
      <w:ind w:left="-284" w:right="36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773428"/>
      <w:docPartObj>
        <w:docPartGallery w:val="Page Numbers (Bottom of Page)"/>
        <w:docPartUnique/>
      </w:docPartObj>
    </w:sdtPr>
    <w:sdtEndPr/>
    <w:sdtContent>
      <w:p w:rsidR="0062450D" w:rsidRDefault="0062450D" w:rsidP="002A538B">
        <w:pPr>
          <w:pStyle w:val="Rodap"/>
          <w:pBdr>
            <w:top w:val="single" w:sz="4" w:space="1" w:color="auto"/>
            <w:between w:val="single" w:sz="4" w:space="1" w:color="auto"/>
            <w:bar w:val="single" w:sz="4" w:color="auto"/>
          </w:pBdr>
          <w:jc w:val="right"/>
        </w:pPr>
        <w:r>
          <w:fldChar w:fldCharType="begin"/>
        </w:r>
        <w:r>
          <w:instrText>PAGE   \* MERGEFORMAT</w:instrText>
        </w:r>
        <w:r>
          <w:fldChar w:fldCharType="separate"/>
        </w:r>
        <w:r w:rsidR="009524EF">
          <w:rPr>
            <w:noProof/>
          </w:rPr>
          <w:t>1</w:t>
        </w:r>
        <w:r>
          <w:fldChar w:fldCharType="end"/>
        </w:r>
      </w:p>
    </w:sdtContent>
  </w:sdt>
  <w:p w:rsidR="0062450D" w:rsidRDefault="0062450D" w:rsidP="002A538B">
    <w:pPr>
      <w:pStyle w:val="Rodap"/>
      <w:tabs>
        <w:tab w:val="clear" w:pos="4252"/>
        <w:tab w:val="clear" w:pos="8504"/>
        <w:tab w:val="left" w:pos="3681"/>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50D" w:rsidRDefault="0062450D" w:rsidP="001A7589">
      <w:r>
        <w:separator/>
      </w:r>
    </w:p>
  </w:footnote>
  <w:footnote w:type="continuationSeparator" w:id="0">
    <w:p w:rsidR="0062450D" w:rsidRDefault="0062450D" w:rsidP="001A7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50D" w:rsidRDefault="0062450D" w:rsidP="002A538B">
    <w:pPr>
      <w:pStyle w:val="Corpodetexto"/>
      <w:jc w:val="right"/>
      <w:rPr>
        <w:rFonts w:ascii="Open Sans" w:hAnsi="Open Sans" w:cs="Open Sans"/>
        <w:color w:val="006699"/>
        <w:sz w:val="28"/>
        <w:szCs w:val="28"/>
      </w:rPr>
    </w:pPr>
    <w:r w:rsidRPr="00AF45B3">
      <w:rPr>
        <w:rFonts w:ascii="Open Sans" w:hAnsi="Open Sans" w:cs="Open Sans"/>
        <w:color w:val="006699"/>
        <w:sz w:val="28"/>
        <w:szCs w:val="28"/>
      </w:rPr>
      <w:t xml:space="preserve">Informativo TST – nº </w:t>
    </w:r>
    <w:r>
      <w:rPr>
        <w:rFonts w:ascii="Open Sans" w:hAnsi="Open Sans" w:cs="Open Sans"/>
        <w:color w:val="006699"/>
        <w:sz w:val="28"/>
        <w:szCs w:val="28"/>
      </w:rPr>
      <w:t>285</w:t>
    </w:r>
  </w:p>
  <w:p w:rsidR="0062450D" w:rsidRDefault="0062450D" w:rsidP="002A538B">
    <w:pPr>
      <w:pStyle w:val="Cabealho"/>
      <w:pBdr>
        <w:bottom w:val="single" w:sz="4" w:space="1" w:color="auto"/>
        <w:between w:val="single" w:sz="4" w:space="1" w:color="auto"/>
        <w:bar w:val="single" w:sz="4" w:color="auto"/>
      </w:pBdr>
      <w:jc w:val="right"/>
    </w:pPr>
    <w:r w:rsidRPr="00AF45B3">
      <w:rPr>
        <w:rFonts w:ascii="Open Sans" w:hAnsi="Open Sans" w:cs="Open Sans"/>
        <w:i/>
        <w:iCs/>
        <w:color w:val="005DA2"/>
        <w:sz w:val="22"/>
        <w:szCs w:val="22"/>
      </w:rPr>
      <w:t xml:space="preserve">Período: </w:t>
    </w:r>
    <w:r w:rsidR="00597181">
      <w:rPr>
        <w:rFonts w:ascii="Open Sans" w:hAnsi="Open Sans" w:cs="Open Sans"/>
        <w:i/>
        <w:iCs/>
        <w:color w:val="005DA2"/>
        <w:sz w:val="22"/>
        <w:szCs w:val="22"/>
      </w:rPr>
      <w:t>19</w:t>
    </w:r>
    <w:r>
      <w:rPr>
        <w:rFonts w:ascii="Open Sans" w:hAnsi="Open Sans" w:cs="Open Sans"/>
        <w:i/>
        <w:iCs/>
        <w:color w:val="005DA2"/>
        <w:sz w:val="22"/>
        <w:szCs w:val="22"/>
      </w:rPr>
      <w:t xml:space="preserve"> de </w:t>
    </w:r>
    <w:r w:rsidR="00597181">
      <w:rPr>
        <w:rFonts w:ascii="Open Sans" w:hAnsi="Open Sans" w:cs="Open Sans"/>
        <w:i/>
        <w:iCs/>
        <w:color w:val="005DA2"/>
        <w:sz w:val="22"/>
        <w:szCs w:val="22"/>
      </w:rPr>
      <w:t>março</w:t>
    </w:r>
    <w:r>
      <w:rPr>
        <w:rFonts w:ascii="Open Sans" w:hAnsi="Open Sans" w:cs="Open Sans"/>
        <w:i/>
        <w:iCs/>
        <w:color w:val="005DA2"/>
        <w:sz w:val="22"/>
        <w:szCs w:val="22"/>
      </w:rPr>
      <w:t xml:space="preserve"> a </w:t>
    </w:r>
    <w:proofErr w:type="gramStart"/>
    <w:r w:rsidR="00597181">
      <w:rPr>
        <w:rFonts w:ascii="Open Sans" w:hAnsi="Open Sans" w:cs="Open Sans"/>
        <w:i/>
        <w:iCs/>
        <w:color w:val="005DA2"/>
        <w:sz w:val="22"/>
        <w:szCs w:val="22"/>
      </w:rPr>
      <w:t>4</w:t>
    </w:r>
    <w:proofErr w:type="gramEnd"/>
    <w:r w:rsidR="00597181">
      <w:rPr>
        <w:rFonts w:ascii="Open Sans" w:hAnsi="Open Sans" w:cs="Open Sans"/>
        <w:i/>
        <w:iCs/>
        <w:color w:val="005DA2"/>
        <w:sz w:val="22"/>
        <w:szCs w:val="22"/>
      </w:rPr>
      <w:t xml:space="preserve"> de abril</w:t>
    </w:r>
    <w:r>
      <w:rPr>
        <w:rFonts w:ascii="Open Sans" w:hAnsi="Open Sans" w:cs="Open Sans"/>
        <w:i/>
        <w:iCs/>
        <w:color w:val="005DA2"/>
        <w:sz w:val="22"/>
        <w:szCs w:val="22"/>
      </w:rPr>
      <w:t xml:space="preserve"> de 2024.</w:t>
    </w:r>
  </w:p>
  <w:p w:rsidR="0062450D" w:rsidRPr="00ED73E7" w:rsidRDefault="0062450D" w:rsidP="002A538B">
    <w:pPr>
      <w:pStyle w:val="Corpodetexto"/>
      <w:tabs>
        <w:tab w:val="left" w:pos="6749"/>
      </w:tabs>
      <w:ind w:right="510"/>
      <w:jc w:val="left"/>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54C" w:rsidRPr="001D1821" w:rsidRDefault="0062450D" w:rsidP="0004054C">
    <w:pPr>
      <w:pStyle w:val="Cabealho"/>
      <w:tabs>
        <w:tab w:val="clear" w:pos="4419"/>
        <w:tab w:val="clear" w:pos="8838"/>
        <w:tab w:val="left" w:pos="5810"/>
      </w:tabs>
    </w:pPr>
    <w:r>
      <w:rPr>
        <w:noProof/>
      </w:rPr>
      <mc:AlternateContent>
        <mc:Choice Requires="wps">
          <w:drawing>
            <wp:anchor distT="0" distB="0" distL="114300" distR="114300" simplePos="0" relativeHeight="251661312" behindDoc="0" locked="0" layoutInCell="0" allowOverlap="1" wp14:anchorId="7F8DD4E4" wp14:editId="7F2D371F">
              <wp:simplePos x="0" y="0"/>
              <wp:positionH relativeFrom="column">
                <wp:posOffset>860764</wp:posOffset>
              </wp:positionH>
              <wp:positionV relativeFrom="paragraph">
                <wp:posOffset>81280</wp:posOffset>
              </wp:positionV>
              <wp:extent cx="2422800" cy="756000"/>
              <wp:effectExtent l="0" t="0" r="0" b="6350"/>
              <wp:wrapNone/>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800" cy="756000"/>
                      </a:xfrm>
                      <a:prstGeom prst="rect">
                        <a:avLst/>
                      </a:prstGeom>
                      <a:solidFill>
                        <a:srgbClr val="FFFFFF"/>
                      </a:solidFill>
                      <a:ln w="9525">
                        <a:noFill/>
                        <a:miter lim="800000"/>
                        <a:headEnd/>
                        <a:tailEnd/>
                      </a:ln>
                    </wps:spPr>
                    <wps:txbx>
                      <w:txbxContent>
                        <w:p w:rsidR="0062450D" w:rsidRPr="00D50FBE" w:rsidRDefault="0062450D" w:rsidP="001A7589">
                          <w:pPr>
                            <w:rPr>
                              <w:rFonts w:ascii="Open Sans" w:hAnsi="Open Sans" w:cs="Open Sans"/>
                              <w:sz w:val="24"/>
                              <w:szCs w:val="24"/>
                            </w:rPr>
                          </w:pPr>
                          <w:r w:rsidRPr="00D50FBE">
                            <w:rPr>
                              <w:rFonts w:ascii="Open Sans" w:hAnsi="Open Sans" w:cs="Open Sans"/>
                              <w:sz w:val="24"/>
                              <w:szCs w:val="24"/>
                            </w:rPr>
                            <w:t>Poder Judiciário</w:t>
                          </w:r>
                          <w:r w:rsidRPr="00D50FBE">
                            <w:rPr>
                              <w:rFonts w:ascii="Open Sans" w:hAnsi="Open Sans" w:cs="Open Sans"/>
                              <w:sz w:val="24"/>
                              <w:szCs w:val="24"/>
                            </w:rPr>
                            <w:br/>
                            <w:t>Justiça do Trabalho</w:t>
                          </w:r>
                          <w:r w:rsidRPr="00D50FBE">
                            <w:rPr>
                              <w:rFonts w:ascii="Open Sans" w:hAnsi="Open Sans" w:cs="Open Sans"/>
                              <w:sz w:val="24"/>
                              <w:szCs w:val="24"/>
                            </w:rPr>
                            <w:br/>
                            <w:t>Tribunal Superior do Trabalho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67.8pt;margin-top:6.4pt;width:190.75pt;height:5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" o:allowincell="f" stroked="f">
              <v:textbox>
                <w:txbxContent>
                  <w:p w:rsidR="0062450D" w:rsidRPr="00D50FBE" w:rsidRDefault="0062450D" w:rsidP="001A7589">
                    <w:pPr>
                      <w:rPr>
                        <w:rFonts w:ascii="Open Sans" w:hAnsi="Open Sans" w:cs="Open Sans"/>
                        <w:sz w:val="24"/>
                        <w:szCs w:val="24"/>
                      </w:rPr>
                    </w:pPr>
                    <w:r w:rsidRPr="00D50FBE">
                      <w:rPr>
                        <w:rFonts w:ascii="Open Sans" w:hAnsi="Open Sans" w:cs="Open Sans"/>
                        <w:sz w:val="24"/>
                        <w:szCs w:val="24"/>
                      </w:rPr>
                      <w:t>Poder Judiciário</w:t>
                    </w:r>
                    <w:r w:rsidRPr="00D50FBE">
                      <w:rPr>
                        <w:rFonts w:ascii="Open Sans" w:hAnsi="Open Sans" w:cs="Open Sans"/>
                        <w:sz w:val="24"/>
                        <w:szCs w:val="24"/>
                      </w:rPr>
                      <w:br/>
                      <w:t>Justiça do Trabalho</w:t>
                    </w:r>
                    <w:r w:rsidRPr="00D50FBE">
                      <w:rPr>
                        <w:rFonts w:ascii="Open Sans" w:hAnsi="Open Sans" w:cs="Open Sans"/>
                        <w:sz w:val="24"/>
                        <w:szCs w:val="24"/>
                      </w:rPr>
                      <w:br/>
                      <w:t>Tribunal Superior do Trabalho</w:t>
                    </w:r>
                  </w:p>
                </w:txbxContent>
              </v:textbox>
            </v:shape>
          </w:pict>
        </mc:Fallback>
      </mc:AlternateContent>
    </w:r>
    <w:r>
      <w:rPr>
        <w:noProof/>
      </w:rPr>
      <w:drawing>
        <wp:inline distT="0" distB="0" distL="0" distR="0" wp14:anchorId="04A889B1" wp14:editId="50B6EE4B">
          <wp:extent cx="867595" cy="893135"/>
          <wp:effectExtent l="0" t="0" r="889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713" cy="893257"/>
                  </a:xfrm>
                  <a:prstGeom prst="rect">
                    <a:avLst/>
                  </a:prstGeom>
                  <a:noFill/>
                  <a:ln>
                    <a:noFill/>
                  </a:ln>
                </pic:spPr>
              </pic:pic>
            </a:graphicData>
          </a:graphic>
        </wp:inline>
      </w:drawing>
    </w:r>
    <w:r w:rsidR="0004054C">
      <w:tab/>
    </w:r>
  </w:p>
  <w:p w:rsidR="0062450D" w:rsidRDefault="0062450D" w:rsidP="001A7589">
    <w:pPr>
      <w:pStyle w:val="Cabealho"/>
    </w:pPr>
  </w:p>
  <w:p w:rsidR="0062450D" w:rsidRDefault="0062450D" w:rsidP="001A7589">
    <w:pPr>
      <w:pStyle w:val="Cabealho"/>
    </w:pPr>
    <w:r>
      <w:rPr>
        <w:rFonts w:ascii="Bebas Neue Regular" w:hAnsi="Bebas Neue Regular"/>
        <w:noProof/>
        <w:color w:val="006699"/>
        <w:sz w:val="30"/>
      </w:rPr>
      <w:drawing>
        <wp:inline distT="0" distB="0" distL="0" distR="0" wp14:anchorId="3299E1B9" wp14:editId="54754BED">
          <wp:extent cx="6124575" cy="8953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895350"/>
                  </a:xfrm>
                  <a:prstGeom prst="rect">
                    <a:avLst/>
                  </a:prstGeom>
                  <a:noFill/>
                  <a:ln>
                    <a:noFill/>
                  </a:ln>
                </pic:spPr>
              </pic:pic>
            </a:graphicData>
          </a:graphic>
        </wp:inline>
      </w:drawing>
    </w:r>
  </w:p>
  <w:p w:rsidR="0062450D" w:rsidRDefault="0062450D" w:rsidP="001A7589">
    <w:pPr>
      <w:pStyle w:val="Cabealho"/>
    </w:pPr>
  </w:p>
  <w:p w:rsidR="0062450D" w:rsidRPr="00CE124A" w:rsidRDefault="0062450D" w:rsidP="0055082E">
    <w:pPr>
      <w:pStyle w:val="Cabealho"/>
      <w:tabs>
        <w:tab w:val="clear" w:pos="4419"/>
        <w:tab w:val="clear" w:pos="8838"/>
        <w:tab w:val="left" w:pos="2793"/>
      </w:tabs>
      <w:ind w:right="227"/>
      <w:jc w:val="right"/>
      <w:rPr>
        <w:rFonts w:ascii="Open Sans" w:hAnsi="Open Sans" w:cs="Open Sans"/>
        <w:i/>
        <w:iCs/>
        <w:color w:val="005DA2"/>
        <w:sz w:val="32"/>
        <w:szCs w:val="32"/>
      </w:rPr>
    </w:pPr>
    <w:r>
      <w:tab/>
    </w:r>
    <w:r>
      <w:tab/>
    </w:r>
    <w:r>
      <w:tab/>
    </w:r>
    <w:r>
      <w:tab/>
    </w:r>
    <w:r>
      <w:tab/>
    </w:r>
    <w:r>
      <w:tab/>
    </w:r>
    <w:r w:rsidRPr="00CE124A">
      <w:rPr>
        <w:rFonts w:ascii="Open Sans" w:hAnsi="Open Sans" w:cs="Open Sans"/>
        <w:b/>
        <w:color w:val="005DA2"/>
        <w:sz w:val="32"/>
        <w:szCs w:val="32"/>
      </w:rPr>
      <w:t xml:space="preserve">Nº </w:t>
    </w:r>
    <w:r>
      <w:rPr>
        <w:rFonts w:ascii="Open Sans" w:hAnsi="Open Sans" w:cs="Open Sans"/>
        <w:b/>
        <w:color w:val="005DA2"/>
        <w:sz w:val="32"/>
        <w:szCs w:val="32"/>
      </w:rPr>
      <w:t>285</w:t>
    </w:r>
  </w:p>
  <w:p w:rsidR="0062450D" w:rsidRDefault="0062450D" w:rsidP="0055082E">
    <w:pPr>
      <w:pStyle w:val="Cabealho"/>
      <w:ind w:right="170"/>
      <w:jc w:val="right"/>
    </w:pPr>
    <w:r w:rsidRPr="00AF45B3">
      <w:rPr>
        <w:rFonts w:ascii="Open Sans" w:hAnsi="Open Sans" w:cs="Open Sans"/>
        <w:i/>
        <w:iCs/>
        <w:color w:val="005DA2"/>
        <w:sz w:val="22"/>
        <w:szCs w:val="22"/>
      </w:rPr>
      <w:t xml:space="preserve">Período: </w:t>
    </w:r>
    <w:r>
      <w:rPr>
        <w:rFonts w:ascii="Open Sans" w:hAnsi="Open Sans" w:cs="Open Sans"/>
        <w:i/>
        <w:iCs/>
        <w:color w:val="005DA2"/>
        <w:sz w:val="22"/>
        <w:szCs w:val="22"/>
      </w:rPr>
      <w:t xml:space="preserve">19 de março a </w:t>
    </w:r>
    <w:proofErr w:type="gramStart"/>
    <w:r w:rsidR="00597181">
      <w:rPr>
        <w:rFonts w:ascii="Open Sans" w:hAnsi="Open Sans" w:cs="Open Sans"/>
        <w:i/>
        <w:iCs/>
        <w:color w:val="005DA2"/>
        <w:sz w:val="22"/>
        <w:szCs w:val="22"/>
      </w:rPr>
      <w:t>4</w:t>
    </w:r>
    <w:proofErr w:type="gramEnd"/>
    <w:r>
      <w:rPr>
        <w:rFonts w:ascii="Open Sans" w:hAnsi="Open Sans" w:cs="Open Sans"/>
        <w:i/>
        <w:iCs/>
        <w:color w:val="005DA2"/>
        <w:sz w:val="22"/>
        <w:szCs w:val="22"/>
      </w:rPr>
      <w:t xml:space="preserve"> de abril de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589"/>
    <w:rsid w:val="000367D9"/>
    <w:rsid w:val="0004054C"/>
    <w:rsid w:val="000430AD"/>
    <w:rsid w:val="0009184E"/>
    <w:rsid w:val="000A31D8"/>
    <w:rsid w:val="000C46D7"/>
    <w:rsid w:val="000F307F"/>
    <w:rsid w:val="000F5B51"/>
    <w:rsid w:val="00106B41"/>
    <w:rsid w:val="00124696"/>
    <w:rsid w:val="00127033"/>
    <w:rsid w:val="00132C3E"/>
    <w:rsid w:val="00151B9E"/>
    <w:rsid w:val="00164D07"/>
    <w:rsid w:val="001908A5"/>
    <w:rsid w:val="00195568"/>
    <w:rsid w:val="001A7589"/>
    <w:rsid w:val="001B624A"/>
    <w:rsid w:val="001D1821"/>
    <w:rsid w:val="00261195"/>
    <w:rsid w:val="002A538B"/>
    <w:rsid w:val="002A7BFE"/>
    <w:rsid w:val="002D05F7"/>
    <w:rsid w:val="002F5A11"/>
    <w:rsid w:val="00304F97"/>
    <w:rsid w:val="00326BEC"/>
    <w:rsid w:val="003309E1"/>
    <w:rsid w:val="00340315"/>
    <w:rsid w:val="00364B2A"/>
    <w:rsid w:val="00386139"/>
    <w:rsid w:val="003917EA"/>
    <w:rsid w:val="003C3946"/>
    <w:rsid w:val="003D501E"/>
    <w:rsid w:val="003E314D"/>
    <w:rsid w:val="003E76DA"/>
    <w:rsid w:val="003F3B32"/>
    <w:rsid w:val="004143D3"/>
    <w:rsid w:val="00442FFC"/>
    <w:rsid w:val="00443B2A"/>
    <w:rsid w:val="004616D2"/>
    <w:rsid w:val="00463070"/>
    <w:rsid w:val="004710C7"/>
    <w:rsid w:val="004E08EE"/>
    <w:rsid w:val="00501FEA"/>
    <w:rsid w:val="00541DC3"/>
    <w:rsid w:val="0055082E"/>
    <w:rsid w:val="00552228"/>
    <w:rsid w:val="005757A5"/>
    <w:rsid w:val="00577BB7"/>
    <w:rsid w:val="00585786"/>
    <w:rsid w:val="00597181"/>
    <w:rsid w:val="005D3C22"/>
    <w:rsid w:val="005F7CFB"/>
    <w:rsid w:val="00601786"/>
    <w:rsid w:val="0062450D"/>
    <w:rsid w:val="006371D2"/>
    <w:rsid w:val="0063729A"/>
    <w:rsid w:val="00650E06"/>
    <w:rsid w:val="00702ABA"/>
    <w:rsid w:val="007204D6"/>
    <w:rsid w:val="007217FD"/>
    <w:rsid w:val="0075180D"/>
    <w:rsid w:val="007648DC"/>
    <w:rsid w:val="00771C38"/>
    <w:rsid w:val="00776E8D"/>
    <w:rsid w:val="007800B8"/>
    <w:rsid w:val="00781002"/>
    <w:rsid w:val="00785BBD"/>
    <w:rsid w:val="00795A02"/>
    <w:rsid w:val="007A5E0B"/>
    <w:rsid w:val="007C30BE"/>
    <w:rsid w:val="007D2198"/>
    <w:rsid w:val="007D295F"/>
    <w:rsid w:val="007E11F1"/>
    <w:rsid w:val="007F07B4"/>
    <w:rsid w:val="00804822"/>
    <w:rsid w:val="0081505B"/>
    <w:rsid w:val="0085483A"/>
    <w:rsid w:val="00855C2A"/>
    <w:rsid w:val="0089163A"/>
    <w:rsid w:val="008C74B3"/>
    <w:rsid w:val="008C7713"/>
    <w:rsid w:val="008E58F6"/>
    <w:rsid w:val="00913B1A"/>
    <w:rsid w:val="009524EF"/>
    <w:rsid w:val="009702A2"/>
    <w:rsid w:val="00983962"/>
    <w:rsid w:val="00986396"/>
    <w:rsid w:val="009D3DC1"/>
    <w:rsid w:val="00A20556"/>
    <w:rsid w:val="00A21E85"/>
    <w:rsid w:val="00A37232"/>
    <w:rsid w:val="00A400E9"/>
    <w:rsid w:val="00A422D8"/>
    <w:rsid w:val="00A91F83"/>
    <w:rsid w:val="00A92DD4"/>
    <w:rsid w:val="00AA2527"/>
    <w:rsid w:val="00AA36A3"/>
    <w:rsid w:val="00AB65F0"/>
    <w:rsid w:val="00AC0C58"/>
    <w:rsid w:val="00AE0BC1"/>
    <w:rsid w:val="00AF3029"/>
    <w:rsid w:val="00AF6426"/>
    <w:rsid w:val="00B06F75"/>
    <w:rsid w:val="00B12FE0"/>
    <w:rsid w:val="00B138E9"/>
    <w:rsid w:val="00B1415D"/>
    <w:rsid w:val="00B256F4"/>
    <w:rsid w:val="00B337D2"/>
    <w:rsid w:val="00B93EDD"/>
    <w:rsid w:val="00BA18DE"/>
    <w:rsid w:val="00BA3DEF"/>
    <w:rsid w:val="00BE56C9"/>
    <w:rsid w:val="00BF6757"/>
    <w:rsid w:val="00C1469A"/>
    <w:rsid w:val="00C66F64"/>
    <w:rsid w:val="00C73C1A"/>
    <w:rsid w:val="00C87780"/>
    <w:rsid w:val="00CE436E"/>
    <w:rsid w:val="00CE60C4"/>
    <w:rsid w:val="00CE7BA8"/>
    <w:rsid w:val="00CF0AA1"/>
    <w:rsid w:val="00D050C9"/>
    <w:rsid w:val="00D079A5"/>
    <w:rsid w:val="00D12487"/>
    <w:rsid w:val="00D37564"/>
    <w:rsid w:val="00D46D97"/>
    <w:rsid w:val="00D53EFC"/>
    <w:rsid w:val="00DA4987"/>
    <w:rsid w:val="00DD481A"/>
    <w:rsid w:val="00DF6F8F"/>
    <w:rsid w:val="00E00497"/>
    <w:rsid w:val="00E11BF5"/>
    <w:rsid w:val="00E164AF"/>
    <w:rsid w:val="00E3668A"/>
    <w:rsid w:val="00E64ECC"/>
    <w:rsid w:val="00E736C8"/>
    <w:rsid w:val="00E81D14"/>
    <w:rsid w:val="00E9323C"/>
    <w:rsid w:val="00E949CE"/>
    <w:rsid w:val="00EA0AD7"/>
    <w:rsid w:val="00EB437B"/>
    <w:rsid w:val="00EB4EDD"/>
    <w:rsid w:val="00ED25D4"/>
    <w:rsid w:val="00ED5B9D"/>
    <w:rsid w:val="00ED73E7"/>
    <w:rsid w:val="00EE70B5"/>
    <w:rsid w:val="00F12239"/>
    <w:rsid w:val="00F13280"/>
    <w:rsid w:val="00F47ACC"/>
    <w:rsid w:val="00F6740D"/>
    <w:rsid w:val="00FC0C52"/>
    <w:rsid w:val="00FC1215"/>
    <w:rsid w:val="00FE13F6"/>
    <w:rsid w:val="00FE70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 w:type="character" w:styleId="HiperlinkVisitado">
    <w:name w:val="FollowedHyperlink"/>
    <w:basedOn w:val="Fontepargpadro"/>
    <w:uiPriority w:val="99"/>
    <w:semiHidden/>
    <w:unhideWhenUsed/>
    <w:rsid w:val="007800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 w:type="character" w:styleId="HiperlinkVisitado">
    <w:name w:val="FollowedHyperlink"/>
    <w:basedOn w:val="Fontepargpadro"/>
    <w:uiPriority w:val="99"/>
    <w:semiHidden/>
    <w:unhideWhenUsed/>
    <w:rsid w:val="007800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processual.tst.jus.br/consultaProcessual/consultaTstNumUnica.do?consulta=Consultar&amp;conscsjt=&amp;numeroTst=25013&amp;digitoTst=81&amp;anoTst=2015&amp;orgaoTst=5&amp;tribunalTst=24&amp;varaTst=0066&amp;submit=Consultar" TargetMode="External"/><Relationship Id="rId13" Type="http://schemas.openxmlformats.org/officeDocument/2006/relationships/hyperlink" Target="https://consultaprocessual.tst.jus.br/consultaProcessual/consultaTstNumUnica.do?consulta=Consultar&amp;conscsjt=&amp;numeroTst=479&amp;digitoTst=50&amp;anoTst=2022&amp;orgaoTst=5&amp;tribunalTst=09&amp;varaTst=0000&amp;submit=Consultar" TargetMode="External"/><Relationship Id="rId18" Type="http://schemas.openxmlformats.org/officeDocument/2006/relationships/hyperlink" Target="https://consultaprocessual.tst.jus.br/consultaProcessual/consultaTstNumUnica.do?consulta=Consultar&amp;conscsjt=&amp;numeroTst=933&amp;digitoTst=54&amp;anoTst=2017&amp;orgaoTst=5&amp;tribunalTst=05&amp;varaTst=0020&amp;submit=Consultar" TargetMode="External"/><Relationship Id="rId26" Type="http://schemas.openxmlformats.org/officeDocument/2006/relationships/hyperlink" Target="https://consultaprocessual.tst.jus.br/consultaProcessual/consultaTstNumUnica.do?consulta=Consultar&amp;conscsjt=&amp;numeroTst=21056&amp;digitoTst=50&amp;anoTst=2019&amp;orgaoTst=5&amp;tribunalTst=04&amp;varaTst=0014&amp;submit=Consultar" TargetMode="External"/><Relationship Id="rId3" Type="http://schemas.microsoft.com/office/2007/relationships/stylesWithEffects" Target="stylesWithEffects.xml"/><Relationship Id="rId21" Type="http://schemas.openxmlformats.org/officeDocument/2006/relationships/hyperlink" Target="https://consultaprocessual.tst.jus.br/consultaProcessual/resumoForm.do?consulta=1&amp;anoInt=2022&amp;numeroInt=411044"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onsultaprocessual.tst.jus.br/consultaProcessual/consultaTstNumUnica.do?consulta=Consultar&amp;conscsjt=&amp;numeroTst=549&amp;digitoTst=65&amp;anoTst=2011&amp;orgaoTst=5&amp;tribunalTst=09&amp;varaTst=0093&amp;submit=Consultar" TargetMode="External"/><Relationship Id="rId17" Type="http://schemas.openxmlformats.org/officeDocument/2006/relationships/hyperlink" Target="https://consultaprocessual.tst.jus.br/consultaProcessual/consultaTstNumUnica.do?consulta=Consultar&amp;conscsjt=&amp;numeroTst=170&amp;digitoTst=71&amp;anoTst=2022&amp;orgaoTst=5&amp;tribunalTst=17&amp;varaTst=0011&amp;submit=Consultar" TargetMode="External"/><Relationship Id="rId25" Type="http://schemas.openxmlformats.org/officeDocument/2006/relationships/hyperlink" Target="https://consultaprocessual.tst.jus.br/consultaProcessual/consultaTstNumUnica.do?consulta=Consultar&amp;conscsjt=&amp;numeroTst=666&amp;digitoTst=10&amp;anoTst=2018&amp;orgaoTst=5&amp;tribunalTst=09&amp;varaTst=0029&amp;submit=Consultar"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onsultaprocessual.tst.jus.br/consultaProcessual/consultaTstNumUnica.do?consulta=Consultar&amp;conscsjt=&amp;numeroTst=1000617&amp;digitoTst=41&amp;anoTst=2019&amp;orgaoTst=5&amp;tribunalTst=02&amp;varaTst=0342&amp;submit=Consultar" TargetMode="External"/><Relationship Id="rId20" Type="http://schemas.openxmlformats.org/officeDocument/2006/relationships/hyperlink" Target="https://consultaprocessual.tst.jus.br/consultaProcessual/resumoForm.do?consulta=1&amp;anoInt=2019&amp;numeroInt=143461" TargetMode="External"/><Relationship Id="rId29" Type="http://schemas.openxmlformats.org/officeDocument/2006/relationships/hyperlink" Target="https://consultaprocessual.tst.jus.br/consultaProcessual/consultaTstNumUnica.do?consulta=Consultar&amp;conscsjt=&amp;numeroTst=10172&amp;digitoTst=56&amp;anoTst=2021&amp;orgaoTst=5&amp;tribunalTst=03&amp;varaTst=0163&amp;submit=Consult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processual.tst.jus.br/consultaProcessual/resumoForm.do?consulta=1&amp;anoInt=2014&amp;numeroInt=13402" TargetMode="External"/><Relationship Id="rId24" Type="http://schemas.openxmlformats.org/officeDocument/2006/relationships/hyperlink" Target="https://consultaprocessual.tst.jus.br/consultaProcessual/resumoForm.do?consulta=1&amp;anoInt=2023&amp;numeroInt=153355" TargetMode="External"/><Relationship Id="rId32" Type="http://schemas.openxmlformats.org/officeDocument/2006/relationships/hyperlink" Target="http://www.tst.jus.br/push"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je.tst.jus.br/consultaprocessual/detalhe-processo/1001055-75.2022.5.00.0000/3" TargetMode="External"/><Relationship Id="rId23" Type="http://schemas.openxmlformats.org/officeDocument/2006/relationships/hyperlink" Target="https://consultaprocessual.tst.jus.br/consultaProcessual/resumoForm.do?consulta=1&amp;anoInt=2021&amp;numeroInt=67391" TargetMode="External"/><Relationship Id="rId28" Type="http://schemas.openxmlformats.org/officeDocument/2006/relationships/hyperlink" Target="https://consultaprocessual.tst.jus.br/consultaProcessual/consultaTstNumUnica.do?consulta=Consultar&amp;conscsjt=&amp;numeroTst=738&amp;digitoTst=26&amp;anoTst=2020&amp;orgaoTst=5&amp;tribunalTst=10&amp;varaTst=0020&amp;submit=Consultar" TargetMode="External"/><Relationship Id="rId36" Type="http://schemas.openxmlformats.org/officeDocument/2006/relationships/footer" Target="footer2.xml"/><Relationship Id="rId10" Type="http://schemas.openxmlformats.org/officeDocument/2006/relationships/hyperlink" Target="https://consultaprocessual.tst.jus.br/consultaProcessual/consultaTstNumUnica.do?consulta=Consultar&amp;conscsjt=&amp;numeroTst=237&amp;digitoTst=74&amp;anoTst=2015&amp;orgaoTst=5&amp;tribunalTst=17&amp;varaTst=0013&amp;submit=Consultar" TargetMode="External"/><Relationship Id="rId19" Type="http://schemas.openxmlformats.org/officeDocument/2006/relationships/hyperlink" Target="https://consultaprocessual.tst.jus.br/consultaProcessual/consultaTstNumUnica.do?consulta=Consultar&amp;conscsjt=&amp;numeroTst=855&amp;digitoTst=45&amp;anoTst=2018&amp;orgaoTst=5&amp;tribunalTst=06&amp;varaTst=0231&amp;submit=Consultar" TargetMode="External"/><Relationship Id="rId31" Type="http://schemas.openxmlformats.org/officeDocument/2006/relationships/hyperlink" Target="http://www.tst.jus.br/web/guest/informativo-tst" TargetMode="External"/><Relationship Id="rId4" Type="http://schemas.openxmlformats.org/officeDocument/2006/relationships/settings" Target="settings.xml"/><Relationship Id="rId9" Type="http://schemas.openxmlformats.org/officeDocument/2006/relationships/hyperlink" Target="https://consultaprocessual.tst.jus.br/consultaProcessual/consultaTstNumUnica.do?consulta=Consultar&amp;conscsjt=&amp;numeroTst=1139&amp;digitoTst=30&amp;anoTst=2014&amp;orgaoTst=5&amp;tribunalTst=05&amp;varaTst=0002&amp;submit=Consultar" TargetMode="External"/><Relationship Id="rId14" Type="http://schemas.openxmlformats.org/officeDocument/2006/relationships/hyperlink" Target="https://consultaprocessual.tst.jus.br/consultaProcessual/consultaTstNumUnica.do?consulta=Consultar&amp;conscsjt=&amp;numeroTst=22417&amp;digitoTst=18&amp;anoTst=2017&amp;orgaoTst=5&amp;tribunalTst=04&amp;varaTst=0000&amp;submit=Consultar" TargetMode="External"/><Relationship Id="rId22" Type="http://schemas.openxmlformats.org/officeDocument/2006/relationships/hyperlink" Target="https://consultaprocessual.tst.jus.br/consultaProcessual/resumoForm.do?consulta=1&amp;anoInt=2019&amp;numeroInt=298899" TargetMode="External"/><Relationship Id="rId27" Type="http://schemas.openxmlformats.org/officeDocument/2006/relationships/hyperlink" Target="https://consultaprocessual.tst.jus.br/consultaProcessual/consultaTstNumUnica.do?consulta=Consultar&amp;conscsjt=&amp;numeroTst=214&amp;digitoTst=13&amp;anoTst=2020&amp;orgaoTst=5&amp;tribunalTst=19&amp;varaTst=0009&amp;submit=Consultar" TargetMode="External"/><Relationship Id="rId30" Type="http://schemas.openxmlformats.org/officeDocument/2006/relationships/hyperlink" Target="mailto:cjur@tst.jus.br"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D8314-45F5-4761-99F4-EA1596F84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24</Pages>
  <Words>12097</Words>
  <Characters>65329</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dc:creator>
  <cp:lastModifiedBy>Andressa Santos Gomes Leonel</cp:lastModifiedBy>
  <cp:revision>127</cp:revision>
  <cp:lastPrinted>2022-12-06T16:46:00Z</cp:lastPrinted>
  <dcterms:created xsi:type="dcterms:W3CDTF">2022-12-06T15:41:00Z</dcterms:created>
  <dcterms:modified xsi:type="dcterms:W3CDTF">2024-04-22T21:37:00Z</dcterms:modified>
</cp:coreProperties>
</file>