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3509A3" w:rsidTr="00430087">
        <w:trPr>
          <w:trHeight w:val="537"/>
        </w:trPr>
        <w:tc>
          <w:tcPr>
            <w:tcW w:w="9782" w:type="dxa"/>
            <w:tcBorders>
              <w:top w:val="single" w:sz="4" w:space="0" w:color="auto"/>
            </w:tcBorders>
          </w:tcPr>
          <w:p w:rsidR="001A7589" w:rsidRDefault="001A7589" w:rsidP="009E652F">
            <w:pPr>
              <w:pStyle w:val="Cabealho"/>
              <w:tabs>
                <w:tab w:val="clear" w:pos="4419"/>
                <w:tab w:val="clear" w:pos="8838"/>
              </w:tabs>
              <w:ind w:left="-70" w:right="-70"/>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3509A3" w:rsidRDefault="009E652F" w:rsidP="009E652F">
            <w:pPr>
              <w:pStyle w:val="Cabealho"/>
              <w:tabs>
                <w:tab w:val="clear" w:pos="4419"/>
                <w:tab w:val="clear" w:pos="8838"/>
              </w:tabs>
              <w:ind w:left="-70" w:right="-70"/>
              <w:jc w:val="both"/>
              <w:rPr>
                <w:rFonts w:ascii="Open Sans" w:hAnsi="Open Sans" w:cs="Open Sans"/>
              </w:rPr>
            </w:pPr>
          </w:p>
        </w:tc>
      </w:tr>
    </w:tbl>
    <w:p w:rsidR="001A7589" w:rsidRPr="003509A3" w:rsidRDefault="001A7589" w:rsidP="009E652F">
      <w:pPr>
        <w:pStyle w:val="Ttulo1"/>
        <w:spacing w:before="0"/>
        <w:ind w:left="-142" w:right="510"/>
      </w:pPr>
      <w:r>
        <w:t>S</w:t>
      </w:r>
      <w:r w:rsidRPr="003509A3">
        <w:t xml:space="preserve">EÇÃO ESPECIALIZADA </w:t>
      </w:r>
      <w:r w:rsidRPr="00215C92">
        <w:t>EM</w:t>
      </w:r>
      <w:r w:rsidRPr="003509A3">
        <w:t xml:space="preserve"> DISSÍDIOS </w:t>
      </w:r>
      <w:r>
        <w:t>COLETIVOS</w:t>
      </w:r>
    </w:p>
    <w:p w:rsidR="001A7589" w:rsidRDefault="001A7589" w:rsidP="009E652F">
      <w:pPr>
        <w:tabs>
          <w:tab w:val="left" w:pos="9498"/>
        </w:tabs>
        <w:ind w:left="-227" w:right="369"/>
        <w:jc w:val="both"/>
        <w:rPr>
          <w:rFonts w:ascii="Open Sans" w:hAnsi="Open Sans" w:cs="Open Sans"/>
          <w:bCs/>
          <w:iCs/>
          <w:color w:val="000000"/>
          <w:sz w:val="24"/>
          <w:szCs w:val="24"/>
        </w:rPr>
      </w:pPr>
    </w:p>
    <w:p w:rsidR="009E652F" w:rsidRPr="00174362" w:rsidRDefault="009E652F" w:rsidP="009E652F">
      <w:pPr>
        <w:tabs>
          <w:tab w:val="left" w:pos="9498"/>
        </w:tabs>
        <w:ind w:left="-227" w:right="369"/>
        <w:jc w:val="both"/>
        <w:rPr>
          <w:rFonts w:ascii="Open Sans" w:hAnsi="Open Sans" w:cs="Open Sans"/>
          <w:b/>
          <w:i/>
          <w:color w:val="000000"/>
          <w:sz w:val="24"/>
          <w:szCs w:val="24"/>
        </w:rPr>
      </w:pPr>
      <w:r w:rsidRPr="00174362">
        <w:rPr>
          <w:rFonts w:ascii="Open Sans" w:hAnsi="Open Sans" w:cs="Open Sans"/>
          <w:b/>
          <w:i/>
          <w:color w:val="000000"/>
          <w:sz w:val="24"/>
          <w:szCs w:val="24"/>
        </w:rPr>
        <w:t>Recurso ordinário. Ação anulatória. Cláusula de convenção coletiva de trabalho que estabelece a redução dos salários de empregados do grupo de risco da Covid-19 enquanto proibidos de trabalhar. Validade.</w:t>
      </w:r>
    </w:p>
    <w:p w:rsidR="009E652F" w:rsidRDefault="009E652F" w:rsidP="009E652F">
      <w:pPr>
        <w:tabs>
          <w:tab w:val="left" w:pos="9498"/>
        </w:tabs>
        <w:ind w:left="-227" w:right="369"/>
        <w:jc w:val="both"/>
        <w:rPr>
          <w:rFonts w:ascii="Open Sans" w:hAnsi="Open Sans" w:cs="Open Sans"/>
          <w:color w:val="000000"/>
          <w:sz w:val="24"/>
          <w:szCs w:val="24"/>
        </w:rPr>
      </w:pPr>
      <w:r w:rsidRPr="00174362">
        <w:rPr>
          <w:rFonts w:ascii="Open Sans" w:hAnsi="Open Sans" w:cs="Open Sans"/>
          <w:color w:val="000000"/>
          <w:sz w:val="24"/>
          <w:szCs w:val="24"/>
        </w:rPr>
        <w:t>É válida a cláusula coletiva que reduziu salário de empregados que, inseridos no grupo de risco da Covid-19, receberam o auxílio emergencial previsto na Medida Provisória nº 936/2020 e na Lei nº 14.020/2020, enquanto proibidos de trabalhar. Não há que se falar em prejuízo ao “patamar civilizatório mínimo” dos trabalhadores, porquanto a redução dos salários determinada pela norma coletiva é excepcional e temporária. Trata-se de medida para (i) permitir a sobrevivência das empresas em setor fortemente impactado pela pandemia da Covid-19 e (</w:t>
      </w:r>
      <w:proofErr w:type="spellStart"/>
      <w:proofErr w:type="gramStart"/>
      <w:r w:rsidRPr="00174362">
        <w:rPr>
          <w:rFonts w:ascii="Open Sans" w:hAnsi="Open Sans" w:cs="Open Sans"/>
          <w:color w:val="000000"/>
          <w:sz w:val="24"/>
          <w:szCs w:val="24"/>
        </w:rPr>
        <w:t>ii</w:t>
      </w:r>
      <w:proofErr w:type="spellEnd"/>
      <w:proofErr w:type="gramEnd"/>
      <w:r w:rsidRPr="00174362">
        <w:rPr>
          <w:rFonts w:ascii="Open Sans" w:hAnsi="Open Sans" w:cs="Open Sans"/>
          <w:color w:val="000000"/>
          <w:sz w:val="24"/>
          <w:szCs w:val="24"/>
        </w:rPr>
        <w:t xml:space="preserve">) viabilizar uma opção ao desemprego, com a manutenção do trabalho e da renda, o que representa a valorização do direito social ao trabalho (art. 6º da Constituição da República). Sob esses fundamentos, a SDC, por unanimidade, conheceu do recurso ordinário e, no mérito, negou-lhe provimento. </w:t>
      </w:r>
      <w:hyperlink r:id="rId8" w:history="1">
        <w:r w:rsidRPr="00AF2ED3">
          <w:rPr>
            <w:rStyle w:val="Hyperlink"/>
            <w:rFonts w:ascii="Open Sans" w:hAnsi="Open Sans" w:cs="Open Sans"/>
            <w:sz w:val="24"/>
            <w:szCs w:val="24"/>
          </w:rPr>
          <w:t xml:space="preserve">TST-ROT-21607-04.2021.5.04.0000, SDC, rel. Min. Maria Cristina </w:t>
        </w:r>
        <w:proofErr w:type="spellStart"/>
        <w:r w:rsidRPr="00AF2ED3">
          <w:rPr>
            <w:rStyle w:val="Hyperlink"/>
            <w:rFonts w:ascii="Open Sans" w:hAnsi="Open Sans" w:cs="Open Sans"/>
            <w:sz w:val="24"/>
            <w:szCs w:val="24"/>
          </w:rPr>
          <w:t>Irigoyen</w:t>
        </w:r>
        <w:proofErr w:type="spellEnd"/>
        <w:r w:rsidRPr="00AF2ED3">
          <w:rPr>
            <w:rStyle w:val="Hyperlink"/>
            <w:rFonts w:ascii="Open Sans" w:hAnsi="Open Sans" w:cs="Open Sans"/>
            <w:sz w:val="24"/>
            <w:szCs w:val="24"/>
          </w:rPr>
          <w:t xml:space="preserve"> </w:t>
        </w:r>
        <w:proofErr w:type="spellStart"/>
        <w:r w:rsidRPr="00AF2ED3">
          <w:rPr>
            <w:rStyle w:val="Hyperlink"/>
            <w:rFonts w:ascii="Open Sans" w:hAnsi="Open Sans" w:cs="Open Sans"/>
            <w:sz w:val="24"/>
            <w:szCs w:val="24"/>
          </w:rPr>
          <w:t>Peduzzi</w:t>
        </w:r>
        <w:proofErr w:type="spellEnd"/>
        <w:r w:rsidRPr="00AF2ED3">
          <w:rPr>
            <w:rStyle w:val="Hyperlink"/>
            <w:rFonts w:ascii="Open Sans" w:hAnsi="Open Sans" w:cs="Open Sans"/>
            <w:sz w:val="24"/>
            <w:szCs w:val="24"/>
          </w:rPr>
          <w:t xml:space="preserve">, julgado em </w:t>
        </w:r>
        <w:proofErr w:type="gramStart"/>
        <w:r w:rsidRPr="00AF2ED3">
          <w:rPr>
            <w:rStyle w:val="Hyperlink"/>
            <w:rFonts w:ascii="Open Sans" w:hAnsi="Open Sans" w:cs="Open Sans"/>
            <w:sz w:val="24"/>
            <w:szCs w:val="24"/>
          </w:rPr>
          <w:t>12/6/2023.</w:t>
        </w:r>
        <w:proofErr w:type="gramEnd"/>
      </w:hyperlink>
      <w:r w:rsidRPr="00174362">
        <w:rPr>
          <w:rFonts w:ascii="Open Sans" w:hAnsi="Open Sans" w:cs="Open Sans"/>
          <w:color w:val="000000"/>
          <w:sz w:val="24"/>
          <w:szCs w:val="24"/>
        </w:rPr>
        <w:t xml:space="preserve"> </w:t>
      </w:r>
    </w:p>
    <w:p w:rsidR="009E652F" w:rsidRDefault="009E652F" w:rsidP="009E652F">
      <w:pPr>
        <w:tabs>
          <w:tab w:val="left" w:pos="9498"/>
        </w:tabs>
        <w:ind w:left="-227" w:right="369"/>
        <w:jc w:val="both"/>
        <w:rPr>
          <w:rFonts w:ascii="Open Sans" w:hAnsi="Open Sans" w:cs="Open Sans"/>
          <w:b/>
          <w:i/>
          <w:color w:val="000000"/>
          <w:sz w:val="24"/>
          <w:szCs w:val="24"/>
        </w:rPr>
      </w:pPr>
    </w:p>
    <w:p w:rsidR="009E652F" w:rsidRPr="00174362" w:rsidRDefault="009E652F" w:rsidP="009E652F">
      <w:pPr>
        <w:tabs>
          <w:tab w:val="left" w:pos="9498"/>
        </w:tabs>
        <w:ind w:left="-227" w:right="369"/>
        <w:jc w:val="both"/>
        <w:rPr>
          <w:rFonts w:ascii="Open Sans" w:hAnsi="Open Sans" w:cs="Open Sans"/>
          <w:b/>
          <w:i/>
          <w:color w:val="000000"/>
          <w:sz w:val="24"/>
          <w:szCs w:val="24"/>
        </w:rPr>
      </w:pPr>
      <w:r w:rsidRPr="00174362">
        <w:rPr>
          <w:rFonts w:ascii="Open Sans" w:hAnsi="Open Sans" w:cs="Open Sans"/>
          <w:b/>
          <w:i/>
          <w:color w:val="000000"/>
          <w:sz w:val="24"/>
          <w:szCs w:val="24"/>
        </w:rPr>
        <w:t xml:space="preserve">Recurso ordinário. Ação anulatória. Acordo coletivo. Legitimidade de federação para celebrar instrumento coletivo. Situação excepcional no caso concreto que enseja o </w:t>
      </w:r>
      <w:proofErr w:type="spellStart"/>
      <w:r w:rsidRPr="00174362">
        <w:rPr>
          <w:rFonts w:ascii="Open Sans" w:hAnsi="Open Sans" w:cs="Open Sans"/>
          <w:b/>
          <w:color w:val="000000"/>
          <w:sz w:val="24"/>
          <w:szCs w:val="24"/>
        </w:rPr>
        <w:t>distinguishing</w:t>
      </w:r>
      <w:proofErr w:type="spellEnd"/>
      <w:r w:rsidRPr="00174362">
        <w:rPr>
          <w:rFonts w:ascii="Open Sans" w:hAnsi="Open Sans" w:cs="Open Sans"/>
          <w:b/>
          <w:i/>
          <w:color w:val="000000"/>
          <w:sz w:val="24"/>
          <w:szCs w:val="24"/>
        </w:rPr>
        <w:t>.</w:t>
      </w:r>
    </w:p>
    <w:p w:rsidR="009E652F" w:rsidRDefault="009E652F" w:rsidP="009E652F">
      <w:pPr>
        <w:tabs>
          <w:tab w:val="left" w:pos="9498"/>
        </w:tabs>
        <w:ind w:left="-227" w:right="369"/>
        <w:jc w:val="both"/>
        <w:rPr>
          <w:rFonts w:ascii="Open Sans" w:hAnsi="Open Sans" w:cs="Open Sans"/>
          <w:b/>
          <w:color w:val="FF0000"/>
          <w:sz w:val="24"/>
          <w:szCs w:val="24"/>
        </w:rPr>
      </w:pPr>
      <w:r w:rsidRPr="00174362">
        <w:rPr>
          <w:rFonts w:ascii="Open Sans" w:hAnsi="Open Sans" w:cs="Open Sans"/>
          <w:color w:val="000000"/>
          <w:sz w:val="24"/>
          <w:szCs w:val="24"/>
        </w:rPr>
        <w:t xml:space="preserve">Nos termos dos </w:t>
      </w:r>
      <w:proofErr w:type="spellStart"/>
      <w:r w:rsidRPr="00174362">
        <w:rPr>
          <w:rFonts w:ascii="Open Sans" w:hAnsi="Open Sans" w:cs="Open Sans"/>
          <w:color w:val="000000"/>
          <w:sz w:val="24"/>
          <w:szCs w:val="24"/>
        </w:rPr>
        <w:t>arts</w:t>
      </w:r>
      <w:proofErr w:type="spellEnd"/>
      <w:r w:rsidRPr="00174362">
        <w:rPr>
          <w:rFonts w:ascii="Open Sans" w:hAnsi="Open Sans" w:cs="Open Sans"/>
          <w:color w:val="000000"/>
          <w:sz w:val="24"/>
          <w:szCs w:val="24"/>
        </w:rPr>
        <w:t xml:space="preserve">. 611, § 2º, e 617, § 1º, da CLT, a legitimidade de federação para celebrar instrumento coletivo é subsidiária. A jurisprudência da C. SDC orienta-se no sentido de que, não evidenciadas as hipóteses previstas nos referidos preceitos legais, a federação não pode celebrar norma coletiva autônoma. Contudo, o caso concreto possui peculiaridade que afasta a aplicação da jurisprudência desta Corte Superior, qual </w:t>
      </w:r>
      <w:proofErr w:type="gramStart"/>
      <w:r w:rsidRPr="00174362">
        <w:rPr>
          <w:rFonts w:ascii="Open Sans" w:hAnsi="Open Sans" w:cs="Open Sans"/>
          <w:color w:val="000000"/>
          <w:sz w:val="24"/>
          <w:szCs w:val="24"/>
        </w:rPr>
        <w:t>seja,</w:t>
      </w:r>
      <w:proofErr w:type="gramEnd"/>
      <w:r w:rsidRPr="00174362">
        <w:rPr>
          <w:rFonts w:ascii="Open Sans" w:hAnsi="Open Sans" w:cs="Open Sans"/>
          <w:color w:val="000000"/>
          <w:sz w:val="24"/>
          <w:szCs w:val="24"/>
        </w:rPr>
        <w:t xml:space="preserve"> o fato de os representantes do sindicato profissional terem delegado </w:t>
      </w:r>
      <w:r w:rsidRPr="00174362">
        <w:rPr>
          <w:rFonts w:ascii="Open Sans" w:hAnsi="Open Sans" w:cs="Open Sans"/>
          <w:color w:val="000000"/>
          <w:sz w:val="24"/>
          <w:szCs w:val="24"/>
        </w:rPr>
        <w:lastRenderedPageBreak/>
        <w:t xml:space="preserve">poderes negociais à federação. Sob esses fundamentos, a SDC, por unanimidade, conheceu do recurso ordinário e, no mérito, negou-lhe provimento, mantendo o acórdão regional que julgou improcedente o pedido formulado na ação anulatória. </w:t>
      </w:r>
      <w:hyperlink r:id="rId9" w:history="1">
        <w:r w:rsidRPr="00174362">
          <w:rPr>
            <w:rFonts w:ascii="Open Sans" w:hAnsi="Open Sans" w:cs="Open Sans"/>
            <w:color w:val="0000FF" w:themeColor="hyperlink"/>
            <w:sz w:val="24"/>
            <w:szCs w:val="24"/>
            <w:u w:val="single"/>
          </w:rPr>
          <w:t xml:space="preserve">TST-ROT-1815-60.2020.5.09.0000, SDC, rel. Min. Maria Cristina </w:t>
        </w:r>
        <w:proofErr w:type="spellStart"/>
        <w:r w:rsidRPr="00174362">
          <w:rPr>
            <w:rFonts w:ascii="Open Sans" w:hAnsi="Open Sans" w:cs="Open Sans"/>
            <w:color w:val="0000FF" w:themeColor="hyperlink"/>
            <w:sz w:val="24"/>
            <w:szCs w:val="24"/>
            <w:u w:val="single"/>
          </w:rPr>
          <w:t>Irigoyen</w:t>
        </w:r>
        <w:proofErr w:type="spellEnd"/>
        <w:r w:rsidRPr="00174362">
          <w:rPr>
            <w:rFonts w:ascii="Open Sans" w:hAnsi="Open Sans" w:cs="Open Sans"/>
            <w:color w:val="0000FF" w:themeColor="hyperlink"/>
            <w:sz w:val="24"/>
            <w:szCs w:val="24"/>
            <w:u w:val="single"/>
          </w:rPr>
          <w:t xml:space="preserve"> </w:t>
        </w:r>
        <w:proofErr w:type="spellStart"/>
        <w:r w:rsidRPr="00174362">
          <w:rPr>
            <w:rFonts w:ascii="Open Sans" w:hAnsi="Open Sans" w:cs="Open Sans"/>
            <w:color w:val="0000FF" w:themeColor="hyperlink"/>
            <w:sz w:val="24"/>
            <w:szCs w:val="24"/>
            <w:u w:val="single"/>
          </w:rPr>
          <w:t>Peduzzi</w:t>
        </w:r>
        <w:proofErr w:type="spellEnd"/>
        <w:r w:rsidRPr="00174362">
          <w:rPr>
            <w:rFonts w:ascii="Open Sans" w:hAnsi="Open Sans" w:cs="Open Sans"/>
            <w:color w:val="0000FF" w:themeColor="hyperlink"/>
            <w:sz w:val="24"/>
            <w:szCs w:val="24"/>
            <w:u w:val="single"/>
          </w:rPr>
          <w:t>, julgado em 12/6/2023</w:t>
        </w:r>
      </w:hyperlink>
      <w:r>
        <w:rPr>
          <w:rFonts w:ascii="Open Sans" w:hAnsi="Open Sans" w:cs="Open Sans"/>
          <w:color w:val="000000"/>
          <w:sz w:val="24"/>
          <w:szCs w:val="24"/>
        </w:rPr>
        <w:t>.</w:t>
      </w:r>
    </w:p>
    <w:p w:rsidR="009E652F" w:rsidRPr="00174362" w:rsidRDefault="009E652F" w:rsidP="009E652F">
      <w:pPr>
        <w:tabs>
          <w:tab w:val="left" w:pos="9498"/>
        </w:tabs>
        <w:ind w:left="-227" w:right="369"/>
        <w:jc w:val="both"/>
        <w:rPr>
          <w:rFonts w:ascii="Open Sans" w:hAnsi="Open Sans" w:cs="Open Sans"/>
          <w:b/>
          <w:i/>
          <w:color w:val="000000"/>
          <w:sz w:val="24"/>
          <w:szCs w:val="24"/>
        </w:rPr>
      </w:pPr>
    </w:p>
    <w:p w:rsidR="001A7589" w:rsidRPr="003509A3" w:rsidRDefault="001A7589" w:rsidP="009E652F">
      <w:pPr>
        <w:pStyle w:val="Ttulo1"/>
        <w:spacing w:before="0"/>
        <w:ind w:left="-142" w:right="510"/>
      </w:pPr>
      <w:r w:rsidRPr="003509A3">
        <w:t xml:space="preserve">SUBSEÇÃO </w:t>
      </w:r>
      <w:r>
        <w:t>I</w:t>
      </w:r>
      <w:r w:rsidRPr="003509A3">
        <w:t xml:space="preserve"> ESPECIALIZADA EM DISSÍDIOS INDIVIDUAIS</w:t>
      </w:r>
    </w:p>
    <w:p w:rsidR="009E652F" w:rsidRDefault="009E652F" w:rsidP="009E652F">
      <w:pPr>
        <w:ind w:left="-227" w:right="369"/>
        <w:jc w:val="both"/>
        <w:rPr>
          <w:rFonts w:ascii="Open Sans" w:hAnsi="Open Sans" w:cs="Open Sans"/>
          <w:b/>
          <w:i/>
          <w:color w:val="000000"/>
          <w:sz w:val="24"/>
          <w:szCs w:val="24"/>
        </w:rPr>
      </w:pPr>
    </w:p>
    <w:p w:rsidR="009E652F" w:rsidRDefault="009E652F" w:rsidP="009E652F">
      <w:pPr>
        <w:ind w:left="-227" w:right="369"/>
        <w:jc w:val="both"/>
        <w:rPr>
          <w:rFonts w:ascii="Open Sans" w:hAnsi="Open Sans" w:cs="Open Sans"/>
          <w:color w:val="000000"/>
          <w:sz w:val="24"/>
          <w:szCs w:val="24"/>
        </w:rPr>
      </w:pPr>
      <w:r w:rsidRPr="00A0413E">
        <w:rPr>
          <w:rFonts w:ascii="Open Sans" w:hAnsi="Open Sans" w:cs="Open Sans"/>
          <w:b/>
          <w:i/>
          <w:color w:val="000000"/>
          <w:sz w:val="24"/>
          <w:szCs w:val="24"/>
        </w:rPr>
        <w:t>Recurso de embargos. Competência da Justiça do Trabalho. Execução de termo de ajuste de conduta firmado perante o Ministério Público do Trabalho. Políticas públicas para a erradicação do trabalho infantil.</w:t>
      </w:r>
      <w:r w:rsidRPr="00A0413E">
        <w:rPr>
          <w:rFonts w:ascii="Open Sans" w:hAnsi="Open Sans" w:cs="Open Sans"/>
          <w:color w:val="000000"/>
          <w:sz w:val="24"/>
          <w:szCs w:val="24"/>
        </w:rPr>
        <w:t xml:space="preserve"> </w:t>
      </w:r>
    </w:p>
    <w:p w:rsidR="009E652F" w:rsidRDefault="009E652F" w:rsidP="009E652F">
      <w:pPr>
        <w:ind w:left="-227" w:right="369"/>
        <w:jc w:val="both"/>
        <w:rPr>
          <w:rFonts w:ascii="Open Sans" w:hAnsi="Open Sans" w:cs="Open Sans"/>
          <w:b/>
          <w:color w:val="FF0000"/>
          <w:sz w:val="24"/>
          <w:szCs w:val="24"/>
        </w:rPr>
      </w:pPr>
      <w:r w:rsidRPr="00A0413E">
        <w:rPr>
          <w:rFonts w:ascii="Open Sans" w:hAnsi="Open Sans" w:cs="Open Sans"/>
          <w:color w:val="000000"/>
          <w:sz w:val="24"/>
          <w:szCs w:val="24"/>
        </w:rPr>
        <w:t xml:space="preserve">De acordo com os </w:t>
      </w:r>
      <w:proofErr w:type="spellStart"/>
      <w:r w:rsidRPr="00A0413E">
        <w:rPr>
          <w:rFonts w:ascii="Open Sans" w:hAnsi="Open Sans" w:cs="Open Sans"/>
          <w:color w:val="000000"/>
          <w:sz w:val="24"/>
          <w:szCs w:val="24"/>
        </w:rPr>
        <w:t>arts</w:t>
      </w:r>
      <w:proofErr w:type="spellEnd"/>
      <w:r w:rsidRPr="00A0413E">
        <w:rPr>
          <w:rFonts w:ascii="Open Sans" w:hAnsi="Open Sans" w:cs="Open Sans"/>
          <w:color w:val="000000"/>
          <w:sz w:val="24"/>
          <w:szCs w:val="24"/>
        </w:rPr>
        <w:t xml:space="preserve">. 876 e 877-A da CLT </w:t>
      </w:r>
      <w:proofErr w:type="gramStart"/>
      <w:r w:rsidRPr="00A0413E">
        <w:rPr>
          <w:rFonts w:ascii="Open Sans" w:hAnsi="Open Sans" w:cs="Open Sans"/>
          <w:color w:val="000000"/>
          <w:sz w:val="24"/>
          <w:szCs w:val="24"/>
        </w:rPr>
        <w:t>é</w:t>
      </w:r>
      <w:proofErr w:type="gramEnd"/>
      <w:r w:rsidRPr="00A0413E">
        <w:rPr>
          <w:rFonts w:ascii="Open Sans" w:hAnsi="Open Sans" w:cs="Open Sans"/>
          <w:color w:val="000000"/>
          <w:sz w:val="24"/>
          <w:szCs w:val="24"/>
        </w:rPr>
        <w:t xml:space="preserve"> de competência da Justiça do Trabalho a execução de termo de ajuste de conduta firmado perante o Ministério Público do Trabalho relacionado à adoção de medidas para a erradicação do trabalho infantil. A condição de justiça especializada no exame das controvérsias relacionadas ao trabalho humano confere à Justiça do Trabalho elevado grau de autoridade dogmática, de matriz constitucional, a atribuir legitimidade às suas decisões nas resoluções dos conflitos que lhes são postos. Naturalmente, é a Justiça do Trabalho que está a interpretar e aplicar os princípios e regras que reclamam incidência na erradicação do trabalho infantil: normas constitucionais, internacionais (supralegais) e internas. Sob esses fundamentos, a SBDI-I, por unanimidade, conheceu do recurso de embargos interposto pelo Ministério Público do Trabalho da 16ª Região e, no mérito, deu-lhe provimento. </w:t>
      </w:r>
      <w:hyperlink r:id="rId10" w:history="1">
        <w:r w:rsidRPr="00077891">
          <w:rPr>
            <w:rStyle w:val="Hyperlink"/>
            <w:rFonts w:ascii="Open Sans" w:hAnsi="Open Sans" w:cs="Open Sans"/>
            <w:sz w:val="24"/>
            <w:szCs w:val="24"/>
          </w:rPr>
          <w:t xml:space="preserve">TST-E-RR-90000-47.2009.5.16.0006, SBDI-I, rel. Min. Maria Helena </w:t>
        </w:r>
        <w:proofErr w:type="spellStart"/>
        <w:r w:rsidRPr="00077891">
          <w:rPr>
            <w:rStyle w:val="Hyperlink"/>
            <w:rFonts w:ascii="Open Sans" w:hAnsi="Open Sans" w:cs="Open Sans"/>
            <w:sz w:val="24"/>
            <w:szCs w:val="24"/>
          </w:rPr>
          <w:t>Mallmann</w:t>
        </w:r>
        <w:proofErr w:type="spellEnd"/>
        <w:r w:rsidRPr="00077891">
          <w:rPr>
            <w:rStyle w:val="Hyperlink"/>
            <w:rFonts w:ascii="Open Sans" w:hAnsi="Open Sans" w:cs="Open Sans"/>
            <w:sz w:val="24"/>
            <w:szCs w:val="24"/>
          </w:rPr>
          <w:t xml:space="preserve">, julgado em </w:t>
        </w:r>
        <w:proofErr w:type="gramStart"/>
        <w:r w:rsidRPr="00077891">
          <w:rPr>
            <w:rStyle w:val="Hyperlink"/>
            <w:rFonts w:ascii="Open Sans" w:hAnsi="Open Sans" w:cs="Open Sans"/>
            <w:sz w:val="24"/>
            <w:szCs w:val="24"/>
          </w:rPr>
          <w:t>15/6/2023.</w:t>
        </w:r>
        <w:proofErr w:type="gramEnd"/>
      </w:hyperlink>
    </w:p>
    <w:p w:rsidR="009E652F" w:rsidRPr="00A0413E" w:rsidRDefault="009E652F" w:rsidP="009E652F">
      <w:pPr>
        <w:ind w:left="-227" w:right="369"/>
        <w:jc w:val="both"/>
        <w:rPr>
          <w:rFonts w:ascii="Open Sans" w:hAnsi="Open Sans" w:cs="Open Sans"/>
          <w:b/>
          <w:i/>
          <w:color w:val="000000"/>
          <w:sz w:val="24"/>
          <w:szCs w:val="24"/>
        </w:rPr>
      </w:pPr>
    </w:p>
    <w:p w:rsidR="001A7589" w:rsidRPr="003E0231" w:rsidRDefault="001A7589" w:rsidP="009E652F">
      <w:pPr>
        <w:pStyle w:val="Ttulo1"/>
        <w:spacing w:before="0"/>
        <w:ind w:left="-142" w:right="510"/>
      </w:pPr>
      <w:r w:rsidRPr="003509A3">
        <w:t xml:space="preserve">SUBSEÇÃO </w:t>
      </w:r>
      <w:r>
        <w:t>I</w:t>
      </w:r>
      <w:r w:rsidRPr="003509A3">
        <w:t>I ESPECIALIZADA EM DISSÍDIOS INDIVIDUAIS</w:t>
      </w:r>
    </w:p>
    <w:p w:rsidR="009E652F" w:rsidRPr="00A0413E" w:rsidRDefault="009E652F" w:rsidP="009E652F">
      <w:pPr>
        <w:ind w:left="-227" w:right="369"/>
        <w:jc w:val="both"/>
        <w:rPr>
          <w:rFonts w:ascii="Open Sans" w:hAnsi="Open Sans" w:cs="Open Sans"/>
          <w:b/>
          <w:color w:val="000000"/>
          <w:sz w:val="24"/>
          <w:szCs w:val="24"/>
        </w:rPr>
      </w:pPr>
      <w:bookmarkStart w:id="0" w:name="_GoBack"/>
      <w:bookmarkEnd w:id="0"/>
    </w:p>
    <w:p w:rsidR="009E652F" w:rsidRPr="00A0413E" w:rsidRDefault="009E652F" w:rsidP="009E652F">
      <w:pPr>
        <w:ind w:left="-227" w:right="369"/>
        <w:jc w:val="both"/>
        <w:rPr>
          <w:rFonts w:ascii="Open Sans" w:hAnsi="Open Sans" w:cs="Open Sans"/>
          <w:b/>
          <w:i/>
          <w:color w:val="000000"/>
          <w:sz w:val="24"/>
          <w:szCs w:val="24"/>
        </w:rPr>
      </w:pPr>
      <w:r w:rsidRPr="00A0413E">
        <w:rPr>
          <w:rFonts w:ascii="Open Sans" w:hAnsi="Open Sans" w:cs="Open Sans"/>
          <w:b/>
          <w:i/>
          <w:color w:val="000000"/>
          <w:sz w:val="24"/>
          <w:szCs w:val="24"/>
        </w:rPr>
        <w:t xml:space="preserve">Recurso ordinário em mandado de segurança. Transferência do empregado. Pretensão de permanência em regime de </w:t>
      </w:r>
      <w:proofErr w:type="spellStart"/>
      <w:r w:rsidRPr="00A0413E">
        <w:rPr>
          <w:rFonts w:ascii="Open Sans" w:hAnsi="Open Sans" w:cs="Open Sans"/>
          <w:b/>
          <w:i/>
          <w:color w:val="000000"/>
          <w:sz w:val="24"/>
          <w:szCs w:val="24"/>
        </w:rPr>
        <w:t>teletrabalho</w:t>
      </w:r>
      <w:proofErr w:type="spellEnd"/>
      <w:r w:rsidRPr="00A0413E">
        <w:rPr>
          <w:rFonts w:ascii="Open Sans" w:hAnsi="Open Sans" w:cs="Open Sans"/>
          <w:b/>
          <w:i/>
          <w:color w:val="000000"/>
          <w:sz w:val="24"/>
          <w:szCs w:val="24"/>
        </w:rPr>
        <w:t>. Probabilidade do direito demonstrada no feito matriz.</w:t>
      </w:r>
    </w:p>
    <w:p w:rsidR="009E652F" w:rsidRDefault="009E652F" w:rsidP="009E652F">
      <w:pPr>
        <w:ind w:left="-227" w:right="369"/>
        <w:jc w:val="both"/>
        <w:rPr>
          <w:rFonts w:ascii="Open Sans" w:hAnsi="Open Sans" w:cs="Open Sans"/>
          <w:color w:val="000000"/>
          <w:sz w:val="24"/>
          <w:szCs w:val="24"/>
        </w:rPr>
      </w:pPr>
      <w:r w:rsidRPr="00A0413E">
        <w:rPr>
          <w:rFonts w:ascii="Open Sans" w:hAnsi="Open Sans" w:cs="Open Sans"/>
          <w:color w:val="000000"/>
          <w:sz w:val="24"/>
          <w:szCs w:val="24"/>
        </w:rPr>
        <w:t xml:space="preserve">Cuida-se de mandado de segurança impetrado contra decisão que, deferindo o pedido de concessão de tutela cautelar antecedente, anulou o ato de transferência determinada pela impetrante. No caso concreto, não obstante haver cláusula expressa no contrato de trabalho prevendo a possibilidade de transferência do empregado, a prova pré-constituída revela que desde sua contratação ele prestou serviço na mesma localidade onde constituiu família, e cuja esposa trabalha como servidora pública estável na unidade federativa local. Os elementos dos autos também revelam que desde 2020 o impetrado exerce suas atribuições em âmbito nacional e em regime de </w:t>
      </w:r>
      <w:proofErr w:type="spellStart"/>
      <w:r w:rsidRPr="00A0413E">
        <w:rPr>
          <w:rFonts w:ascii="Open Sans" w:hAnsi="Open Sans" w:cs="Open Sans"/>
          <w:color w:val="000000"/>
          <w:sz w:val="24"/>
          <w:szCs w:val="24"/>
        </w:rPr>
        <w:t>teletrabalho</w:t>
      </w:r>
      <w:proofErr w:type="spellEnd"/>
      <w:r w:rsidRPr="00A0413E">
        <w:rPr>
          <w:rFonts w:ascii="Open Sans" w:hAnsi="Open Sans" w:cs="Open Sans"/>
          <w:color w:val="000000"/>
          <w:sz w:val="24"/>
          <w:szCs w:val="24"/>
        </w:rPr>
        <w:t xml:space="preserve"> formalmente institucionalizado pela empresa. Assim, tendo sido demonstrada no feito matriz a probabilidade do direito alegado, conclui-se que o ato coator não encerra ilegalidade ou abusividade, pois proferido em conformidade com as balizas delineadas pelo art. 300 do CPC de 2015. Sob esses fundamentos, a SBDI-II, por unanimidade, conheceu do recurso ordinário e, no mérito, negou-lhe provimento. </w:t>
      </w:r>
      <w:hyperlink r:id="rId11" w:history="1">
        <w:r w:rsidRPr="00077891">
          <w:rPr>
            <w:rStyle w:val="Hyperlink"/>
            <w:rFonts w:ascii="Open Sans" w:hAnsi="Open Sans" w:cs="Open Sans"/>
            <w:sz w:val="24"/>
            <w:szCs w:val="24"/>
          </w:rPr>
          <w:t xml:space="preserve">TST-ROT-910-95.2022.5.05.0000, SBDI-II, rel. Min. Luiz José Dezena da Silva, julgado em </w:t>
        </w:r>
        <w:proofErr w:type="gramStart"/>
        <w:r w:rsidRPr="00077891">
          <w:rPr>
            <w:rStyle w:val="Hyperlink"/>
            <w:rFonts w:ascii="Open Sans" w:hAnsi="Open Sans" w:cs="Open Sans"/>
            <w:sz w:val="24"/>
            <w:szCs w:val="24"/>
          </w:rPr>
          <w:t>30/5/2023.</w:t>
        </w:r>
        <w:proofErr w:type="gramEnd"/>
      </w:hyperlink>
    </w:p>
    <w:p w:rsidR="009E652F" w:rsidRPr="00A0413E" w:rsidRDefault="009E652F" w:rsidP="009E652F">
      <w:pPr>
        <w:ind w:left="-227" w:right="369"/>
        <w:jc w:val="both"/>
        <w:rPr>
          <w:rFonts w:ascii="Open Sans" w:hAnsi="Open Sans" w:cs="Open Sans"/>
          <w:color w:val="000000"/>
          <w:sz w:val="24"/>
          <w:szCs w:val="24"/>
        </w:rPr>
      </w:pPr>
    </w:p>
    <w:p w:rsidR="009E652F" w:rsidRPr="00A0413E" w:rsidRDefault="009E652F" w:rsidP="009E652F">
      <w:pPr>
        <w:ind w:left="-227" w:right="369"/>
        <w:jc w:val="both"/>
        <w:rPr>
          <w:rFonts w:ascii="Open Sans" w:hAnsi="Open Sans" w:cs="Open Sans"/>
          <w:b/>
          <w:i/>
          <w:color w:val="000000"/>
          <w:sz w:val="24"/>
          <w:szCs w:val="24"/>
        </w:rPr>
      </w:pPr>
      <w:r w:rsidRPr="00A0413E">
        <w:rPr>
          <w:rFonts w:ascii="Open Sans" w:hAnsi="Open Sans" w:cs="Open Sans"/>
          <w:b/>
          <w:i/>
          <w:color w:val="000000"/>
          <w:sz w:val="24"/>
          <w:szCs w:val="24"/>
        </w:rPr>
        <w:t>Recurso ordinário em ação rescisória. Jornada de trabalho 4x4. Previsão em norma coletiva. Tema 1.046.</w:t>
      </w:r>
    </w:p>
    <w:p w:rsidR="009E652F" w:rsidRDefault="009E652F" w:rsidP="009E652F">
      <w:pPr>
        <w:ind w:left="-227" w:right="369"/>
        <w:jc w:val="both"/>
        <w:rPr>
          <w:rFonts w:ascii="Open Sans" w:hAnsi="Open Sans" w:cs="Open Sans"/>
          <w:color w:val="000000"/>
          <w:sz w:val="24"/>
          <w:szCs w:val="24"/>
        </w:rPr>
      </w:pPr>
      <w:r w:rsidRPr="00A0413E">
        <w:rPr>
          <w:rFonts w:ascii="Open Sans" w:hAnsi="Open Sans" w:cs="Open Sans"/>
          <w:color w:val="000000"/>
          <w:sz w:val="24"/>
          <w:szCs w:val="24"/>
        </w:rPr>
        <w:t xml:space="preserve">O excelso Supremo Tribunal Federal, no julgamento do Tema 1.046 da Repercussão Geral, fixou a seguinte tese: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Havendo previsão constitucional – art. 7°, VI, XIII e XIV – admitindo a redução de salários e de jornada mediante negociação coletiva, os demais direitos daí decorrentes, que tenham a mesma natureza, também permitem </w:t>
      </w:r>
      <w:proofErr w:type="gramStart"/>
      <w:r w:rsidRPr="00A0413E">
        <w:rPr>
          <w:rFonts w:ascii="Open Sans" w:hAnsi="Open Sans" w:cs="Open Sans"/>
          <w:color w:val="000000"/>
          <w:sz w:val="24"/>
          <w:szCs w:val="24"/>
        </w:rPr>
        <w:t>flexibilização</w:t>
      </w:r>
      <w:proofErr w:type="gramEnd"/>
      <w:r w:rsidRPr="00A0413E">
        <w:rPr>
          <w:rFonts w:ascii="Open Sans" w:hAnsi="Open Sans" w:cs="Open Sans"/>
          <w:color w:val="000000"/>
          <w:sz w:val="24"/>
          <w:szCs w:val="24"/>
        </w:rPr>
        <w:t xml:space="preserve">. Na espécie, as cláusulas do acordo coletivo de trabalho que estipulam jornada de trabalho de 12 horas, em escalas de 4x4, em turnos ininterruptos de revezamento, ainda que extrapole a jornada diária e semanal sem a correspondente compensação, atende aos parâmetros do precedente vinculante do STF, fixados no ARE 1.121.633. Sob esses fundamentos, a SBDI-II, por unanimidade, conheceu do recurso ordinário e, no mérito, deu-lhe provimento para julgar procedente a pretensão rescisória, nos termos do art. 966, V, do CPC/2015, por ofensa ao art. 7°, XIV e XXVI, da Constituição da República. </w:t>
      </w:r>
      <w:hyperlink r:id="rId12" w:history="1">
        <w:r w:rsidRPr="00077891">
          <w:rPr>
            <w:rStyle w:val="Hyperlink"/>
            <w:rFonts w:ascii="Open Sans" w:hAnsi="Open Sans" w:cs="Open Sans"/>
            <w:sz w:val="24"/>
            <w:szCs w:val="24"/>
          </w:rPr>
          <w:t xml:space="preserve">TST-ROT-230-14.2021.5.17.0000, SBDI-II, rel. Min. Amaury Rodrigues Pinto Junior, julgado em </w:t>
        </w:r>
        <w:proofErr w:type="gramStart"/>
        <w:r w:rsidRPr="00077891">
          <w:rPr>
            <w:rStyle w:val="Hyperlink"/>
            <w:rFonts w:ascii="Open Sans" w:hAnsi="Open Sans" w:cs="Open Sans"/>
            <w:sz w:val="24"/>
            <w:szCs w:val="24"/>
          </w:rPr>
          <w:t>13/6/2023.</w:t>
        </w:r>
        <w:proofErr w:type="gramEnd"/>
      </w:hyperlink>
      <w:r w:rsidRPr="00A0413E">
        <w:rPr>
          <w:rFonts w:ascii="Open Sans" w:hAnsi="Open Sans" w:cs="Open Sans"/>
          <w:color w:val="000000"/>
          <w:sz w:val="24"/>
          <w:szCs w:val="24"/>
        </w:rPr>
        <w:t xml:space="preserve"> </w:t>
      </w:r>
    </w:p>
    <w:p w:rsidR="009E652F" w:rsidRPr="00A0413E" w:rsidRDefault="009E652F" w:rsidP="009E652F">
      <w:pPr>
        <w:ind w:left="-227" w:right="369"/>
        <w:jc w:val="both"/>
        <w:rPr>
          <w:rFonts w:ascii="Open Sans" w:hAnsi="Open Sans" w:cs="Open Sans"/>
          <w:color w:val="000000"/>
          <w:sz w:val="24"/>
          <w:szCs w:val="24"/>
        </w:rPr>
      </w:pPr>
    </w:p>
    <w:p w:rsidR="001A7589" w:rsidRPr="003509A3" w:rsidRDefault="001A7589" w:rsidP="009E652F">
      <w:pPr>
        <w:pStyle w:val="Ttulo1"/>
        <w:spacing w:before="0"/>
        <w:ind w:left="-142" w:right="510"/>
      </w:pPr>
      <w:r w:rsidRPr="003509A3">
        <w:t>TURMAS</w:t>
      </w:r>
    </w:p>
    <w:p w:rsidR="00ED73E7" w:rsidRDefault="001A7589" w:rsidP="009E652F">
      <w:pPr>
        <w:pStyle w:val="Cabealho"/>
        <w:tabs>
          <w:tab w:val="clear" w:pos="4419"/>
          <w:tab w:val="clear" w:pos="8838"/>
        </w:tabs>
        <w:ind w:left="-142" w:right="368" w:firstLine="142"/>
        <w:jc w:val="center"/>
        <w:rPr>
          <w:rFonts w:ascii="Open Sans" w:hAnsi="Open Sans" w:cs="Open Sans"/>
          <w:i/>
        </w:rPr>
      </w:pPr>
      <w:r w:rsidRPr="003509A3">
        <w:rPr>
          <w:rFonts w:ascii="Open Sans" w:hAnsi="Open Sans" w:cs="Open Sans"/>
          <w:i/>
        </w:rPr>
        <w:t>Transcrição de ementas selecionadas nas sessões de julgamento das Turmas do TST.</w:t>
      </w:r>
    </w:p>
    <w:p w:rsidR="009E652F" w:rsidRPr="00A0413E" w:rsidRDefault="009E652F" w:rsidP="009E652F">
      <w:pPr>
        <w:ind w:left="-227" w:right="369"/>
        <w:jc w:val="both"/>
        <w:rPr>
          <w:rStyle w:val="fontepargpadro0"/>
          <w:rFonts w:ascii="Open Sans" w:hAnsi="Open Sans" w:cs="Open Sans"/>
          <w:bCs/>
          <w:color w:val="000000"/>
          <w:sz w:val="24"/>
          <w:szCs w:val="24"/>
        </w:rPr>
      </w:pPr>
    </w:p>
    <w:p w:rsidR="009E652F" w:rsidRPr="00A0413E" w:rsidRDefault="009E652F" w:rsidP="009E652F">
      <w:pPr>
        <w:ind w:left="-227" w:right="369"/>
        <w:jc w:val="both"/>
        <w:rPr>
          <w:rFonts w:ascii="Open Sans" w:hAnsi="Open Sans" w:cs="Open Sans"/>
          <w:color w:val="0000FF" w:themeColor="hyperlink"/>
          <w:sz w:val="24"/>
          <w:szCs w:val="24"/>
          <w:u w:val="single"/>
        </w:rPr>
      </w:pPr>
      <w:r w:rsidRPr="00A0413E">
        <w:rPr>
          <w:rStyle w:val="fontepargpadro0"/>
          <w:rFonts w:ascii="Open Sans" w:hAnsi="Open Sans" w:cs="Open Sans"/>
          <w:bCs/>
          <w:color w:val="000000"/>
          <w:sz w:val="24"/>
          <w:szCs w:val="24"/>
        </w:rPr>
        <w:t>“RECURSO DE REVISTA. INTERPOSIÇÃO NA VIGÊNCIA DA LEI N.º 13.467/2017. EXPOSIÇÃO AO AGENTE CALOR. INTERVALO PARA RECUPERAÇÃO TÉRMICA. CONTRATO DE TRABALHO INICIADO NA VIGÊNCIA DA PORTARIA SEPRT N.º 1.359, DE 9/12/2019. FALTA DE PREVISÃO LEGAL.</w:t>
      </w:r>
      <w:r w:rsidRPr="00A0413E">
        <w:rPr>
          <w:rStyle w:val="fontepargpadro-000003"/>
          <w:rFonts w:ascii="Open Sans" w:hAnsi="Open Sans" w:cs="Open Sans"/>
          <w:color w:val="000000"/>
          <w:sz w:val="24"/>
          <w:szCs w:val="24"/>
        </w:rPr>
        <w:t xml:space="preserve"> Esta Corte Superior possui jurisprudência pacificada no sentido de que, uma vez constatada a exposição do empregado ao agente </w:t>
      </w:r>
      <w:r>
        <w:rPr>
          <w:rStyle w:val="fontepargpadro-000003"/>
          <w:rFonts w:ascii="Open Sans" w:hAnsi="Open Sans" w:cs="Open Sans"/>
          <w:color w:val="000000"/>
          <w:sz w:val="24"/>
          <w:szCs w:val="24"/>
        </w:rPr>
        <w:t>‘</w:t>
      </w:r>
      <w:r w:rsidRPr="00A0413E">
        <w:rPr>
          <w:rStyle w:val="fontepargpadro-000003"/>
          <w:rFonts w:ascii="Open Sans" w:hAnsi="Open Sans" w:cs="Open Sans"/>
          <w:color w:val="000000"/>
          <w:sz w:val="24"/>
          <w:szCs w:val="24"/>
        </w:rPr>
        <w:t>calor excessivo</w:t>
      </w:r>
      <w:r>
        <w:rPr>
          <w:rStyle w:val="fontepargpadro-000003"/>
          <w:rFonts w:ascii="Open Sans" w:hAnsi="Open Sans" w:cs="Open Sans"/>
          <w:color w:val="000000"/>
          <w:sz w:val="24"/>
          <w:szCs w:val="24"/>
        </w:rPr>
        <w:t>’</w:t>
      </w:r>
      <w:r w:rsidRPr="00A0413E">
        <w:rPr>
          <w:rStyle w:val="fontepargpadro-000003"/>
          <w:rFonts w:ascii="Open Sans" w:hAnsi="Open Sans" w:cs="Open Sans"/>
          <w:color w:val="000000"/>
          <w:sz w:val="24"/>
          <w:szCs w:val="24"/>
        </w:rPr>
        <w:t xml:space="preserve">, nos termos do Anexo </w:t>
      </w:r>
      <w:proofErr w:type="gramStart"/>
      <w:r w:rsidRPr="00A0413E">
        <w:rPr>
          <w:rStyle w:val="fontepargpadro-000003"/>
          <w:rFonts w:ascii="Open Sans" w:hAnsi="Open Sans" w:cs="Open Sans"/>
          <w:color w:val="000000"/>
          <w:sz w:val="24"/>
          <w:szCs w:val="24"/>
        </w:rPr>
        <w:t>3</w:t>
      </w:r>
      <w:proofErr w:type="gramEnd"/>
      <w:r w:rsidRPr="00A0413E">
        <w:rPr>
          <w:rStyle w:val="fontepargpadro-000003"/>
          <w:rFonts w:ascii="Open Sans" w:hAnsi="Open Sans" w:cs="Open Sans"/>
          <w:color w:val="000000"/>
          <w:sz w:val="24"/>
          <w:szCs w:val="24"/>
        </w:rPr>
        <w:t xml:space="preserve"> da NR-15 da Portaria n.º 3.214/78 do Ministério do Trabalho e Emprego, a inobservância do intervalo para recuperação térmica enseja o pagamento do período correspondente como hora extraordinária. Todavia, no caso, é incontroverso que o contrato de trabalho do autor teve início em 14/4/2021, ou seja, já na vigência da Portaria SEPRT n.º 1.359/2019, que passou a não prever qualquer intervalo em razão de níveis de calor. Assim, não há suporte legal para o deferimento de horas extras, não se aplicando o entendimento jurisprudencial que prevaleceu na vigência da redação anterior do Anexo 3 da NR 15. </w:t>
      </w:r>
      <w:r w:rsidRPr="00A0413E">
        <w:rPr>
          <w:rStyle w:val="fontepargpadro0"/>
          <w:rFonts w:ascii="Open Sans" w:hAnsi="Open Sans" w:cs="Open Sans"/>
          <w:bCs/>
          <w:color w:val="000000"/>
          <w:sz w:val="24"/>
          <w:szCs w:val="24"/>
        </w:rPr>
        <w:t>Recurso de Revista não conhecido.</w:t>
      </w:r>
      <w:r w:rsidRPr="00A0413E">
        <w:rPr>
          <w:rFonts w:ascii="Open Sans" w:hAnsi="Open Sans" w:cs="Open Sans"/>
          <w:sz w:val="24"/>
          <w:szCs w:val="24"/>
        </w:rPr>
        <w:t>” (</w:t>
      </w:r>
      <w:hyperlink r:id="rId13" w:history="1">
        <w:r w:rsidRPr="00A0413E">
          <w:rPr>
            <w:rStyle w:val="Hyperlink"/>
            <w:rFonts w:ascii="Open Sans" w:hAnsi="Open Sans" w:cs="Open Sans"/>
            <w:sz w:val="24"/>
            <w:szCs w:val="24"/>
          </w:rPr>
          <w:t xml:space="preserve">TST-RR-441-03.2022.5.13.0008, 1ª Turma, rel. Min. </w:t>
        </w:r>
        <w:r>
          <w:rPr>
            <w:rStyle w:val="Hyperlink"/>
            <w:rFonts w:ascii="Open Sans" w:hAnsi="Open Sans" w:cs="Open Sans"/>
            <w:sz w:val="24"/>
            <w:szCs w:val="24"/>
          </w:rPr>
          <w:t xml:space="preserve">Luiz José </w:t>
        </w:r>
        <w:r w:rsidRPr="00A0413E">
          <w:rPr>
            <w:rStyle w:val="Hyperlink"/>
            <w:rFonts w:ascii="Open Sans" w:hAnsi="Open Sans" w:cs="Open Sans"/>
            <w:bCs/>
            <w:sz w:val="24"/>
            <w:szCs w:val="24"/>
          </w:rPr>
          <w:t>Dezena da Silva, julgado em 14/6/2023</w:t>
        </w:r>
      </w:hyperlink>
      <w:r w:rsidRPr="00A0413E">
        <w:rPr>
          <w:rFonts w:ascii="Open Sans" w:hAnsi="Open Sans" w:cs="Open Sans"/>
          <w:sz w:val="24"/>
          <w:szCs w:val="24"/>
        </w:rPr>
        <w:t xml:space="preserve">) </w:t>
      </w:r>
    </w:p>
    <w:p w:rsidR="009E652F" w:rsidRPr="00A0413E" w:rsidRDefault="009E652F" w:rsidP="009E652F">
      <w:pPr>
        <w:ind w:left="-227" w:right="369"/>
        <w:jc w:val="both"/>
        <w:rPr>
          <w:rFonts w:ascii="Open Sans" w:hAnsi="Open Sans" w:cs="Open Sans"/>
          <w:bCs/>
          <w:sz w:val="24"/>
          <w:szCs w:val="24"/>
        </w:rPr>
      </w:pPr>
    </w:p>
    <w:p w:rsidR="009E652F"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 xml:space="preserve">“[...] RECURSO DE REVISTA INTERPOSTO SOB A VIGÊNCIA DA LEI Nº 13.015/2014 E ANTERIORMENTE À LEI Nº 13.467/2017. NEGOCIAÇÃO COLETIVA. ELETRICITÁRIO. BASE DE CÁLCULO DO ADICIONAL DE PERICULOSIDADE. SALÁRIO BÁSICO. VALIDADE. DIREITO TRABALHISTA NÃO ASSEGURADO CONSTITUCIONALMENTE. APLICAÇÃO TESE VINCULANTE FIXADA PELO STF NO TEMA 1.046 DA REPERCUSSÃO GERAL. </w:t>
      </w:r>
      <w:proofErr w:type="gramStart"/>
      <w:r w:rsidRPr="00A0413E">
        <w:rPr>
          <w:rFonts w:ascii="Open Sans" w:hAnsi="Open Sans" w:cs="Open Sans"/>
          <w:sz w:val="24"/>
          <w:szCs w:val="24"/>
        </w:rPr>
        <w:t>1</w:t>
      </w:r>
      <w:proofErr w:type="gramEnd"/>
      <w:r w:rsidRPr="00A0413E">
        <w:rPr>
          <w:rFonts w:ascii="Open Sans" w:hAnsi="Open Sans" w:cs="Open Sans"/>
          <w:sz w:val="24"/>
          <w:szCs w:val="24"/>
        </w:rPr>
        <w:t xml:space="preserve">. No exame da temática atinente à validade de normas coletivas que limitam ou restringem </w:t>
      </w:r>
      <w:r w:rsidRPr="00A0413E">
        <w:rPr>
          <w:rFonts w:ascii="Open Sans" w:hAnsi="Open Sans" w:cs="Open Sans"/>
          <w:sz w:val="24"/>
          <w:szCs w:val="24"/>
        </w:rPr>
        <w:lastRenderedPageBreak/>
        <w:t xml:space="preserve">direitos não assegurados constitucionalmente, o Plenário do Supremo Tribunal Federal fixou a tese de que </w:t>
      </w:r>
      <w:r>
        <w:rPr>
          <w:rFonts w:ascii="Open Sans" w:hAnsi="Open Sans" w:cs="Open Sans"/>
          <w:sz w:val="24"/>
          <w:szCs w:val="24"/>
        </w:rPr>
        <w:t>‘</w:t>
      </w:r>
      <w:r w:rsidRPr="00A0413E">
        <w:rPr>
          <w:rFonts w:ascii="Open Sans" w:hAnsi="Open Sans" w:cs="Open Sans"/>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Pr>
          <w:rFonts w:ascii="Open Sans" w:hAnsi="Open Sans" w:cs="Open Sans"/>
          <w:sz w:val="24"/>
          <w:szCs w:val="24"/>
        </w:rPr>
        <w:t>’</w:t>
      </w:r>
      <w:r w:rsidRPr="00A0413E">
        <w:rPr>
          <w:rFonts w:ascii="Open Sans" w:hAnsi="Open Sans" w:cs="Open Sans"/>
          <w:sz w:val="24"/>
          <w:szCs w:val="24"/>
        </w:rPr>
        <w:t xml:space="preserve">. 2. O entendimento do E. STF pauta-se na importância que a Constituição da República de 1988 conferiu às convenções e aos acordos coletivos como instrumentos aptos a viabilizar a </w:t>
      </w:r>
      <w:proofErr w:type="spellStart"/>
      <w:r w:rsidRPr="00A0413E">
        <w:rPr>
          <w:rFonts w:ascii="Open Sans" w:hAnsi="Open Sans" w:cs="Open Sans"/>
          <w:sz w:val="24"/>
          <w:szCs w:val="24"/>
        </w:rPr>
        <w:t>autocomposição</w:t>
      </w:r>
      <w:proofErr w:type="spellEnd"/>
      <w:r w:rsidRPr="00A0413E">
        <w:rPr>
          <w:rFonts w:ascii="Open Sans" w:hAnsi="Open Sans" w:cs="Open Sans"/>
          <w:sz w:val="24"/>
          <w:szCs w:val="24"/>
        </w:rPr>
        <w:t xml:space="preserve"> dos conflitos trabalhistas, a autonomia privada da vontade coletiva e a liberdade sindical. É o que se depreende dos artigos 7º, VI, XIII, XIV e XXVI, e 8º, III e VI, da Carta Magna. 3. Apesar do prestígio reconhecido à negociação coletiva, a Suprema Corte ressalvou os temas que versem sobre direitos trabalhistas absolutamente indisponíveis, o que não é a hipótese dos autos. 4. É válida negociação coletiva que define o salário básico do eletricitário como base de cálculo do adicional de periculosidade. Recurso de revista conhecido e provido.” (</w:t>
      </w:r>
      <w:hyperlink r:id="rId14" w:history="1">
        <w:r w:rsidRPr="00A0413E">
          <w:rPr>
            <w:rStyle w:val="Hyperlink"/>
            <w:rFonts w:ascii="Open Sans" w:hAnsi="Open Sans" w:cs="Open Sans"/>
            <w:sz w:val="24"/>
            <w:szCs w:val="24"/>
          </w:rPr>
          <w:t xml:space="preserve">TST-RR-1637-80.2014.5.03.0100, 1ª Turma, rel. Min. </w:t>
        </w:r>
        <w:r w:rsidRPr="00A0413E">
          <w:rPr>
            <w:rStyle w:val="Hyperlink"/>
            <w:rFonts w:ascii="Open Sans" w:hAnsi="Open Sans" w:cs="Open Sans"/>
            <w:bCs/>
            <w:sz w:val="24"/>
            <w:szCs w:val="24"/>
          </w:rPr>
          <w:t>Amaury Rodrigues Pinto Junior, julgado em 7/6/2023</w:t>
        </w:r>
      </w:hyperlink>
      <w:r>
        <w:rPr>
          <w:rFonts w:ascii="Open Sans" w:hAnsi="Open Sans" w:cs="Open Sans"/>
          <w:sz w:val="24"/>
          <w:szCs w:val="24"/>
        </w:rPr>
        <w:t>)</w:t>
      </w:r>
    </w:p>
    <w:p w:rsidR="009E652F" w:rsidRDefault="009E652F" w:rsidP="009E652F">
      <w:pPr>
        <w:ind w:left="-227" w:right="369"/>
        <w:jc w:val="both"/>
        <w:rPr>
          <w:rFonts w:ascii="Open Sans" w:hAnsi="Open Sans" w:cs="Open Sans"/>
          <w:sz w:val="24"/>
          <w:szCs w:val="24"/>
        </w:rPr>
      </w:pPr>
    </w:p>
    <w:p w:rsidR="009E652F" w:rsidRPr="00A0413E" w:rsidRDefault="009E652F" w:rsidP="009E652F">
      <w:pPr>
        <w:ind w:left="-227" w:right="369"/>
        <w:jc w:val="both"/>
        <w:rPr>
          <w:rFonts w:ascii="Open Sans" w:hAnsi="Open Sans" w:cs="Open Sans"/>
          <w:sz w:val="24"/>
          <w:szCs w:val="24"/>
        </w:rPr>
      </w:pPr>
      <w:r w:rsidRPr="00A0413E">
        <w:rPr>
          <w:rStyle w:val="fontepargpadro-000004"/>
          <w:rFonts w:ascii="Open Sans" w:hAnsi="Open Sans" w:cs="Open Sans"/>
          <w:bCs/>
          <w:color w:val="000000"/>
          <w:sz w:val="24"/>
          <w:szCs w:val="24"/>
        </w:rPr>
        <w:t xml:space="preserve">“RECURSO DE REVISTA. </w:t>
      </w:r>
      <w:r w:rsidRPr="00A0413E">
        <w:rPr>
          <w:rStyle w:val="fontepargpadro0"/>
          <w:rFonts w:ascii="Open Sans" w:hAnsi="Open Sans" w:cs="Open Sans"/>
          <w:bCs/>
          <w:sz w:val="24"/>
          <w:szCs w:val="24"/>
        </w:rPr>
        <w:t>VIGÊNCIA DA LEI Nº 13.015/2014. [...]</w:t>
      </w:r>
      <w:r w:rsidRPr="00A0413E">
        <w:rPr>
          <w:rStyle w:val="fontepargpadro-000005"/>
          <w:rFonts w:ascii="Open Sans" w:hAnsi="Open Sans" w:cs="Open Sans"/>
          <w:sz w:val="24"/>
          <w:szCs w:val="24"/>
        </w:rPr>
        <w:t xml:space="preserve">. </w:t>
      </w:r>
      <w:r w:rsidRPr="00A0413E">
        <w:rPr>
          <w:rStyle w:val="fontepargpadro0"/>
          <w:rFonts w:ascii="Open Sans" w:hAnsi="Open Sans" w:cs="Open Sans"/>
          <w:bCs/>
          <w:sz w:val="24"/>
          <w:szCs w:val="24"/>
        </w:rPr>
        <w:t>NEGOCIAÇÃO COLETIVA QUE FIXA JORNADA DE 40 HORAS SEMANAIS, MAS DETERMINA ADOÇÃO DO DIVISOR 220 PARA O CÁLCULO DAS HORAS EXTRAS. VALIDADE. REPERCUSSÃO GERAL. TEMA 1.046.</w:t>
      </w:r>
      <w:r w:rsidRPr="00A0413E">
        <w:rPr>
          <w:rStyle w:val="fontepargpadro-000002"/>
          <w:rFonts w:ascii="Open Sans" w:hAnsi="Open Sans" w:cs="Open Sans"/>
          <w:color w:val="000000"/>
          <w:sz w:val="24"/>
          <w:szCs w:val="24"/>
        </w:rPr>
        <w:t xml:space="preserve">1. A jurisprudência deste Tribunal Superior do Trabalho é firme do sentido de que é 200 o divisor para cálculo de horas extras para os trabalhadores sujeitos à jornada de 40 horas semanais (Súmula nº 431 do TST). </w:t>
      </w:r>
      <w:proofErr w:type="gramStart"/>
      <w:r w:rsidRPr="00A0413E">
        <w:rPr>
          <w:rStyle w:val="fontepargpadro-000002"/>
          <w:rFonts w:ascii="Open Sans" w:hAnsi="Open Sans" w:cs="Open Sans"/>
          <w:color w:val="000000"/>
          <w:sz w:val="24"/>
          <w:szCs w:val="24"/>
        </w:rPr>
        <w:t>2</w:t>
      </w:r>
      <w:proofErr w:type="gramEnd"/>
      <w:r w:rsidRPr="00A0413E">
        <w:rPr>
          <w:rStyle w:val="fontepargpadro-000002"/>
          <w:rFonts w:ascii="Open Sans" w:hAnsi="Open Sans" w:cs="Open Sans"/>
          <w:color w:val="000000"/>
          <w:sz w:val="24"/>
          <w:szCs w:val="24"/>
        </w:rPr>
        <w:t>. Não obstante, no caso dos autos, a jornada de 40 horas foi fixada mediante negociação coletiva que expressamente determinou a adoção do divisor 220. 3. No exame da temática atinente à validade de normas coletivas que limitam ou restringem direitos não assegurados constitucionalmente, o Plenário do Supremo Tribunal Federal, no julgamento do Recurso Extraordinário com Agravo 1.121.633/GO (</w:t>
      </w:r>
      <w:proofErr w:type="spellStart"/>
      <w:r w:rsidRPr="004F1A05">
        <w:rPr>
          <w:rStyle w:val="fontepargpadro-000002"/>
          <w:rFonts w:ascii="Open Sans" w:hAnsi="Open Sans" w:cs="Open Sans"/>
          <w:i/>
          <w:color w:val="000000"/>
          <w:sz w:val="24"/>
          <w:szCs w:val="24"/>
        </w:rPr>
        <w:t>leading</w:t>
      </w:r>
      <w:proofErr w:type="spellEnd"/>
      <w:r w:rsidRPr="004F1A05">
        <w:rPr>
          <w:rStyle w:val="fontepargpadro-000002"/>
          <w:rFonts w:ascii="Open Sans" w:hAnsi="Open Sans" w:cs="Open Sans"/>
          <w:i/>
          <w:color w:val="000000"/>
          <w:sz w:val="24"/>
          <w:szCs w:val="24"/>
        </w:rPr>
        <w:t xml:space="preserve"> case</w:t>
      </w:r>
      <w:r w:rsidRPr="00A0413E">
        <w:rPr>
          <w:rStyle w:val="fontepargpadro-000006"/>
          <w:rFonts w:ascii="Open Sans" w:hAnsi="Open Sans" w:cs="Open Sans"/>
          <w:i/>
          <w:iCs/>
          <w:color w:val="000000"/>
          <w:sz w:val="24"/>
          <w:szCs w:val="24"/>
        </w:rPr>
        <w:t xml:space="preserve">, </w:t>
      </w:r>
      <w:r w:rsidRPr="00A0413E">
        <w:rPr>
          <w:rStyle w:val="fontepargpadro-000002"/>
          <w:rFonts w:ascii="Open Sans" w:hAnsi="Open Sans" w:cs="Open Sans"/>
          <w:color w:val="000000"/>
          <w:sz w:val="24"/>
          <w:szCs w:val="24"/>
        </w:rPr>
        <w:t>Relator Ministro Gilmar Mendes), submetido à sistemática da repercussão geral (</w:t>
      </w:r>
      <w:r w:rsidRPr="00A0413E">
        <w:rPr>
          <w:rStyle w:val="fontepargpadro-000007"/>
          <w:rFonts w:ascii="Open Sans" w:hAnsi="Open Sans" w:cs="Open Sans"/>
          <w:color w:val="000000"/>
          <w:sz w:val="24"/>
          <w:szCs w:val="24"/>
        </w:rPr>
        <w:t>Tema 1.046)</w:t>
      </w:r>
      <w:r w:rsidRPr="00A0413E">
        <w:rPr>
          <w:rStyle w:val="fontepargpadro-000002"/>
          <w:rFonts w:ascii="Open Sans" w:hAnsi="Open Sans" w:cs="Open Sans"/>
          <w:color w:val="000000"/>
          <w:sz w:val="24"/>
          <w:szCs w:val="24"/>
        </w:rPr>
        <w:t>, fixou a tese de que</w:t>
      </w:r>
      <w:r>
        <w:rPr>
          <w:rStyle w:val="fontepargpadro-000006"/>
          <w:rFonts w:ascii="Open Sans" w:hAnsi="Open Sans" w:cs="Open Sans"/>
          <w:i/>
          <w:iCs/>
          <w:color w:val="000000"/>
          <w:sz w:val="24"/>
          <w:szCs w:val="24"/>
        </w:rPr>
        <w:t xml:space="preserve"> ‘</w:t>
      </w:r>
      <w:r w:rsidRPr="004F1A05">
        <w:rPr>
          <w:rStyle w:val="fontepargpadro-000006"/>
          <w:rFonts w:ascii="Open Sans" w:hAnsi="Open Sans" w:cs="Open Sans"/>
          <w:iCs/>
          <w:color w:val="000000"/>
          <w:sz w:val="24"/>
          <w:szCs w:val="24"/>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Pr>
          <w:rStyle w:val="fontepargpadro-000002"/>
          <w:rFonts w:ascii="Open Sans" w:hAnsi="Open Sans" w:cs="Open Sans"/>
          <w:color w:val="000000"/>
          <w:sz w:val="24"/>
          <w:szCs w:val="24"/>
        </w:rPr>
        <w:t>’</w:t>
      </w:r>
      <w:r w:rsidRPr="00A0413E">
        <w:rPr>
          <w:rStyle w:val="fontepargpadro-000002"/>
          <w:rFonts w:ascii="Open Sans" w:hAnsi="Open Sans" w:cs="Open Sans"/>
          <w:color w:val="000000"/>
          <w:sz w:val="24"/>
          <w:szCs w:val="24"/>
        </w:rPr>
        <w:t xml:space="preserve">. 4. Válida, portanto, a negociação coletiva que excepciona o divisor para o cálculo das horas extras. </w:t>
      </w:r>
      <w:r w:rsidRPr="00A0413E">
        <w:rPr>
          <w:rStyle w:val="fontepargpadro0"/>
          <w:rFonts w:ascii="Open Sans" w:hAnsi="Open Sans" w:cs="Open Sans"/>
          <w:bCs/>
          <w:sz w:val="24"/>
          <w:szCs w:val="24"/>
        </w:rPr>
        <w:t>Recurso de revista parcialmente conhecido e provido</w:t>
      </w:r>
      <w:r w:rsidRPr="00A0413E">
        <w:rPr>
          <w:rFonts w:ascii="Open Sans" w:hAnsi="Open Sans" w:cs="Open Sans"/>
          <w:sz w:val="24"/>
          <w:szCs w:val="24"/>
        </w:rPr>
        <w:t>”. (</w:t>
      </w:r>
      <w:hyperlink r:id="rId15" w:history="1">
        <w:r w:rsidRPr="00A0413E">
          <w:rPr>
            <w:rStyle w:val="Hyperlink"/>
            <w:rFonts w:ascii="Open Sans" w:hAnsi="Open Sans" w:cs="Open Sans"/>
            <w:sz w:val="24"/>
            <w:szCs w:val="24"/>
          </w:rPr>
          <w:t xml:space="preserve">TST-RR-1757-41.2014.5.09.0041, 1ª Turma, rel. Min. </w:t>
        </w:r>
        <w:r w:rsidRPr="00A0413E">
          <w:rPr>
            <w:rStyle w:val="Hyperlink"/>
            <w:rFonts w:ascii="Open Sans" w:hAnsi="Open Sans" w:cs="Open Sans"/>
            <w:bCs/>
            <w:sz w:val="24"/>
            <w:szCs w:val="24"/>
          </w:rPr>
          <w:t>Amaury Rodrigues Pinto Junior, julgado em 14/6/2023</w:t>
        </w:r>
      </w:hyperlink>
      <w:proofErr w:type="gramStart"/>
      <w:r>
        <w:rPr>
          <w:rFonts w:ascii="Open Sans" w:hAnsi="Open Sans" w:cs="Open Sans"/>
          <w:sz w:val="24"/>
          <w:szCs w:val="24"/>
        </w:rPr>
        <w:t>)</w:t>
      </w:r>
      <w:proofErr w:type="gramEnd"/>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w:t>
      </w:r>
      <w:proofErr w:type="gramStart"/>
      <w:r w:rsidRPr="00A0413E">
        <w:rPr>
          <w:rFonts w:ascii="Open Sans" w:hAnsi="Open Sans" w:cs="Open Sans"/>
          <w:sz w:val="24"/>
          <w:szCs w:val="24"/>
        </w:rPr>
        <w:t xml:space="preserve">...] </w:t>
      </w:r>
      <w:r w:rsidRPr="00A0413E">
        <w:rPr>
          <w:rStyle w:val="fontepargpadro0"/>
          <w:rFonts w:ascii="Open Sans" w:hAnsi="Open Sans" w:cs="Open Sans"/>
          <w:bCs/>
          <w:sz w:val="24"/>
          <w:szCs w:val="24"/>
        </w:rPr>
        <w:t>B)</w:t>
      </w:r>
      <w:proofErr w:type="gramEnd"/>
      <w:r w:rsidRPr="00A0413E">
        <w:rPr>
          <w:rStyle w:val="fontepargpadro0"/>
          <w:rFonts w:ascii="Open Sans" w:hAnsi="Open Sans" w:cs="Open Sans"/>
          <w:bCs/>
          <w:sz w:val="24"/>
          <w:szCs w:val="24"/>
        </w:rPr>
        <w:t xml:space="preserve"> RECURSO DE REVISTA. </w:t>
      </w:r>
      <w:r w:rsidRPr="00A0413E">
        <w:rPr>
          <w:rStyle w:val="fontepargpadro-000007"/>
          <w:rFonts w:ascii="Open Sans" w:hAnsi="Open Sans" w:cs="Open Sans"/>
          <w:bCs/>
          <w:color w:val="000000"/>
          <w:sz w:val="24"/>
          <w:szCs w:val="24"/>
        </w:rPr>
        <w:t>PROCESSO SOB A ÉGIDE DA LEI 13.015/2014 E ANTERIOR À LEI 13.467/2017</w:t>
      </w:r>
      <w:r w:rsidRPr="00A0413E">
        <w:rPr>
          <w:rStyle w:val="fontepargpadro0"/>
          <w:rFonts w:ascii="Open Sans" w:hAnsi="Open Sans" w:cs="Open Sans"/>
          <w:bCs/>
          <w:sz w:val="24"/>
          <w:szCs w:val="24"/>
        </w:rPr>
        <w:t xml:space="preserve">. DOENÇA OCUPACIONAL. NEOPLASIA MALIGNA. EXPOSIÇÃO AO AMIANTO (ASBESTO). NEXO CAUSAL. NEXO TÉCNICO EPIDEMIOLÓGICO (NTEP). TRABALHO EM CONTATO COM AGENTE CANCERÍGENO. RISCO ELEVADO DE ADOECIMENTO. RESPONSABILIDADE CIVIL OBJETIVA DO EMPREGADOR. INDENIZAÇÃO DEVIDA. </w:t>
      </w:r>
      <w:r w:rsidRPr="00A0413E">
        <w:rPr>
          <w:rStyle w:val="fontepargpadro-000007"/>
          <w:rFonts w:ascii="Open Sans" w:hAnsi="Open Sans" w:cs="Open Sans"/>
          <w:bCs/>
          <w:color w:val="000000"/>
          <w:sz w:val="24"/>
          <w:szCs w:val="24"/>
        </w:rPr>
        <w:t>No presente caso</w:t>
      </w:r>
      <w:r w:rsidRPr="00A0413E">
        <w:rPr>
          <w:rStyle w:val="fontepargpadro-000008"/>
          <w:rFonts w:ascii="Open Sans" w:hAnsi="Open Sans" w:cs="Open Sans"/>
          <w:sz w:val="24"/>
          <w:szCs w:val="24"/>
        </w:rPr>
        <w:t xml:space="preserve">, cinge-se a controvérsia em perquirir a existência ou não de responsabilidade civil da Empregadora pelo adoecimento do Obreiro, que foi acometido por neoplasia maligna, e atribui o seu adoecimento às condições de </w:t>
      </w:r>
      <w:r w:rsidRPr="00A0413E">
        <w:rPr>
          <w:rStyle w:val="fontepargpadro-000008"/>
          <w:rFonts w:ascii="Open Sans" w:hAnsi="Open Sans" w:cs="Open Sans"/>
          <w:sz w:val="24"/>
          <w:szCs w:val="24"/>
        </w:rPr>
        <w:lastRenderedPageBreak/>
        <w:t xml:space="preserve">trabalho a que foi submetido durante o seu pacto laboral, especialmente ao contato com o agente insalubre amianto. O Tribunal Regional manteve a sentença que julgou improcedentes o pleito de declaração da responsabilidade civil da Empregadora pelo adoecimento do Obreiro, bem como as de indenizações correlatas. A Corte Regional entendeu, em síntese, que: </w:t>
      </w:r>
      <w:r>
        <w:rPr>
          <w:rStyle w:val="fontepargpadro-000008"/>
          <w:rFonts w:ascii="Open Sans" w:hAnsi="Open Sans" w:cs="Open Sans"/>
          <w:sz w:val="24"/>
          <w:szCs w:val="24"/>
        </w:rPr>
        <w:t>‘</w:t>
      </w:r>
      <w:r w:rsidRPr="004F1A05">
        <w:rPr>
          <w:rStyle w:val="fontepargpadro-000009"/>
          <w:rFonts w:ascii="Open Sans" w:hAnsi="Open Sans" w:cs="Open Sans"/>
          <w:iCs/>
          <w:color w:val="000000"/>
          <w:sz w:val="24"/>
          <w:szCs w:val="24"/>
        </w:rPr>
        <w:t>o fato de haver uma ‘chance em potencial do amianto ser o fator causador’ não autoriza o acolhimento da pretensão do autor, pois o perito foi enfático ao afirmar que a neoplasia de nasofaringe tem origem em causas diversas, tais como tabagismo, alcoolismo, determinados vírus, alimentação e predisposição genética, não relacionadas diretamente com o amianto’</w:t>
      </w:r>
      <w:r w:rsidRPr="00A0413E">
        <w:rPr>
          <w:rStyle w:val="fontepargpadro-000008"/>
          <w:rFonts w:ascii="Open Sans" w:hAnsi="Open Sans" w:cs="Open Sans"/>
          <w:sz w:val="24"/>
          <w:szCs w:val="24"/>
        </w:rPr>
        <w:t xml:space="preserve">. </w:t>
      </w:r>
      <w:r w:rsidRPr="00A0413E">
        <w:rPr>
          <w:rStyle w:val="fontepargpadro-000010"/>
          <w:rFonts w:ascii="Open Sans" w:hAnsi="Open Sans" w:cs="Open Sans"/>
          <w:color w:val="000000"/>
          <w:sz w:val="24"/>
          <w:szCs w:val="24"/>
        </w:rPr>
        <w:t>À análise</w:t>
      </w:r>
      <w:r w:rsidRPr="00A0413E">
        <w:rPr>
          <w:rStyle w:val="fontepargpadro-000008"/>
          <w:rFonts w:ascii="Open Sans" w:hAnsi="Open Sans" w:cs="Open Sans"/>
          <w:sz w:val="24"/>
          <w:szCs w:val="24"/>
        </w:rPr>
        <w:t xml:space="preserve">. Saliente-se que o pleito de indenização por dano moral e material resultante de acidente do trabalho e/ou doença profissional ou ocupacional supõe a presença de três requisitos: a) ocorrência do fato deflagrador do dano ou do próprio dano, que se constata pelo fato da doença ou do acidente, os quais, por si sós, agridem o patrimônio moral e emocional da pessoa trabalhadora (nesse sentido, o dano moral, em tais casos, verifica-se pela própria circunstância da ocorrência do malefício físico ou psíquico); b) nexo causal, que se evidencia pelo fato de o malefício ter ocorrido em face das condições laborativas; c) culpa empresarial, excetuadas as hipóteses de responsabilidade </w:t>
      </w:r>
      <w:proofErr w:type="gramStart"/>
      <w:r w:rsidRPr="00A0413E">
        <w:rPr>
          <w:rStyle w:val="fontepargpadro-000008"/>
          <w:rFonts w:ascii="Open Sans" w:hAnsi="Open Sans" w:cs="Open Sans"/>
          <w:sz w:val="24"/>
          <w:szCs w:val="24"/>
        </w:rPr>
        <w:t>objetiva</w:t>
      </w:r>
      <w:proofErr w:type="gramEnd"/>
      <w:r w:rsidRPr="00A0413E">
        <w:rPr>
          <w:rStyle w:val="fontepargpadro-000008"/>
          <w:rFonts w:ascii="Open Sans" w:hAnsi="Open Sans" w:cs="Open Sans"/>
          <w:sz w:val="24"/>
          <w:szCs w:val="24"/>
        </w:rPr>
        <w:t>. Embora não se possa presumir a culpa em diversos casos de dano moral - em que a culpa tem de ser provada pelo autor da ação -, tratando-se de doença ocupacional, profissional ou de acidente do trabalho, essa culpa é presumida, em virtude de o empregador ter o controle e a direção sobre a estrutura, a dinâmica, a gestão e a operação do estabelecimento em que ocorreu o malefício. A Constituição Federal de 1988 assegura que todos têm direito ao meio ambiente do trabalho ecologicamente equilibrado, porque essencial à sadia qualidade de vida, razão pela qual incumbe ao Poder Público e à coletividade, na qual se inclui o empregador, o dever de defendê-lo e preservá-lo (</w:t>
      </w:r>
      <w:proofErr w:type="spellStart"/>
      <w:r w:rsidRPr="00A0413E">
        <w:rPr>
          <w:rStyle w:val="fontepargpadro-000008"/>
          <w:rFonts w:ascii="Open Sans" w:hAnsi="Open Sans" w:cs="Open Sans"/>
          <w:sz w:val="24"/>
          <w:szCs w:val="24"/>
        </w:rPr>
        <w:t>arts</w:t>
      </w:r>
      <w:proofErr w:type="spellEnd"/>
      <w:r w:rsidRPr="00A0413E">
        <w:rPr>
          <w:rStyle w:val="fontepargpadro-000008"/>
          <w:rFonts w:ascii="Open Sans" w:hAnsi="Open Sans" w:cs="Open Sans"/>
          <w:sz w:val="24"/>
          <w:szCs w:val="24"/>
        </w:rPr>
        <w:t xml:space="preserve">. 200, VII, e 225, </w:t>
      </w:r>
      <w:r w:rsidRPr="00A0413E">
        <w:rPr>
          <w:rStyle w:val="fontepargpadro-000009"/>
          <w:rFonts w:ascii="Open Sans" w:hAnsi="Open Sans" w:cs="Open Sans"/>
          <w:i/>
          <w:iCs/>
          <w:color w:val="000000"/>
          <w:sz w:val="24"/>
          <w:szCs w:val="24"/>
        </w:rPr>
        <w:t>caput</w:t>
      </w:r>
      <w:r w:rsidRPr="00A0413E">
        <w:rPr>
          <w:rStyle w:val="fontepargpadro-000008"/>
          <w:rFonts w:ascii="Open Sans" w:hAnsi="Open Sans" w:cs="Open Sans"/>
          <w:sz w:val="24"/>
          <w:szCs w:val="24"/>
        </w:rPr>
        <w:t xml:space="preserve">). Não é por outra razão que Raimundo Simão de Melo alerta que a prevenção dos riscos ambientais e/ou eliminação de riscos laborais, mediante adoção de medidas coletivas e individuais, é imprescindível para que o empregador evite danos ao meio ambiente do trabalho e à saúde do trabalhador. Acidentes do trabalho e/ou doença profissional ou ocupacional, na maioria das vezes, </w:t>
      </w:r>
      <w:r>
        <w:rPr>
          <w:rStyle w:val="fontepargpadro-000008"/>
          <w:rFonts w:ascii="Open Sans" w:hAnsi="Open Sans" w:cs="Open Sans"/>
          <w:sz w:val="24"/>
          <w:szCs w:val="24"/>
        </w:rPr>
        <w:t>‘</w:t>
      </w:r>
      <w:r w:rsidRPr="004F1A05">
        <w:rPr>
          <w:rStyle w:val="fontepargpadro-000009"/>
          <w:rFonts w:ascii="Open Sans" w:hAnsi="Open Sans" w:cs="Open Sans"/>
          <w:iCs/>
          <w:color w:val="000000"/>
          <w:sz w:val="24"/>
          <w:szCs w:val="24"/>
        </w:rPr>
        <w:t xml:space="preserve">são eventos perfeitamente previsíveis e </w:t>
      </w:r>
      <w:proofErr w:type="spellStart"/>
      <w:r w:rsidRPr="004F1A05">
        <w:rPr>
          <w:rStyle w:val="fontepargpadro-000009"/>
          <w:rFonts w:ascii="Open Sans" w:hAnsi="Open Sans" w:cs="Open Sans"/>
          <w:iCs/>
          <w:color w:val="000000"/>
          <w:sz w:val="24"/>
          <w:szCs w:val="24"/>
        </w:rPr>
        <w:t>preveníveis</w:t>
      </w:r>
      <w:proofErr w:type="spellEnd"/>
      <w:r w:rsidRPr="004F1A05">
        <w:rPr>
          <w:rStyle w:val="fontepargpadro-000009"/>
          <w:rFonts w:ascii="Open Sans" w:hAnsi="Open Sans" w:cs="Open Sans"/>
          <w:iCs/>
          <w:color w:val="000000"/>
          <w:sz w:val="24"/>
          <w:szCs w:val="24"/>
        </w:rPr>
        <w:t>, porquanto suas causas são identificáveis e podem ser neutralizadas ou mesmo eliminadas; são, porém, imprevistos quanto ao momento e grau de agravo para a vítima</w:t>
      </w:r>
      <w:r>
        <w:rPr>
          <w:rStyle w:val="fontepargpadro-000008"/>
          <w:rFonts w:ascii="Open Sans" w:hAnsi="Open Sans" w:cs="Open Sans"/>
          <w:sz w:val="24"/>
          <w:szCs w:val="24"/>
        </w:rPr>
        <w:t>’</w:t>
      </w:r>
      <w:r w:rsidRPr="00A0413E">
        <w:rPr>
          <w:rStyle w:val="fontepargpadro-000008"/>
          <w:rFonts w:ascii="Open Sans" w:hAnsi="Open Sans" w:cs="Open Sans"/>
          <w:sz w:val="24"/>
          <w:szCs w:val="24"/>
        </w:rPr>
        <w:t xml:space="preserve"> (</w:t>
      </w:r>
      <w:proofErr w:type="gramStart"/>
      <w:r w:rsidRPr="00A0413E">
        <w:rPr>
          <w:rStyle w:val="fontepargpadro-000008"/>
          <w:rFonts w:ascii="Open Sans" w:hAnsi="Open Sans" w:cs="Open Sans"/>
          <w:sz w:val="24"/>
          <w:szCs w:val="24"/>
        </w:rPr>
        <w:t>MELO,</w:t>
      </w:r>
      <w:proofErr w:type="gramEnd"/>
      <w:r w:rsidRPr="00A0413E">
        <w:rPr>
          <w:rStyle w:val="fontepargpadro-000008"/>
          <w:rFonts w:ascii="Open Sans" w:hAnsi="Open Sans" w:cs="Open Sans"/>
          <w:sz w:val="24"/>
          <w:szCs w:val="24"/>
        </w:rPr>
        <w:t xml:space="preserve"> Raimundo Simão de. Direito ambiental do trabalho e a saúde do trabalhador. 5.ed. São Paulo: </w:t>
      </w:r>
      <w:proofErr w:type="spellStart"/>
      <w:r w:rsidRPr="00A0413E">
        <w:rPr>
          <w:rStyle w:val="fontepargpadro-000008"/>
          <w:rFonts w:ascii="Open Sans" w:hAnsi="Open Sans" w:cs="Open Sans"/>
          <w:sz w:val="24"/>
          <w:szCs w:val="24"/>
        </w:rPr>
        <w:t>Ltr</w:t>
      </w:r>
      <w:proofErr w:type="spellEnd"/>
      <w:r w:rsidRPr="00A0413E">
        <w:rPr>
          <w:rStyle w:val="fontepargpadro-000008"/>
          <w:rFonts w:ascii="Open Sans" w:hAnsi="Open Sans" w:cs="Open Sans"/>
          <w:sz w:val="24"/>
          <w:szCs w:val="24"/>
        </w:rPr>
        <w:t xml:space="preserve">, 2013, p. 316). Pontue-se que tanto a higidez física como a mental, inclusive emocional, do ser humano são bens fundamentais de sua vida, privada e pública, de sua intimidade, de sua autoestima e afirmação social e, nesta medida, também de sua honra. São bens, portanto, inquestionavelmente tutelados, regra geral, pela Constituição (art. 5º, V e X). Agredidos em face de circunstâncias laborativas, passam a merecer tutela ainda mais forte e específica da Constituição da República, que se agrega à genérica anterior (art. 7º, XXVIII, CF/88). É do empregador, evidentemente, a responsabilidade pelas indenizações por dano moral, material ou </w:t>
      </w:r>
      <w:proofErr w:type="gramStart"/>
      <w:r w:rsidRPr="00A0413E">
        <w:rPr>
          <w:rStyle w:val="fontepargpadro-000008"/>
          <w:rFonts w:ascii="Open Sans" w:hAnsi="Open Sans" w:cs="Open Sans"/>
          <w:sz w:val="24"/>
          <w:szCs w:val="24"/>
        </w:rPr>
        <w:t>estético decorrentes de lesões vinculadas à infortunística do trabalho, sem prejuízo do pagamento pelo INSS do seguro social</w:t>
      </w:r>
      <w:proofErr w:type="gramEnd"/>
      <w:r w:rsidRPr="00A0413E">
        <w:rPr>
          <w:rStyle w:val="fontepargpadro-000008"/>
          <w:rFonts w:ascii="Open Sans" w:hAnsi="Open Sans" w:cs="Open Sans"/>
          <w:sz w:val="24"/>
          <w:szCs w:val="24"/>
        </w:rPr>
        <w:t xml:space="preserve">. </w:t>
      </w:r>
      <w:r w:rsidRPr="00A0413E">
        <w:rPr>
          <w:rStyle w:val="fontepargpadro0"/>
          <w:rFonts w:ascii="Open Sans" w:hAnsi="Open Sans" w:cs="Open Sans"/>
          <w:bCs/>
          <w:sz w:val="24"/>
          <w:szCs w:val="24"/>
        </w:rPr>
        <w:t xml:space="preserve">No presente caso, </w:t>
      </w:r>
      <w:r w:rsidRPr="00A0413E">
        <w:rPr>
          <w:rStyle w:val="fontepargpadro-000007"/>
          <w:rFonts w:ascii="Open Sans" w:hAnsi="Open Sans" w:cs="Open Sans"/>
          <w:bCs/>
          <w:color w:val="000000"/>
          <w:sz w:val="24"/>
          <w:szCs w:val="24"/>
        </w:rPr>
        <w:t xml:space="preserve">restou comprovado que o Obreiro laborou para a Reclamada durante 32 anos (de 06/08/1979 a 08/08/2011) em exposição de forma direta e contínua ao amianto no </w:t>
      </w:r>
      <w:r w:rsidRPr="00A0413E">
        <w:rPr>
          <w:rStyle w:val="fontepargpadro-000007"/>
          <w:rFonts w:ascii="Open Sans" w:hAnsi="Open Sans" w:cs="Open Sans"/>
          <w:bCs/>
          <w:color w:val="000000"/>
          <w:sz w:val="24"/>
          <w:szCs w:val="24"/>
        </w:rPr>
        <w:lastRenderedPageBreak/>
        <w:t>exercício de suas atividades, e, que, após o seu desligamento da Empresa (por volta de 2015), foi diagnosticado com neoplasia maligna - carcinoma de nasofaringe; encontrando-se aposentado por tempo de serviço, desde 2010.</w:t>
      </w:r>
      <w:r w:rsidRPr="00A0413E">
        <w:rPr>
          <w:rStyle w:val="fontepargpadro-000008"/>
          <w:rFonts w:ascii="Open Sans" w:hAnsi="Open Sans" w:cs="Open Sans"/>
          <w:sz w:val="24"/>
          <w:szCs w:val="24"/>
        </w:rPr>
        <w:t xml:space="preserve"> A Corte Regional entendeu que não restou comprovada a existência de nexo causal/</w:t>
      </w:r>
      <w:proofErr w:type="spellStart"/>
      <w:r w:rsidRPr="00A0413E">
        <w:rPr>
          <w:rStyle w:val="fontepargpadro-000008"/>
          <w:rFonts w:ascii="Open Sans" w:hAnsi="Open Sans" w:cs="Open Sans"/>
          <w:sz w:val="24"/>
          <w:szCs w:val="24"/>
        </w:rPr>
        <w:t>concausal</w:t>
      </w:r>
      <w:proofErr w:type="spellEnd"/>
      <w:r w:rsidRPr="00A0413E">
        <w:rPr>
          <w:rStyle w:val="fontepargpadro-000008"/>
          <w:rFonts w:ascii="Open Sans" w:hAnsi="Open Sans" w:cs="Open Sans"/>
          <w:sz w:val="24"/>
          <w:szCs w:val="24"/>
        </w:rPr>
        <w:t xml:space="preserve"> entre a neoplasia maligna desenvolvida pelo Empregado e a exposição ao amianto. </w:t>
      </w:r>
      <w:r w:rsidRPr="00A0413E">
        <w:rPr>
          <w:rStyle w:val="fontepargpadro-000007"/>
          <w:rFonts w:ascii="Open Sans" w:hAnsi="Open Sans" w:cs="Open Sans"/>
          <w:bCs/>
          <w:color w:val="000000"/>
          <w:sz w:val="24"/>
          <w:szCs w:val="24"/>
        </w:rPr>
        <w:t>Contudo, considerando as premissas fáticas transcritas no acórdão recorrido, tem-se que a matéria comporta enquadramento jurídico diverso.</w:t>
      </w:r>
      <w:r w:rsidRPr="00A0413E">
        <w:rPr>
          <w:rStyle w:val="fontepargpadro-000008"/>
          <w:rFonts w:ascii="Open Sans" w:hAnsi="Open Sans" w:cs="Open Sans"/>
          <w:sz w:val="24"/>
          <w:szCs w:val="24"/>
        </w:rPr>
        <w:t xml:space="preserve"> Cumpre esclarecer que </w:t>
      </w:r>
      <w:r w:rsidRPr="00A0413E">
        <w:rPr>
          <w:rStyle w:val="fontepargpadro0"/>
          <w:rFonts w:ascii="Open Sans" w:hAnsi="Open Sans" w:cs="Open Sans"/>
          <w:bCs/>
          <w:sz w:val="24"/>
          <w:szCs w:val="24"/>
        </w:rPr>
        <w:t>o Juiz não está adstrito ao laudo pericial oficial</w:t>
      </w:r>
      <w:r w:rsidRPr="00A0413E">
        <w:rPr>
          <w:rStyle w:val="fontepargpadro-000008"/>
          <w:rFonts w:ascii="Open Sans" w:hAnsi="Open Sans" w:cs="Open Sans"/>
          <w:sz w:val="24"/>
          <w:szCs w:val="24"/>
        </w:rPr>
        <w:t xml:space="preserve">, podendo formar a sua convicção com outros elementos ou fatos provados nos autos (art. 479 do CPC de 2015; art. 436, CPC/73). Se existem informações relevantes que apontem para conclusão diversa daquela exposta na perícia técnica, o julgador pode e deve valer-se desses elementos de prova para formar seu convencimento. </w:t>
      </w:r>
      <w:r w:rsidRPr="00A0413E">
        <w:rPr>
          <w:rStyle w:val="fontepargpadro-000007"/>
          <w:rFonts w:ascii="Open Sans" w:hAnsi="Open Sans" w:cs="Open Sans"/>
          <w:bCs/>
          <w:color w:val="000000"/>
          <w:sz w:val="24"/>
          <w:szCs w:val="24"/>
        </w:rPr>
        <w:t>No que diz respeito ao nexo causal</w:t>
      </w:r>
      <w:r w:rsidRPr="00A0413E">
        <w:rPr>
          <w:rStyle w:val="fontepargpadro-000008"/>
          <w:rFonts w:ascii="Open Sans" w:hAnsi="Open Sans" w:cs="Open Sans"/>
          <w:sz w:val="24"/>
          <w:szCs w:val="24"/>
        </w:rPr>
        <w:t xml:space="preserve">, saliente-se que </w:t>
      </w:r>
      <w:r w:rsidRPr="00A0413E">
        <w:rPr>
          <w:rStyle w:val="fontepargpadro-000007"/>
          <w:rFonts w:ascii="Open Sans" w:hAnsi="Open Sans" w:cs="Open Sans"/>
          <w:bCs/>
          <w:color w:val="000000"/>
          <w:sz w:val="24"/>
          <w:szCs w:val="24"/>
        </w:rPr>
        <w:t>o Decreto nº 6.042, de 12/02/2007 - Lista B do Anexo II -, que regulamentou a Lei nº 11.430/2006, estabeleceu a existência do nexo técnico-epidemiológico entre a exposição ao amianto e o desenvolvimento de várias patologias</w:t>
      </w:r>
      <w:r w:rsidRPr="00A0413E">
        <w:rPr>
          <w:rStyle w:val="fontepargpadro-000008"/>
          <w:rFonts w:ascii="Open Sans" w:hAnsi="Open Sans" w:cs="Open Sans"/>
          <w:sz w:val="24"/>
          <w:szCs w:val="24"/>
        </w:rPr>
        <w:t xml:space="preserve"> - </w:t>
      </w:r>
      <w:r w:rsidRPr="00A0413E">
        <w:rPr>
          <w:rStyle w:val="fontepargpadro0"/>
          <w:rFonts w:ascii="Open Sans" w:hAnsi="Open Sans" w:cs="Open Sans"/>
          <w:bCs/>
          <w:sz w:val="24"/>
          <w:szCs w:val="24"/>
        </w:rPr>
        <w:t>englobando neoplasias malignas, inclusive a que acometeu o Obreiro</w:t>
      </w:r>
      <w:r w:rsidRPr="00A0413E">
        <w:rPr>
          <w:rStyle w:val="fontepargpadro-000008"/>
          <w:rFonts w:ascii="Open Sans" w:hAnsi="Open Sans" w:cs="Open Sans"/>
          <w:sz w:val="24"/>
          <w:szCs w:val="24"/>
        </w:rPr>
        <w:t xml:space="preserve">. Verifica-se, portanto, que a atividade econômica da Empregadora possui </w:t>
      </w:r>
      <w:r w:rsidRPr="00A0413E">
        <w:rPr>
          <w:rStyle w:val="fontepargpadro0"/>
          <w:rFonts w:ascii="Open Sans" w:hAnsi="Open Sans" w:cs="Open Sans"/>
          <w:bCs/>
          <w:sz w:val="24"/>
          <w:szCs w:val="24"/>
        </w:rPr>
        <w:t>relação com a patologia que acometeu o Obreiro - carcinoma de nasofaringe, evidenciando o nexo técnico epidemiológico (NTEP)</w:t>
      </w:r>
      <w:r w:rsidRPr="00A0413E">
        <w:rPr>
          <w:rStyle w:val="fontepargpadro-000008"/>
          <w:rFonts w:ascii="Open Sans" w:hAnsi="Open Sans" w:cs="Open Sans"/>
          <w:sz w:val="24"/>
          <w:szCs w:val="24"/>
        </w:rPr>
        <w:t xml:space="preserve"> já que envolvia a exposição dos trabalhadores ao amianto. Especificamente no tocante ao nexo técnico epidemiológico, releva destacar que </w:t>
      </w:r>
      <w:r w:rsidRPr="00A0413E">
        <w:rPr>
          <w:rStyle w:val="fontepargpadro-000007"/>
          <w:rFonts w:ascii="Open Sans" w:hAnsi="Open Sans" w:cs="Open Sans"/>
          <w:bCs/>
          <w:color w:val="000000"/>
          <w:sz w:val="24"/>
          <w:szCs w:val="24"/>
        </w:rPr>
        <w:t xml:space="preserve">o Supremo Tribunal Federal, na decisão proferida na ADI nº 3931/DF, declarou a constitucionalidade dos </w:t>
      </w:r>
      <w:proofErr w:type="spellStart"/>
      <w:r w:rsidRPr="00A0413E">
        <w:rPr>
          <w:rStyle w:val="fontepargpadro-000007"/>
          <w:rFonts w:ascii="Open Sans" w:hAnsi="Open Sans" w:cs="Open Sans"/>
          <w:bCs/>
          <w:color w:val="000000"/>
          <w:sz w:val="24"/>
          <w:szCs w:val="24"/>
        </w:rPr>
        <w:t>arts</w:t>
      </w:r>
      <w:proofErr w:type="spellEnd"/>
      <w:r w:rsidRPr="00A0413E">
        <w:rPr>
          <w:rStyle w:val="fontepargpadro-000007"/>
          <w:rFonts w:ascii="Open Sans" w:hAnsi="Open Sans" w:cs="Open Sans"/>
          <w:bCs/>
          <w:color w:val="000000"/>
          <w:sz w:val="24"/>
          <w:szCs w:val="24"/>
        </w:rPr>
        <w:t>. 21-A da Lei n. 8.213/1991 e §§ 3º e 5º a 13 do art. 337 do Regulamento da Previdência Social</w:t>
      </w:r>
      <w:r w:rsidRPr="00A0413E">
        <w:rPr>
          <w:rStyle w:val="fontepargpadro-000008"/>
          <w:rFonts w:ascii="Open Sans" w:hAnsi="Open Sans" w:cs="Open Sans"/>
          <w:sz w:val="24"/>
          <w:szCs w:val="24"/>
        </w:rPr>
        <w:t xml:space="preserve">. Eis a ementa do acórdão do Supremo Tribunal Federal: EMENTA: </w:t>
      </w:r>
      <w:r>
        <w:rPr>
          <w:rStyle w:val="fontepargpadro-000008"/>
          <w:rFonts w:ascii="Open Sans" w:hAnsi="Open Sans" w:cs="Open Sans"/>
          <w:sz w:val="24"/>
          <w:szCs w:val="24"/>
        </w:rPr>
        <w:t>‘</w:t>
      </w:r>
      <w:r w:rsidRPr="009A0216">
        <w:rPr>
          <w:rStyle w:val="fontepargpadro-000009"/>
          <w:rFonts w:ascii="Open Sans" w:hAnsi="Open Sans" w:cs="Open Sans"/>
          <w:iCs/>
          <w:color w:val="000000"/>
          <w:sz w:val="24"/>
          <w:szCs w:val="24"/>
        </w:rPr>
        <w:t xml:space="preserve">AÇÃO DIRETA DE INCONSTITUCIONALIDADE. ART. 21-A DA LEI N. 8.213/1991 E §§ 3º E 5º A 13 DO ART. 337 DO REGULAMENTO DA PREVIDÊNCIA SOCIAL. </w:t>
      </w:r>
      <w:r w:rsidRPr="009A0216">
        <w:rPr>
          <w:rStyle w:val="fontepargpadro-000011"/>
          <w:rFonts w:ascii="Open Sans" w:hAnsi="Open Sans" w:cs="Open Sans"/>
          <w:iCs/>
          <w:sz w:val="24"/>
          <w:szCs w:val="24"/>
        </w:rPr>
        <w:t>ACIDENTE DE TRABALHO. ESTABELECIMENTO DE NEXO ENTRE O TRABALHO E O AGRAVO PELA CONSTATAÇÃO DE RELEVÂNCIA ESTATÍSTICA ENTRE A ATIVIDADE DA EMPRESA E A DOENÇA. PRESUNÇÃO DA NATUREZA ACIDENTÁRIA DA INCAPACIDADE</w:t>
      </w:r>
      <w:r w:rsidRPr="009A0216">
        <w:rPr>
          <w:rStyle w:val="fontepargpadro-000009"/>
          <w:rFonts w:ascii="Open Sans" w:hAnsi="Open Sans" w:cs="Open Sans"/>
          <w:iCs/>
          <w:color w:val="000000"/>
          <w:sz w:val="24"/>
          <w:szCs w:val="24"/>
        </w:rPr>
        <w:t xml:space="preserve">. AUSÊNCIA DE OFENSA AO INC. XIII DO ART. 5º, AO INC. XXVIII DO ART. 7º, AO INC. I E AO § 1º DO ART. 201 DA CONSTITUIÇÃO DA REPÚBLICA. </w:t>
      </w:r>
      <w:r w:rsidRPr="009A0216">
        <w:rPr>
          <w:rStyle w:val="fontepargpadro-000011"/>
          <w:rFonts w:ascii="Open Sans" w:hAnsi="Open Sans" w:cs="Open Sans"/>
          <w:iCs/>
          <w:sz w:val="24"/>
          <w:szCs w:val="24"/>
        </w:rPr>
        <w:t xml:space="preserve">AÇÃO DIRETA DE INCONSTITUCIONALIDADE JULGADA IMPROCEDENTE. </w:t>
      </w:r>
      <w:r w:rsidRPr="009A0216">
        <w:rPr>
          <w:rStyle w:val="fontepargpadro-000012"/>
          <w:rFonts w:ascii="Open Sans" w:hAnsi="Open Sans" w:cs="Open Sans"/>
          <w:bCs/>
          <w:iCs/>
          <w:color w:val="000000"/>
          <w:sz w:val="24"/>
          <w:szCs w:val="24"/>
        </w:rPr>
        <w:t xml:space="preserve">1. </w:t>
      </w:r>
      <w:r w:rsidRPr="009A0216">
        <w:rPr>
          <w:rStyle w:val="fontepargpadro-000013"/>
          <w:rFonts w:ascii="Open Sans" w:hAnsi="Open Sans" w:cs="Open Sans"/>
          <w:iCs/>
          <w:color w:val="000000"/>
          <w:sz w:val="24"/>
          <w:szCs w:val="24"/>
        </w:rPr>
        <w:t>É constitucional a previsão legal de presunção de vínculo entre a incapacidade do segurado e suas atividades profissionais quando constatada pela Previdência Social a presença do nexo técnico epidemiológico entre o trabalho e o agravo,</w:t>
      </w:r>
      <w:r w:rsidRPr="009A0216">
        <w:rPr>
          <w:rStyle w:val="fontepargpadro-000009"/>
          <w:rFonts w:ascii="Open Sans" w:hAnsi="Open Sans" w:cs="Open Sans"/>
          <w:iCs/>
          <w:color w:val="000000"/>
          <w:sz w:val="24"/>
          <w:szCs w:val="24"/>
        </w:rPr>
        <w:t xml:space="preserve"> podendo ser elidida pela perícia médica do Instituto Nacional do Seguro Social se demonstrada </w:t>
      </w:r>
      <w:proofErr w:type="gramStart"/>
      <w:r w:rsidRPr="009A0216">
        <w:rPr>
          <w:rStyle w:val="fontepargpadro-000009"/>
          <w:rFonts w:ascii="Open Sans" w:hAnsi="Open Sans" w:cs="Open Sans"/>
          <w:iCs/>
          <w:color w:val="000000"/>
          <w:sz w:val="24"/>
          <w:szCs w:val="24"/>
        </w:rPr>
        <w:t>a</w:t>
      </w:r>
      <w:proofErr w:type="gramEnd"/>
      <w:r w:rsidRPr="009A0216">
        <w:rPr>
          <w:rStyle w:val="fontepargpadro-000009"/>
          <w:rFonts w:ascii="Open Sans" w:hAnsi="Open Sans" w:cs="Open Sans"/>
          <w:iCs/>
          <w:color w:val="000000"/>
          <w:sz w:val="24"/>
          <w:szCs w:val="24"/>
        </w:rPr>
        <w:t xml:space="preserve"> inexistência. </w:t>
      </w:r>
      <w:r w:rsidRPr="009A0216">
        <w:rPr>
          <w:rStyle w:val="fontepargpadro-000012"/>
          <w:rFonts w:ascii="Open Sans" w:hAnsi="Open Sans" w:cs="Open Sans"/>
          <w:bCs/>
          <w:iCs/>
          <w:color w:val="000000"/>
          <w:sz w:val="24"/>
          <w:szCs w:val="24"/>
        </w:rPr>
        <w:t xml:space="preserve">2. </w:t>
      </w:r>
      <w:r w:rsidRPr="009A0216">
        <w:rPr>
          <w:rStyle w:val="fontepargpadro-000009"/>
          <w:rFonts w:ascii="Open Sans" w:hAnsi="Open Sans" w:cs="Open Sans"/>
          <w:iCs/>
          <w:color w:val="000000"/>
          <w:sz w:val="24"/>
          <w:szCs w:val="24"/>
        </w:rPr>
        <w:t>Ação direta de inconstitucionalidade julgada improcedente</w:t>
      </w:r>
      <w:r>
        <w:rPr>
          <w:rStyle w:val="fontepargpadro-000008"/>
          <w:rFonts w:ascii="Open Sans" w:hAnsi="Open Sans" w:cs="Open Sans"/>
          <w:sz w:val="24"/>
          <w:szCs w:val="24"/>
        </w:rPr>
        <w:t>’</w:t>
      </w:r>
      <w:r w:rsidRPr="00A0413E">
        <w:rPr>
          <w:rStyle w:val="fontepargpadro-000008"/>
          <w:rFonts w:ascii="Open Sans" w:hAnsi="Open Sans" w:cs="Open Sans"/>
          <w:sz w:val="24"/>
          <w:szCs w:val="24"/>
        </w:rPr>
        <w:t xml:space="preserve"> </w:t>
      </w:r>
      <w:r w:rsidRPr="00A0413E">
        <w:rPr>
          <w:rStyle w:val="fontepargpadro0"/>
          <w:rFonts w:ascii="Open Sans" w:hAnsi="Open Sans" w:cs="Open Sans"/>
          <w:bCs/>
          <w:sz w:val="24"/>
          <w:szCs w:val="24"/>
        </w:rPr>
        <w:t xml:space="preserve">(Ação Direta de Inconstitucionalidade 3.931 - Distrito Federal. Plenário. Relatora: Min. </w:t>
      </w:r>
      <w:proofErr w:type="spellStart"/>
      <w:r w:rsidRPr="00A0413E">
        <w:rPr>
          <w:rStyle w:val="fontepargpadro0"/>
          <w:rFonts w:ascii="Open Sans" w:hAnsi="Open Sans" w:cs="Open Sans"/>
          <w:bCs/>
          <w:sz w:val="24"/>
          <w:szCs w:val="24"/>
        </w:rPr>
        <w:t>Cármen</w:t>
      </w:r>
      <w:proofErr w:type="spellEnd"/>
      <w:r w:rsidRPr="00A0413E">
        <w:rPr>
          <w:rStyle w:val="fontepargpadro0"/>
          <w:rFonts w:ascii="Open Sans" w:hAnsi="Open Sans" w:cs="Open Sans"/>
          <w:bCs/>
          <w:sz w:val="24"/>
          <w:szCs w:val="24"/>
        </w:rPr>
        <w:t xml:space="preserve"> Lúcia. julgada em 20/04/2020). </w:t>
      </w:r>
      <w:r w:rsidRPr="00A0413E">
        <w:rPr>
          <w:rStyle w:val="fontepargpadro-000008"/>
          <w:rFonts w:ascii="Open Sans" w:hAnsi="Open Sans" w:cs="Open Sans"/>
          <w:sz w:val="24"/>
          <w:szCs w:val="24"/>
        </w:rPr>
        <w:t xml:space="preserve">Consoante se </w:t>
      </w:r>
      <w:proofErr w:type="gramStart"/>
      <w:r w:rsidRPr="00A0413E">
        <w:rPr>
          <w:rStyle w:val="fontepargpadro-000008"/>
          <w:rFonts w:ascii="Open Sans" w:hAnsi="Open Sans" w:cs="Open Sans"/>
          <w:sz w:val="24"/>
          <w:szCs w:val="24"/>
        </w:rPr>
        <w:t>extrai,</w:t>
      </w:r>
      <w:proofErr w:type="gramEnd"/>
      <w:r w:rsidRPr="00A0413E">
        <w:rPr>
          <w:rStyle w:val="fontepargpadro-000008"/>
          <w:rFonts w:ascii="Open Sans" w:hAnsi="Open Sans" w:cs="Open Sans"/>
          <w:sz w:val="24"/>
          <w:szCs w:val="24"/>
        </w:rPr>
        <w:t xml:space="preserve"> tais normas que foram objeto da referida ADI nº 3931/DF evidenciam a relevância do Nexo Técnico Epidemiológico </w:t>
      </w:r>
      <w:r w:rsidRPr="00A0413E">
        <w:rPr>
          <w:rStyle w:val="fontepargpadro0"/>
          <w:rFonts w:ascii="Open Sans" w:hAnsi="Open Sans" w:cs="Open Sans"/>
          <w:bCs/>
          <w:sz w:val="24"/>
          <w:szCs w:val="24"/>
        </w:rPr>
        <w:t>como legítima presunção relativa para fins de caracterização de doença ocupacional</w:t>
      </w:r>
      <w:r w:rsidRPr="00A0413E">
        <w:rPr>
          <w:rStyle w:val="fontepargpadro-000008"/>
          <w:rFonts w:ascii="Open Sans" w:hAnsi="Open Sans" w:cs="Open Sans"/>
          <w:sz w:val="24"/>
          <w:szCs w:val="24"/>
        </w:rPr>
        <w:t xml:space="preserve">. </w:t>
      </w:r>
      <w:r w:rsidRPr="00A0413E">
        <w:rPr>
          <w:rStyle w:val="fontepargpadro-000007"/>
          <w:rFonts w:ascii="Open Sans" w:hAnsi="Open Sans" w:cs="Open Sans"/>
          <w:bCs/>
          <w:color w:val="000000"/>
          <w:sz w:val="24"/>
          <w:szCs w:val="24"/>
        </w:rPr>
        <w:t>Assim, conquanto referidos preceitos sejam voltados a nortear a atuação do INSS na realização de perícias, pode-se extrair que a mencionada decisão do STF também adquire impacto nos julgamentos realizados pela Justiça do Trabalho em sede de controvérsias afetas à infortunística do trabalho, como uma diretriz a ser sopesada em cada caso concreto – o que, inclusive, deve ser observado na hipótese vertente.</w:t>
      </w:r>
      <w:r w:rsidRPr="00A0413E">
        <w:rPr>
          <w:rStyle w:val="fontepargpadro-000008"/>
          <w:rFonts w:ascii="Open Sans" w:hAnsi="Open Sans" w:cs="Open Sans"/>
          <w:sz w:val="24"/>
          <w:szCs w:val="24"/>
        </w:rPr>
        <w:t xml:space="preserve"> Não se desconhece que o NTEP possui presunção relativa (</w:t>
      </w:r>
      <w:r w:rsidRPr="00A0413E">
        <w:rPr>
          <w:rStyle w:val="fontepargpadro-000009"/>
          <w:rFonts w:ascii="Open Sans" w:hAnsi="Open Sans" w:cs="Open Sans"/>
          <w:i/>
          <w:iCs/>
          <w:color w:val="000000"/>
          <w:sz w:val="24"/>
          <w:szCs w:val="24"/>
        </w:rPr>
        <w:t>juris tantum</w:t>
      </w:r>
      <w:r w:rsidRPr="00A0413E">
        <w:rPr>
          <w:rStyle w:val="fontepargpadro-000008"/>
          <w:rFonts w:ascii="Open Sans" w:hAnsi="Open Sans" w:cs="Open Sans"/>
          <w:sz w:val="24"/>
          <w:szCs w:val="24"/>
        </w:rPr>
        <w:t xml:space="preserve">), elidível pela produção de outras provas em sentido contrário (art. 21-A, § 1º, da Lei </w:t>
      </w:r>
      <w:r w:rsidRPr="00A0413E">
        <w:rPr>
          <w:rStyle w:val="fontepargpadro-000008"/>
          <w:rFonts w:ascii="Open Sans" w:hAnsi="Open Sans" w:cs="Open Sans"/>
          <w:sz w:val="24"/>
          <w:szCs w:val="24"/>
        </w:rPr>
        <w:lastRenderedPageBreak/>
        <w:t xml:space="preserve">8.213/1991), </w:t>
      </w:r>
      <w:r w:rsidRPr="00A0413E">
        <w:rPr>
          <w:rStyle w:val="fontepargpadro0"/>
          <w:rFonts w:ascii="Open Sans" w:hAnsi="Open Sans" w:cs="Open Sans"/>
          <w:bCs/>
          <w:sz w:val="24"/>
          <w:szCs w:val="24"/>
        </w:rPr>
        <w:t xml:space="preserve">entretanto, </w:t>
      </w:r>
      <w:proofErr w:type="gramStart"/>
      <w:r w:rsidRPr="00A0413E">
        <w:rPr>
          <w:rStyle w:val="fontepargpadro0"/>
          <w:rFonts w:ascii="Open Sans" w:hAnsi="Open Sans" w:cs="Open Sans"/>
          <w:bCs/>
          <w:sz w:val="24"/>
          <w:szCs w:val="24"/>
        </w:rPr>
        <w:t>entende-se</w:t>
      </w:r>
      <w:proofErr w:type="gramEnd"/>
      <w:r w:rsidRPr="00A0413E">
        <w:rPr>
          <w:rStyle w:val="fontepargpadro0"/>
          <w:rFonts w:ascii="Open Sans" w:hAnsi="Open Sans" w:cs="Open Sans"/>
          <w:bCs/>
          <w:sz w:val="24"/>
          <w:szCs w:val="24"/>
        </w:rPr>
        <w:t xml:space="preserve"> que, </w:t>
      </w:r>
      <w:r w:rsidRPr="00A0413E">
        <w:rPr>
          <w:rStyle w:val="fontepargpadro-000007"/>
          <w:rFonts w:ascii="Open Sans" w:hAnsi="Open Sans" w:cs="Open Sans"/>
          <w:bCs/>
          <w:color w:val="000000"/>
          <w:sz w:val="24"/>
          <w:szCs w:val="24"/>
        </w:rPr>
        <w:t>no presente caso, o NTEP restou confirmado, considerando-se as premissas constantes do acórdão regional</w:t>
      </w:r>
      <w:r w:rsidRPr="00A0413E">
        <w:rPr>
          <w:rStyle w:val="fontepargpadro-000008"/>
          <w:rFonts w:ascii="Open Sans" w:hAnsi="Open Sans" w:cs="Open Sans"/>
          <w:sz w:val="24"/>
          <w:szCs w:val="24"/>
        </w:rPr>
        <w:t xml:space="preserve">, </w:t>
      </w:r>
      <w:r w:rsidRPr="00A0413E">
        <w:rPr>
          <w:rStyle w:val="fontepargpadro-000007"/>
          <w:rFonts w:ascii="Open Sans" w:hAnsi="Open Sans" w:cs="Open Sans"/>
          <w:bCs/>
          <w:color w:val="000000"/>
          <w:sz w:val="24"/>
          <w:szCs w:val="24"/>
        </w:rPr>
        <w:t>especialmente as seguintes</w:t>
      </w:r>
      <w:r w:rsidRPr="00A0413E">
        <w:rPr>
          <w:rStyle w:val="fontepargpadro-000008"/>
          <w:rFonts w:ascii="Open Sans" w:hAnsi="Open Sans" w:cs="Open Sans"/>
          <w:sz w:val="24"/>
          <w:szCs w:val="24"/>
        </w:rPr>
        <w:t xml:space="preserve">: O Obreiro laborou para a Reclamada </w:t>
      </w:r>
      <w:r w:rsidRPr="00A0413E">
        <w:rPr>
          <w:rStyle w:val="fontepargpadro-000007"/>
          <w:rFonts w:ascii="Open Sans" w:hAnsi="Open Sans" w:cs="Open Sans"/>
          <w:bCs/>
          <w:color w:val="000000"/>
          <w:sz w:val="24"/>
          <w:szCs w:val="24"/>
        </w:rPr>
        <w:t>durante 32 anos (de 06/08/1979 a 08/08/2011)</w:t>
      </w:r>
      <w:r w:rsidRPr="00A0413E">
        <w:rPr>
          <w:rStyle w:val="fontepargpadro-000008"/>
          <w:rFonts w:ascii="Open Sans" w:hAnsi="Open Sans" w:cs="Open Sans"/>
          <w:sz w:val="24"/>
          <w:szCs w:val="24"/>
        </w:rPr>
        <w:t xml:space="preserve">; durante </w:t>
      </w:r>
      <w:r w:rsidRPr="00A0413E">
        <w:rPr>
          <w:rStyle w:val="fontepargpadro-000007"/>
          <w:rFonts w:ascii="Open Sans" w:hAnsi="Open Sans" w:cs="Open Sans"/>
          <w:bCs/>
          <w:color w:val="000000"/>
          <w:sz w:val="24"/>
          <w:szCs w:val="24"/>
        </w:rPr>
        <w:t>todo o pacto laboral</w:t>
      </w:r>
      <w:r w:rsidRPr="00A0413E">
        <w:rPr>
          <w:rStyle w:val="fontepargpadro-000008"/>
          <w:rFonts w:ascii="Open Sans" w:hAnsi="Open Sans" w:cs="Open Sans"/>
          <w:sz w:val="24"/>
          <w:szCs w:val="24"/>
        </w:rPr>
        <w:t xml:space="preserve">, no exercício de suas atividades na Reclamada, o Obreiro </w:t>
      </w:r>
      <w:r w:rsidRPr="00A0413E">
        <w:rPr>
          <w:rStyle w:val="fontepargpadro-000007"/>
          <w:rFonts w:ascii="Open Sans" w:hAnsi="Open Sans" w:cs="Open Sans"/>
          <w:bCs/>
          <w:color w:val="000000"/>
          <w:sz w:val="24"/>
          <w:szCs w:val="24"/>
        </w:rPr>
        <w:t>foi exposto de forma direta e contínua ao amianto</w:t>
      </w:r>
      <w:r w:rsidRPr="00A0413E">
        <w:rPr>
          <w:rStyle w:val="fontepargpadro-000008"/>
          <w:rFonts w:ascii="Open Sans" w:hAnsi="Open Sans" w:cs="Open Sans"/>
          <w:sz w:val="24"/>
          <w:szCs w:val="24"/>
        </w:rPr>
        <w:t xml:space="preserve">; após o seu desligamento da Empresa (por volta de 2015), o Obreiro </w:t>
      </w:r>
      <w:r w:rsidRPr="00A0413E">
        <w:rPr>
          <w:rStyle w:val="fontepargpadro-000007"/>
          <w:rFonts w:ascii="Open Sans" w:hAnsi="Open Sans" w:cs="Open Sans"/>
          <w:bCs/>
          <w:color w:val="000000"/>
          <w:sz w:val="24"/>
          <w:szCs w:val="24"/>
        </w:rPr>
        <w:t>foi diagnosticado com neoplasia maligna - carcinoma de nasofaringe</w:t>
      </w:r>
      <w:r w:rsidRPr="00A0413E">
        <w:rPr>
          <w:rStyle w:val="fontepargpadro-000008"/>
          <w:rFonts w:ascii="Open Sans" w:hAnsi="Open Sans" w:cs="Open Sans"/>
          <w:sz w:val="24"/>
          <w:szCs w:val="24"/>
        </w:rPr>
        <w:t xml:space="preserve">; segundo o TRT, </w:t>
      </w:r>
      <w:r w:rsidRPr="00A0413E">
        <w:rPr>
          <w:rStyle w:val="fontepargpadro-000007"/>
          <w:rFonts w:ascii="Open Sans" w:hAnsi="Open Sans" w:cs="Open Sans"/>
          <w:bCs/>
          <w:color w:val="000000"/>
          <w:sz w:val="24"/>
          <w:szCs w:val="24"/>
        </w:rPr>
        <w:t>o próprio perito afirmou que existe chance em potencial do amianto ser o fator causador da neoplasia no Empregado</w:t>
      </w:r>
      <w:r w:rsidRPr="00A0413E">
        <w:rPr>
          <w:rStyle w:val="fontepargpadro-000008"/>
          <w:rFonts w:ascii="Open Sans" w:hAnsi="Open Sans" w:cs="Open Sans"/>
          <w:sz w:val="24"/>
          <w:szCs w:val="24"/>
        </w:rPr>
        <w:t xml:space="preserve">; o perito afirmou que a neoplasia de nasofaringe </w:t>
      </w:r>
      <w:r w:rsidRPr="00A0413E">
        <w:rPr>
          <w:rStyle w:val="fontepargpadro0"/>
          <w:rFonts w:ascii="Open Sans" w:hAnsi="Open Sans" w:cs="Open Sans"/>
          <w:bCs/>
          <w:sz w:val="24"/>
          <w:szCs w:val="24"/>
        </w:rPr>
        <w:t>tem origem em outras causas não relacionadas diretamente com o amianto</w:t>
      </w:r>
      <w:r w:rsidRPr="00A0413E">
        <w:rPr>
          <w:rStyle w:val="fontepargpadro-000008"/>
          <w:rFonts w:ascii="Open Sans" w:hAnsi="Open Sans" w:cs="Open Sans"/>
          <w:sz w:val="24"/>
          <w:szCs w:val="24"/>
        </w:rPr>
        <w:t xml:space="preserve">, entre elas o tabagismo e alcoolismo, determinados vírus, alimentação e predisposição genética, não relacionadas diretamente com o amianto, </w:t>
      </w:r>
      <w:r w:rsidRPr="00A0413E">
        <w:rPr>
          <w:rStyle w:val="fontepargpadro0"/>
          <w:rFonts w:ascii="Open Sans" w:hAnsi="Open Sans" w:cs="Open Sans"/>
          <w:bCs/>
          <w:sz w:val="24"/>
          <w:szCs w:val="24"/>
        </w:rPr>
        <w:t xml:space="preserve">entretanto, </w:t>
      </w:r>
      <w:r w:rsidRPr="00A0413E">
        <w:rPr>
          <w:rStyle w:val="fontepargpadro-000007"/>
          <w:rFonts w:ascii="Open Sans" w:hAnsi="Open Sans" w:cs="Open Sans"/>
          <w:bCs/>
          <w:color w:val="000000"/>
          <w:sz w:val="24"/>
          <w:szCs w:val="24"/>
        </w:rPr>
        <w:t>não indicou nenhuma dessas causas como fator de adoecimento do Obreiro</w:t>
      </w:r>
      <w:r w:rsidRPr="00A0413E">
        <w:rPr>
          <w:rStyle w:val="fontepargpadro-000008"/>
          <w:rFonts w:ascii="Open Sans" w:hAnsi="Open Sans" w:cs="Open Sans"/>
          <w:sz w:val="24"/>
          <w:szCs w:val="24"/>
        </w:rPr>
        <w:t xml:space="preserve">. Ademais, enfatize-se que se extrai de premissas constantes no acórdão recorrido que </w:t>
      </w:r>
      <w:r w:rsidRPr="00A0413E">
        <w:rPr>
          <w:rStyle w:val="fontepargpadro-000007"/>
          <w:rFonts w:ascii="Open Sans" w:hAnsi="Open Sans" w:cs="Open Sans"/>
          <w:bCs/>
          <w:color w:val="000000"/>
          <w:sz w:val="24"/>
          <w:szCs w:val="24"/>
        </w:rPr>
        <w:t>o Obreiro não tem histórico de tabagismo e nem de alcoolismo</w:t>
      </w:r>
      <w:r w:rsidRPr="00A0413E">
        <w:rPr>
          <w:rStyle w:val="fontepargpadro-000008"/>
          <w:rFonts w:ascii="Open Sans" w:hAnsi="Open Sans" w:cs="Open Sans"/>
          <w:sz w:val="24"/>
          <w:szCs w:val="24"/>
        </w:rPr>
        <w:t xml:space="preserve">. Conforme já esclarecido, a Corte de origem concluiu ser óbice à declaração de responsabilidade civil da Empregadora pelo adoecimento do Obreiro a ausência de nexo causal ou </w:t>
      </w:r>
      <w:proofErr w:type="spellStart"/>
      <w:r w:rsidRPr="00A0413E">
        <w:rPr>
          <w:rStyle w:val="fontepargpadro-000008"/>
          <w:rFonts w:ascii="Open Sans" w:hAnsi="Open Sans" w:cs="Open Sans"/>
          <w:sz w:val="24"/>
          <w:szCs w:val="24"/>
        </w:rPr>
        <w:t>concausal</w:t>
      </w:r>
      <w:proofErr w:type="spellEnd"/>
      <w:r w:rsidRPr="00A0413E">
        <w:rPr>
          <w:rStyle w:val="fontepargpadro-000008"/>
          <w:rFonts w:ascii="Open Sans" w:hAnsi="Open Sans" w:cs="Open Sans"/>
          <w:sz w:val="24"/>
          <w:szCs w:val="24"/>
        </w:rPr>
        <w:t xml:space="preserve">, </w:t>
      </w:r>
      <w:r w:rsidRPr="00A0413E">
        <w:rPr>
          <w:rStyle w:val="fontepargpadro0"/>
          <w:rFonts w:ascii="Open Sans" w:hAnsi="Open Sans" w:cs="Open Sans"/>
          <w:bCs/>
          <w:sz w:val="24"/>
          <w:szCs w:val="24"/>
        </w:rPr>
        <w:t>entretanto</w:t>
      </w:r>
      <w:r w:rsidRPr="00A0413E">
        <w:rPr>
          <w:rStyle w:val="fontepargpadro-000008"/>
          <w:rFonts w:ascii="Open Sans" w:hAnsi="Open Sans" w:cs="Open Sans"/>
          <w:sz w:val="24"/>
          <w:szCs w:val="24"/>
        </w:rPr>
        <w:t xml:space="preserve">, ante as premissas registradas no acórdão recorrido, é possível chegar à conclusão diversa – no sentido da existência de nexo causal entre as atividades realizadas na Reclamada e o adoecimento do Empregado, mormente considerando-se a existência de nexo técnico-epidemiológico entre a exposição ao amianto e a patologia desenvolvida pelo Trabalhador, bem como </w:t>
      </w:r>
      <w:r w:rsidRPr="00A0413E">
        <w:rPr>
          <w:rStyle w:val="fontepargpadro0"/>
          <w:rFonts w:ascii="Open Sans" w:hAnsi="Open Sans" w:cs="Open Sans"/>
          <w:bCs/>
          <w:sz w:val="24"/>
          <w:szCs w:val="24"/>
        </w:rPr>
        <w:t>o longo período de duração do contrato de trabalho – 32 anos, exposto ao amianto</w:t>
      </w:r>
      <w:r w:rsidRPr="00A0413E">
        <w:rPr>
          <w:rStyle w:val="fontepargpadro-000008"/>
          <w:rFonts w:ascii="Open Sans" w:hAnsi="Open Sans" w:cs="Open Sans"/>
          <w:sz w:val="24"/>
          <w:szCs w:val="24"/>
        </w:rPr>
        <w:t xml:space="preserve">. </w:t>
      </w:r>
      <w:r w:rsidRPr="00A0413E">
        <w:rPr>
          <w:rStyle w:val="fontepargpadro-000007"/>
          <w:rFonts w:ascii="Open Sans" w:hAnsi="Open Sans" w:cs="Open Sans"/>
          <w:bCs/>
          <w:color w:val="000000"/>
          <w:sz w:val="24"/>
          <w:szCs w:val="24"/>
        </w:rPr>
        <w:t>Por outro lado</w:t>
      </w:r>
      <w:r w:rsidRPr="00A0413E">
        <w:rPr>
          <w:rStyle w:val="fontepargpadro-000008"/>
          <w:rFonts w:ascii="Open Sans" w:hAnsi="Open Sans" w:cs="Open Sans"/>
          <w:sz w:val="24"/>
          <w:szCs w:val="24"/>
        </w:rPr>
        <w:t xml:space="preserve">, o fato de o Autor realizar suas atividades em contato direto e contínuo com amianto – substância altamente nociva para a saúde -, demonstra que a atividade realizada pela empresa implica, por sua natureza, risco para os direitos do empregado, </w:t>
      </w:r>
      <w:r w:rsidRPr="00A0413E">
        <w:rPr>
          <w:rStyle w:val="fontepargpadro-000007"/>
          <w:rFonts w:ascii="Open Sans" w:hAnsi="Open Sans" w:cs="Open Sans"/>
          <w:bCs/>
          <w:color w:val="000000"/>
          <w:sz w:val="24"/>
          <w:szCs w:val="24"/>
        </w:rPr>
        <w:t>o que enseja o reconhecimento da responsabilidade objetiva</w:t>
      </w:r>
      <w:r w:rsidRPr="00A0413E">
        <w:rPr>
          <w:rStyle w:val="fontepargpadro-000008"/>
          <w:rFonts w:ascii="Open Sans" w:hAnsi="Open Sans" w:cs="Open Sans"/>
          <w:sz w:val="24"/>
          <w:szCs w:val="24"/>
        </w:rPr>
        <w:t xml:space="preserve">. </w:t>
      </w:r>
      <w:r w:rsidRPr="00A0413E">
        <w:rPr>
          <w:rStyle w:val="fontepargpadro-000005"/>
          <w:rFonts w:ascii="Open Sans" w:hAnsi="Open Sans" w:cs="Open Sans"/>
          <w:color w:val="000000"/>
          <w:sz w:val="24"/>
          <w:szCs w:val="24"/>
        </w:rPr>
        <w:t xml:space="preserve">Esta Corte Superior reconhece ser possível a aplicação da responsabilidade objetiva em hipóteses como a dos autos, ante o risco acentuado a que estava exposto o Reclamante, já que a atividade econômica que expõe os trabalhadores ao contato direto o amianto (asbestos) apresenta um risco notoriamente maior de contaminação e de desenvolvimento de neoplasias malignas, inclusive a que acometeu o Obreiro. </w:t>
      </w:r>
      <w:r w:rsidRPr="00A0413E">
        <w:rPr>
          <w:rStyle w:val="fontepargpadro-000008"/>
          <w:rFonts w:ascii="Open Sans" w:hAnsi="Open Sans" w:cs="Open Sans"/>
          <w:sz w:val="24"/>
          <w:szCs w:val="24"/>
        </w:rPr>
        <w:t xml:space="preserve">Releva agregar a decisão proferida pelo Supremo Tribunal Federal, em 12/03/2020, </w:t>
      </w:r>
      <w:r w:rsidRPr="00A0413E">
        <w:rPr>
          <w:rStyle w:val="fontepargpadro-000010"/>
          <w:rFonts w:ascii="Open Sans" w:hAnsi="Open Sans" w:cs="Open Sans"/>
          <w:color w:val="000000"/>
          <w:sz w:val="24"/>
          <w:szCs w:val="24"/>
        </w:rPr>
        <w:t>em sede de repercussão geral</w:t>
      </w:r>
      <w:r w:rsidRPr="00A0413E">
        <w:rPr>
          <w:rStyle w:val="fontepargpadro-000008"/>
          <w:rFonts w:ascii="Open Sans" w:hAnsi="Open Sans" w:cs="Open Sans"/>
          <w:sz w:val="24"/>
          <w:szCs w:val="24"/>
        </w:rPr>
        <w:t xml:space="preserve">, sob a Relatoria do Ministro Alexandre de Moraes, no julgamento do Recurso Extraordinário nº RE 828.040, no sentido de reconhecer a constitucionalidade (art. 7º, XXVIII, da Lei Maior) da responsabilização civil objetiva do empregador, no caso de acidente de trabalho, nos moldes previstos no art. 927, parágrafo único, do Código Civil – pontuando-se que a respectiva ata de julgamento foi publicada no DJE em 20/03/2020. Nesse sentido, faz-se pertinente transcrever a seguinte tese que se extraiu do site do Supremo Tribunal Federal (em 16/04/2020): </w:t>
      </w:r>
      <w:r>
        <w:rPr>
          <w:rStyle w:val="fontepargpadro-000008"/>
          <w:rFonts w:ascii="Open Sans" w:hAnsi="Open Sans" w:cs="Open Sans"/>
          <w:sz w:val="24"/>
          <w:szCs w:val="24"/>
        </w:rPr>
        <w:t>‘</w:t>
      </w:r>
      <w:r w:rsidRPr="009A0216">
        <w:rPr>
          <w:rStyle w:val="fontepargpadro-000009"/>
          <w:rFonts w:ascii="Open Sans" w:hAnsi="Open Sans" w:cs="Open Sans"/>
          <w:iCs/>
          <w:color w:val="000000"/>
          <w:sz w:val="24"/>
          <w:szCs w:val="24"/>
        </w:rPr>
        <w:t xml:space="preserve">O Tribunal, por maioria, fixou a seguinte tese de repercussão geral: </w:t>
      </w:r>
      <w:r>
        <w:rPr>
          <w:rStyle w:val="fontepargpadro-000009"/>
          <w:rFonts w:ascii="Open Sans" w:hAnsi="Open Sans" w:cs="Open Sans"/>
          <w:iCs/>
          <w:color w:val="000000"/>
          <w:sz w:val="24"/>
          <w:szCs w:val="24"/>
        </w:rPr>
        <w:t>‘</w:t>
      </w:r>
      <w:r w:rsidRPr="009A0216">
        <w:rPr>
          <w:rStyle w:val="fontepargpadro-000009"/>
          <w:rFonts w:ascii="Open Sans" w:hAnsi="Open Sans" w:cs="Open Sans"/>
          <w:iCs/>
          <w:color w:val="000000"/>
          <w:sz w:val="24"/>
          <w:szCs w:val="24"/>
        </w:rPr>
        <w:t>O artigo 927, parágrafo único, do Código Civil é compatível com o artigo 7º, XXVIII, da Constituição Federal, sendo constitucional a responsabilização objetiva do empregador por danos decorrentes de acidentes de trabalho, nos casos especificados em lei, ou quando a atividade normalmente desenvolvida, por sua natureza, apresentar exposição habitual a risco especial, com potencialidade lesiva e implicar ao trabalhador ônus maior do que aos demais membros da coletividade</w:t>
      </w:r>
      <w:r>
        <w:rPr>
          <w:rStyle w:val="fontepargpadro-000009"/>
          <w:rFonts w:ascii="Open Sans" w:hAnsi="Open Sans" w:cs="Open Sans"/>
          <w:i/>
          <w:iCs/>
          <w:color w:val="000000"/>
          <w:sz w:val="24"/>
          <w:szCs w:val="24"/>
        </w:rPr>
        <w:t>’</w:t>
      </w:r>
      <w:r w:rsidRPr="00A0413E">
        <w:rPr>
          <w:rStyle w:val="fontepargpadro-000009"/>
          <w:rFonts w:ascii="Open Sans" w:hAnsi="Open Sans" w:cs="Open Sans"/>
          <w:i/>
          <w:iCs/>
          <w:color w:val="000000"/>
          <w:sz w:val="24"/>
          <w:szCs w:val="24"/>
        </w:rPr>
        <w:t xml:space="preserve">, </w:t>
      </w:r>
      <w:r w:rsidRPr="009A0216">
        <w:rPr>
          <w:rStyle w:val="fontepargpadro-000009"/>
          <w:rFonts w:ascii="Open Sans" w:hAnsi="Open Sans" w:cs="Open Sans"/>
          <w:iCs/>
          <w:color w:val="000000"/>
          <w:sz w:val="24"/>
          <w:szCs w:val="24"/>
        </w:rPr>
        <w:t xml:space="preserve">nos termos do </w:t>
      </w:r>
      <w:r w:rsidRPr="009A0216">
        <w:rPr>
          <w:rStyle w:val="fontepargpadro-000009"/>
          <w:rFonts w:ascii="Open Sans" w:hAnsi="Open Sans" w:cs="Open Sans"/>
          <w:iCs/>
          <w:color w:val="000000"/>
          <w:sz w:val="24"/>
          <w:szCs w:val="24"/>
        </w:rPr>
        <w:lastRenderedPageBreak/>
        <w:t>voto do Ministro Alexandre de Moraes (Relator)</w:t>
      </w:r>
      <w:r>
        <w:rPr>
          <w:rStyle w:val="fontepargpadro-000009"/>
          <w:rFonts w:ascii="Open Sans" w:hAnsi="Open Sans" w:cs="Open Sans"/>
          <w:iCs/>
          <w:color w:val="000000"/>
          <w:sz w:val="24"/>
          <w:szCs w:val="24"/>
        </w:rPr>
        <w:t>’</w:t>
      </w:r>
      <w:r w:rsidRPr="009A0216">
        <w:rPr>
          <w:rStyle w:val="fontepargpadro-000009"/>
          <w:rFonts w:ascii="Open Sans" w:hAnsi="Open Sans" w:cs="Open Sans"/>
          <w:iCs/>
          <w:color w:val="000000"/>
          <w:sz w:val="24"/>
          <w:szCs w:val="24"/>
        </w:rPr>
        <w:t>.</w:t>
      </w:r>
      <w:r w:rsidRPr="00A0413E">
        <w:rPr>
          <w:rStyle w:val="fontepargpadro-000009"/>
          <w:rFonts w:ascii="Open Sans" w:hAnsi="Open Sans" w:cs="Open Sans"/>
          <w:i/>
          <w:iCs/>
          <w:color w:val="000000"/>
          <w:sz w:val="24"/>
          <w:szCs w:val="24"/>
        </w:rPr>
        <w:t xml:space="preserve"> </w:t>
      </w:r>
      <w:r w:rsidRPr="00A0413E">
        <w:rPr>
          <w:rStyle w:val="fontepargpadro-000008"/>
          <w:rFonts w:ascii="Open Sans" w:hAnsi="Open Sans" w:cs="Open Sans"/>
          <w:sz w:val="24"/>
          <w:szCs w:val="24"/>
        </w:rPr>
        <w:t xml:space="preserve">Presentes o dano, o nexo causal e a reponsabilidade objetiva, há o dever de indenizar a Parte Autora. </w:t>
      </w:r>
      <w:proofErr w:type="gramStart"/>
      <w:r w:rsidRPr="00A0413E">
        <w:rPr>
          <w:rStyle w:val="fontepargpadro0"/>
          <w:rFonts w:ascii="Open Sans" w:hAnsi="Open Sans" w:cs="Open Sans"/>
          <w:bCs/>
          <w:sz w:val="24"/>
          <w:szCs w:val="24"/>
        </w:rPr>
        <w:t>Recurso de revista conhecido e provido no tema.</w:t>
      </w:r>
      <w:r w:rsidRPr="00A0413E">
        <w:rPr>
          <w:rFonts w:ascii="Open Sans" w:hAnsi="Open Sans" w:cs="Open Sans"/>
          <w:sz w:val="24"/>
          <w:szCs w:val="24"/>
        </w:rPr>
        <w:t>”</w:t>
      </w:r>
      <w:proofErr w:type="gramEnd"/>
      <w:r w:rsidRPr="00A0413E">
        <w:rPr>
          <w:rFonts w:ascii="Open Sans" w:hAnsi="Open Sans" w:cs="Open Sans"/>
          <w:sz w:val="24"/>
          <w:szCs w:val="24"/>
        </w:rPr>
        <w:t xml:space="preserve"> (</w:t>
      </w:r>
      <w:hyperlink r:id="rId16" w:history="1">
        <w:r w:rsidRPr="00A0413E">
          <w:rPr>
            <w:rStyle w:val="Hyperlink"/>
            <w:rFonts w:ascii="Open Sans" w:hAnsi="Open Sans" w:cs="Open Sans"/>
            <w:sz w:val="24"/>
            <w:szCs w:val="24"/>
          </w:rPr>
          <w:t>TST-RRAg-11692-89.2017.5.03.0034, 3ª Turma, rel. Min. Mauricio Godinho Delgado</w:t>
        </w:r>
        <w:r w:rsidRPr="00A0413E">
          <w:rPr>
            <w:rStyle w:val="Hyperlink"/>
            <w:rFonts w:ascii="Open Sans" w:hAnsi="Open Sans" w:cs="Open Sans"/>
            <w:bCs/>
            <w:sz w:val="24"/>
            <w:szCs w:val="24"/>
          </w:rPr>
          <w:t>, julgado em 31/5/2023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w:t>
      </w:r>
      <w:proofErr w:type="gramStart"/>
      <w:r w:rsidRPr="00A0413E">
        <w:rPr>
          <w:rFonts w:ascii="Open Sans" w:hAnsi="Open Sans" w:cs="Open Sans"/>
          <w:sz w:val="24"/>
          <w:szCs w:val="24"/>
        </w:rPr>
        <w:t xml:space="preserve">...] </w:t>
      </w:r>
      <w:r w:rsidRPr="00A0413E">
        <w:rPr>
          <w:rFonts w:ascii="Open Sans" w:hAnsi="Open Sans" w:cs="Open Sans"/>
          <w:bCs/>
          <w:color w:val="000000"/>
          <w:sz w:val="24"/>
          <w:szCs w:val="24"/>
        </w:rPr>
        <w:t>B)</w:t>
      </w:r>
      <w:proofErr w:type="gramEnd"/>
      <w:r w:rsidRPr="00A0413E">
        <w:rPr>
          <w:rFonts w:ascii="Open Sans" w:hAnsi="Open Sans" w:cs="Open Sans"/>
          <w:bCs/>
          <w:color w:val="000000"/>
          <w:sz w:val="24"/>
          <w:szCs w:val="24"/>
        </w:rPr>
        <w:t xml:space="preserve"> RECURSO DE REVISTA. PROCESSO SOB A ÉGIDE DA LEI 13.015/2014 E ANTERIOR À LEI 13.467/2017. ACIDENTE DO TRABALHO. MOTOCICLISTA. ATIVIDADE DE RISCO. RESPONSABILIDADE CIVIL OBJETIVA DA EMPREGADORA.</w:t>
      </w:r>
      <w:r w:rsidRPr="00A0413E">
        <w:rPr>
          <w:rFonts w:ascii="Open Sans" w:hAnsi="Open Sans" w:cs="Open Sans"/>
          <w:b/>
          <w:bCs/>
          <w:color w:val="000000"/>
          <w:sz w:val="24"/>
          <w:szCs w:val="24"/>
        </w:rPr>
        <w:t xml:space="preserve"> </w:t>
      </w:r>
      <w:r w:rsidRPr="00A0413E">
        <w:rPr>
          <w:rFonts w:ascii="Open Sans" w:hAnsi="Open Sans" w:cs="Open Sans"/>
          <w:bCs/>
          <w:color w:val="000000"/>
          <w:sz w:val="24"/>
          <w:szCs w:val="24"/>
        </w:rPr>
        <w:t>O pleito de indenização por dano moral e material resultante de acidente do trabalho e/ou doença profissional ou ocupacional supõe a presença de três requisitos: a) ocorrência do fato deflagrador do dano ou do próprio dano, que se constata pelo fato da doença ou do acidente, os quais, por si sós, agridem o patrimônio moral e emocional da pessoa trabalhadora (nesse sentido, o dano moral, em tais casos, verifica-se pela própria circunstância da ocorrência do malefício físico ou psíquico); b) nexo causal, que se evidencia pelo fato de o malefício ter ocorrido em face das condições laborativas; c) culpa empresarial. Embora não se possa presumir a culpa em diversos casos de dano moral - em que a culpa tem de ser provada pelo autor da ação -, tratando-se de doença ocupacional, profissional ou de acidente do trabalho, essa culpa é presumida, em virtude de o empregador ter o controle e a direção sobre a estrutura, a dinâmica, a gestão e a operação do estabelecimento em que ocorreu o malefício. Pontue-se que tanto a higidez física como a mental, inclusive emocional, do ser humano são bens fundamentais de sua vida, privada e pública, de sua intimidade, de sua autoestima e afirmação social e, nesta medida, também de sua honra. São bens, portanto, inquestionavelmente tutelados, regra geral, pela Constituição (art. 5º, V e X). Agredidos em face de circunstâncias laborativas, passam a merecer tutela ainda mais forte e específica da Carta Magna, que se agrega à genérica anterior (art. 7º, XXVIII, CF/88). A regra geral do ordenamento jurídico, no tocante à responsabilidade civil do autor do dano, mantém-se com a noção da responsabilidade subjetiva (</w:t>
      </w:r>
      <w:proofErr w:type="spellStart"/>
      <w:r w:rsidRPr="00A0413E">
        <w:rPr>
          <w:rFonts w:ascii="Open Sans" w:hAnsi="Open Sans" w:cs="Open Sans"/>
          <w:bCs/>
          <w:color w:val="000000"/>
          <w:sz w:val="24"/>
          <w:szCs w:val="24"/>
        </w:rPr>
        <w:t>arts</w:t>
      </w:r>
      <w:proofErr w:type="spellEnd"/>
      <w:r w:rsidRPr="00A0413E">
        <w:rPr>
          <w:rFonts w:ascii="Open Sans" w:hAnsi="Open Sans" w:cs="Open Sans"/>
          <w:bCs/>
          <w:color w:val="000000"/>
          <w:sz w:val="24"/>
          <w:szCs w:val="24"/>
        </w:rPr>
        <w:t xml:space="preserve">. 186 e 927, </w:t>
      </w:r>
      <w:r w:rsidRPr="00A0413E">
        <w:rPr>
          <w:rFonts w:ascii="Open Sans" w:hAnsi="Open Sans" w:cs="Open Sans"/>
          <w:bCs/>
          <w:i/>
          <w:iCs/>
          <w:color w:val="000000"/>
          <w:sz w:val="24"/>
          <w:szCs w:val="24"/>
        </w:rPr>
        <w:t>caput</w:t>
      </w:r>
      <w:r w:rsidRPr="00A0413E">
        <w:rPr>
          <w:rFonts w:ascii="Open Sans" w:hAnsi="Open Sans" w:cs="Open Sans"/>
          <w:bCs/>
          <w:color w:val="000000"/>
          <w:sz w:val="24"/>
          <w:szCs w:val="24"/>
        </w:rPr>
        <w:t xml:space="preserve">, CC). Contudo, tratando-se de atividade empresarial, ou de dinâmica laborativa (independentemente da atividade </w:t>
      </w:r>
      <w:proofErr w:type="gramStart"/>
      <w:r w:rsidRPr="00A0413E">
        <w:rPr>
          <w:rFonts w:ascii="Open Sans" w:hAnsi="Open Sans" w:cs="Open Sans"/>
          <w:bCs/>
          <w:color w:val="000000"/>
          <w:sz w:val="24"/>
          <w:szCs w:val="24"/>
        </w:rPr>
        <w:t>da</w:t>
      </w:r>
      <w:proofErr w:type="gramEnd"/>
      <w:r w:rsidRPr="00A0413E">
        <w:rPr>
          <w:rFonts w:ascii="Open Sans" w:hAnsi="Open Sans" w:cs="Open Sans"/>
          <w:bCs/>
          <w:color w:val="000000"/>
          <w:sz w:val="24"/>
          <w:szCs w:val="24"/>
        </w:rPr>
        <w:t xml:space="preserve"> empresa), fixadoras de risco para os trabalhadores envolvidos, desponta a exceção ressaltada pelo parágrafo único do art. 927 do Código Civil, tornando objetiva a responsabilidade empresarial por danos acidentários (responsabilidade em face do risco). No caso concreto</w:t>
      </w:r>
      <w:r w:rsidRPr="00A0413E">
        <w:rPr>
          <w:rFonts w:ascii="Open Sans" w:hAnsi="Open Sans" w:cs="Open Sans"/>
          <w:bCs/>
          <w:color w:val="000000"/>
          <w:sz w:val="24"/>
          <w:szCs w:val="24"/>
          <w:u w:val="single"/>
        </w:rPr>
        <w:t>,</w:t>
      </w:r>
      <w:r w:rsidRPr="00A0413E">
        <w:rPr>
          <w:rFonts w:ascii="Open Sans" w:hAnsi="Open Sans" w:cs="Open Sans"/>
          <w:bCs/>
          <w:color w:val="000000"/>
          <w:sz w:val="24"/>
          <w:szCs w:val="24"/>
        </w:rPr>
        <w:t xml:space="preserve"> ficaram comprovados o dano (acidente de trânsito ocorrido em veículo da ré – motocicleta - durante o expediente do Obreiro) e o nexo de causalidade entre o acidente de trabalho e a atividade desenvolvida pelo empregado (inspetor que fazia </w:t>
      </w:r>
      <w:r>
        <w:rPr>
          <w:rFonts w:ascii="Open Sans" w:hAnsi="Open Sans" w:cs="Open Sans"/>
          <w:bCs/>
          <w:color w:val="000000"/>
          <w:sz w:val="24"/>
          <w:szCs w:val="24"/>
        </w:rPr>
        <w:t>‘</w:t>
      </w:r>
      <w:r w:rsidRPr="002B61DE">
        <w:rPr>
          <w:rFonts w:ascii="Open Sans" w:hAnsi="Open Sans" w:cs="Open Sans"/>
          <w:bCs/>
          <w:iCs/>
          <w:color w:val="000000"/>
          <w:sz w:val="24"/>
          <w:szCs w:val="24"/>
        </w:rPr>
        <w:t>ronda nos postos de trabalho</w:t>
      </w:r>
      <w:r w:rsidRPr="002B61DE">
        <w:rPr>
          <w:rFonts w:ascii="Open Sans" w:hAnsi="Open Sans" w:cs="Open Sans"/>
          <w:bCs/>
          <w:color w:val="000000"/>
          <w:sz w:val="24"/>
          <w:szCs w:val="24"/>
        </w:rPr>
        <w:t xml:space="preserve">’ </w:t>
      </w:r>
      <w:r w:rsidRPr="00A0413E">
        <w:rPr>
          <w:rFonts w:ascii="Open Sans" w:hAnsi="Open Sans" w:cs="Open Sans"/>
          <w:bCs/>
          <w:color w:val="000000"/>
          <w:sz w:val="24"/>
          <w:szCs w:val="24"/>
        </w:rPr>
        <w:t xml:space="preserve">em veículo da Reclamada). Nesse cenário, ao contrário do que sustentou a Corte de origem (fato de terceiro), a controvérsia deve ser examinada sob o enfoque da responsabilidade objetiva da empregadora, ante o risco acentuado a que estava exposto o Reclamante (art. 927, parágrafo único, do CC c/c art. 7º, </w:t>
      </w:r>
      <w:r w:rsidRPr="00A0413E">
        <w:rPr>
          <w:rFonts w:ascii="Open Sans" w:hAnsi="Open Sans" w:cs="Open Sans"/>
          <w:bCs/>
          <w:i/>
          <w:iCs/>
          <w:color w:val="000000"/>
          <w:sz w:val="24"/>
          <w:szCs w:val="24"/>
        </w:rPr>
        <w:t>caput</w:t>
      </w:r>
      <w:r w:rsidRPr="00A0413E">
        <w:rPr>
          <w:rFonts w:ascii="Open Sans" w:hAnsi="Open Sans" w:cs="Open Sans"/>
          <w:bCs/>
          <w:color w:val="000000"/>
          <w:sz w:val="24"/>
          <w:szCs w:val="24"/>
        </w:rPr>
        <w:t xml:space="preserve">, da CF). Não há dúvida de que a atividade desenvolvida por meio de motocicleta, com a anuência da empregadora, expõe o trabalhador a riscos mais acentuados do que aquele a que se submete a coletividade. No exercício de tais atividades, o empregado desloca-se de um ponto a outro pelas ruas da cidade, o que potencializa o risco de acidentes de trânsito. Esta Corte tem adotado o entendimento da responsabilidade objetiva pelo risco profissional em atividades similares, conforme julgados. Releva </w:t>
      </w:r>
      <w:r w:rsidRPr="00A0413E">
        <w:rPr>
          <w:rFonts w:ascii="Open Sans" w:hAnsi="Open Sans" w:cs="Open Sans"/>
          <w:bCs/>
          <w:color w:val="000000"/>
          <w:sz w:val="24"/>
          <w:szCs w:val="24"/>
        </w:rPr>
        <w:lastRenderedPageBreak/>
        <w:t xml:space="preserve">agregar a decisão proferida pelo Supremo Tribunal Federal, em 12/03/2020, em regime de repercussão geral, sob a Relatoria do Ministro Alexandre de Moraes, no julgamento do Recurso Extraordinário nº RE 828.040, no sentido de reconhecer a constitucionalidade (à luz do art. 7º, XXVIII, da Lei Maior) da responsabilização civil objetiva do empregador, no caso de acidente de trabalho, nos moldes previstos no art. 927, parágrafo único, do Código Civil – pontuando-se que o respectivo acórdão foi publicado em 26/06/2020. Sendo assim, uma vez constatados o dano, o nexo causal e a responsabilidade objetiva da Reclamada, há o dever de indenizar o Reclamante pelo acidente sofrido. </w:t>
      </w:r>
      <w:proofErr w:type="gramStart"/>
      <w:r w:rsidRPr="00A0413E">
        <w:rPr>
          <w:rFonts w:ascii="Open Sans" w:hAnsi="Open Sans" w:cs="Open Sans"/>
          <w:bCs/>
          <w:color w:val="000000"/>
          <w:sz w:val="24"/>
          <w:szCs w:val="24"/>
        </w:rPr>
        <w:t>Recurso de revista conhecido e provido.</w:t>
      </w:r>
      <w:r w:rsidRPr="00A0413E">
        <w:rPr>
          <w:rFonts w:ascii="Open Sans" w:hAnsi="Open Sans" w:cs="Open Sans"/>
          <w:sz w:val="24"/>
          <w:szCs w:val="24"/>
        </w:rPr>
        <w:t>”</w:t>
      </w:r>
      <w:proofErr w:type="gramEnd"/>
      <w:r w:rsidRPr="00A0413E">
        <w:rPr>
          <w:rFonts w:ascii="Open Sans" w:hAnsi="Open Sans" w:cs="Open Sans"/>
          <w:sz w:val="24"/>
          <w:szCs w:val="24"/>
        </w:rPr>
        <w:t xml:space="preserve"> (</w:t>
      </w:r>
      <w:hyperlink r:id="rId17" w:history="1">
        <w:r w:rsidRPr="00A0413E">
          <w:rPr>
            <w:rStyle w:val="Hyperlink"/>
            <w:rFonts w:ascii="Open Sans" w:hAnsi="Open Sans" w:cs="Open Sans"/>
            <w:sz w:val="24"/>
            <w:szCs w:val="24"/>
          </w:rPr>
          <w:t>TST-RRAg-1000925-96.2018.5.02.0444, 3ª Turma, rel. Min. Mauricio Godinho Delgado</w:t>
        </w:r>
        <w:r w:rsidRPr="00A0413E">
          <w:rPr>
            <w:rStyle w:val="Hyperlink"/>
            <w:rFonts w:ascii="Open Sans" w:hAnsi="Open Sans" w:cs="Open Sans"/>
            <w:bCs/>
            <w:sz w:val="24"/>
            <w:szCs w:val="24"/>
          </w:rPr>
          <w:t>, julgado em 31/5/2023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color w:val="000000"/>
          <w:sz w:val="24"/>
          <w:szCs w:val="24"/>
        </w:rPr>
      </w:pPr>
      <w:r w:rsidRPr="00A0413E">
        <w:rPr>
          <w:rFonts w:ascii="Open Sans" w:hAnsi="Open Sans" w:cs="Open Sans"/>
          <w:color w:val="000000"/>
          <w:sz w:val="24"/>
          <w:szCs w:val="24"/>
        </w:rPr>
        <w:t xml:space="preserve">“RECURSO DE REVISTA DO EXECUTADO INTERPOSTO SOB A ÉGIDE DA LEI Nº 13.467/2017 – EXECUÇÃO – CONDENAÇÃO DO RECLAMANTE/EXEQUENTE AO PAGAMENTO DE HONORÁRIOS ADVOCATÍCIOS DE SUCUMBÊNCIA – PARCELA NÃO INCLUÍDA EXPRESSAMENTE NO TÓPICO DENOMINADO </w:t>
      </w:r>
      <w:r>
        <w:rPr>
          <w:rFonts w:ascii="Open Sans" w:hAnsi="Open Sans" w:cs="Open Sans"/>
          <w:color w:val="000000"/>
          <w:sz w:val="24"/>
          <w:szCs w:val="24"/>
        </w:rPr>
        <w:t>‘</w:t>
      </w:r>
      <w:r w:rsidRPr="00A0413E">
        <w:rPr>
          <w:rFonts w:ascii="Open Sans" w:hAnsi="Open Sans" w:cs="Open Sans"/>
          <w:color w:val="000000"/>
          <w:sz w:val="24"/>
          <w:szCs w:val="24"/>
        </w:rPr>
        <w:t>DISPOSITIVO</w:t>
      </w:r>
      <w:r>
        <w:rPr>
          <w:rFonts w:ascii="Open Sans" w:hAnsi="Open Sans" w:cs="Open Sans"/>
          <w:color w:val="000000"/>
          <w:sz w:val="24"/>
          <w:szCs w:val="24"/>
        </w:rPr>
        <w:t>’</w:t>
      </w:r>
      <w:r w:rsidRPr="00A0413E">
        <w:rPr>
          <w:rFonts w:ascii="Open Sans" w:hAnsi="Open Sans" w:cs="Open Sans"/>
          <w:color w:val="000000"/>
          <w:sz w:val="24"/>
          <w:szCs w:val="24"/>
        </w:rPr>
        <w:t xml:space="preserve"> DA SENTENÇA EXEQUENDA – COISA JULGADA – INTERPRETAÇÃO SUBSTANCIALISTA – TRANSCENDÊNCIA POLÍTICA.</w:t>
      </w:r>
      <w:r w:rsidRPr="00A0413E">
        <w:rPr>
          <w:rFonts w:ascii="Open Sans" w:hAnsi="Open Sans" w:cs="Open Sans"/>
          <w:b/>
          <w:color w:val="000000"/>
          <w:sz w:val="24"/>
          <w:szCs w:val="24"/>
        </w:rPr>
        <w:t xml:space="preserve"> </w:t>
      </w:r>
      <w:proofErr w:type="gramStart"/>
      <w:r w:rsidRPr="00A0413E">
        <w:rPr>
          <w:rFonts w:ascii="Open Sans" w:hAnsi="Open Sans" w:cs="Open Sans"/>
          <w:color w:val="000000"/>
          <w:sz w:val="24"/>
          <w:szCs w:val="24"/>
        </w:rPr>
        <w:t>1</w:t>
      </w:r>
      <w:proofErr w:type="gramEnd"/>
      <w:r w:rsidRPr="00A0413E">
        <w:rPr>
          <w:rFonts w:ascii="Open Sans" w:hAnsi="Open Sans" w:cs="Open Sans"/>
          <w:color w:val="000000"/>
          <w:sz w:val="24"/>
          <w:szCs w:val="24"/>
        </w:rPr>
        <w:t xml:space="preserve">. Embora não conste especificamente do tópico da sentença denominado </w:t>
      </w:r>
      <w:r>
        <w:rPr>
          <w:rFonts w:ascii="Open Sans" w:hAnsi="Open Sans" w:cs="Open Sans"/>
          <w:color w:val="000000"/>
          <w:sz w:val="24"/>
          <w:szCs w:val="24"/>
        </w:rPr>
        <w:t>‘</w:t>
      </w:r>
      <w:r w:rsidRPr="00A0413E">
        <w:rPr>
          <w:rFonts w:ascii="Open Sans" w:hAnsi="Open Sans" w:cs="Open Sans"/>
          <w:color w:val="000000"/>
          <w:sz w:val="24"/>
          <w:szCs w:val="24"/>
        </w:rPr>
        <w:t>dispositivo</w:t>
      </w:r>
      <w:r>
        <w:rPr>
          <w:rFonts w:ascii="Open Sans" w:hAnsi="Open Sans" w:cs="Open Sans"/>
          <w:color w:val="000000"/>
          <w:sz w:val="24"/>
          <w:szCs w:val="24"/>
        </w:rPr>
        <w:t>’</w:t>
      </w:r>
      <w:r w:rsidRPr="00A0413E">
        <w:rPr>
          <w:rFonts w:ascii="Open Sans" w:hAnsi="Open Sans" w:cs="Open Sans"/>
          <w:color w:val="000000"/>
          <w:sz w:val="24"/>
          <w:szCs w:val="24"/>
        </w:rPr>
        <w:t xml:space="preserve">, a condenação do Reclamante/Exequente ao pagamento de honorários advocatícios de sucumbência consta expressamente do tópico anterior, denominado </w:t>
      </w:r>
      <w:r>
        <w:rPr>
          <w:rFonts w:ascii="Open Sans" w:hAnsi="Open Sans" w:cs="Open Sans"/>
          <w:color w:val="000000"/>
          <w:sz w:val="24"/>
          <w:szCs w:val="24"/>
        </w:rPr>
        <w:t>‘</w:t>
      </w:r>
      <w:r w:rsidRPr="00A0413E">
        <w:rPr>
          <w:rFonts w:ascii="Open Sans" w:hAnsi="Open Sans" w:cs="Open Sans"/>
          <w:color w:val="000000"/>
          <w:sz w:val="24"/>
          <w:szCs w:val="24"/>
        </w:rPr>
        <w:t>honorários advocatícios</w:t>
      </w:r>
      <w:r>
        <w:rPr>
          <w:rFonts w:ascii="Open Sans" w:hAnsi="Open Sans" w:cs="Open Sans"/>
          <w:color w:val="000000"/>
          <w:sz w:val="24"/>
          <w:szCs w:val="24"/>
        </w:rPr>
        <w:t>’</w:t>
      </w:r>
      <w:r w:rsidRPr="00A0413E">
        <w:rPr>
          <w:rFonts w:ascii="Open Sans" w:hAnsi="Open Sans" w:cs="Open Sans"/>
          <w:color w:val="000000"/>
          <w:sz w:val="24"/>
          <w:szCs w:val="24"/>
        </w:rPr>
        <w:t xml:space="preserve">. </w:t>
      </w:r>
      <w:r w:rsidRPr="00A0413E">
        <w:rPr>
          <w:rFonts w:ascii="Open Sans" w:hAnsi="Open Sans" w:cs="Open Sans"/>
          <w:sz w:val="24"/>
          <w:szCs w:val="24"/>
        </w:rPr>
        <w:t xml:space="preserve">2. Segundo a doutrina </w:t>
      </w:r>
      <w:proofErr w:type="spellStart"/>
      <w:r w:rsidRPr="00A0413E">
        <w:rPr>
          <w:rFonts w:ascii="Open Sans" w:hAnsi="Open Sans" w:cs="Open Sans"/>
          <w:sz w:val="24"/>
          <w:szCs w:val="24"/>
        </w:rPr>
        <w:t>substancialista</w:t>
      </w:r>
      <w:proofErr w:type="spellEnd"/>
      <w:r w:rsidRPr="00A0413E">
        <w:rPr>
          <w:rFonts w:ascii="Open Sans" w:hAnsi="Open Sans" w:cs="Open Sans"/>
          <w:sz w:val="24"/>
          <w:szCs w:val="24"/>
        </w:rPr>
        <w:t xml:space="preserve">, deve-se entender por </w:t>
      </w:r>
      <w:r>
        <w:rPr>
          <w:rFonts w:ascii="Open Sans" w:hAnsi="Open Sans" w:cs="Open Sans"/>
          <w:sz w:val="24"/>
          <w:szCs w:val="24"/>
        </w:rPr>
        <w:t>‘</w:t>
      </w:r>
      <w:r w:rsidRPr="00A0413E">
        <w:rPr>
          <w:rFonts w:ascii="Open Sans" w:hAnsi="Open Sans" w:cs="Open Sans"/>
          <w:sz w:val="24"/>
          <w:szCs w:val="24"/>
        </w:rPr>
        <w:t>parte dispositiva</w:t>
      </w:r>
      <w:r>
        <w:rPr>
          <w:rFonts w:ascii="Open Sans" w:hAnsi="Open Sans" w:cs="Open Sans"/>
          <w:sz w:val="24"/>
          <w:szCs w:val="24"/>
        </w:rPr>
        <w:t>’</w:t>
      </w:r>
      <w:r w:rsidRPr="00A0413E">
        <w:rPr>
          <w:rFonts w:ascii="Open Sans" w:hAnsi="Open Sans" w:cs="Open Sans"/>
          <w:sz w:val="24"/>
          <w:szCs w:val="24"/>
        </w:rPr>
        <w:t xml:space="preserve"> não apenas aquela situada topograficamente ao fim da decisão, mas também partes inseridas no corpo da fundamentação, em que o juiz proveu ou negou o pedido, em uma interpretação sistemática do conjunto do julgado. A omissão de um tema no tópico denominado </w:t>
      </w:r>
      <w:r>
        <w:rPr>
          <w:rFonts w:ascii="Open Sans" w:hAnsi="Open Sans" w:cs="Open Sans"/>
          <w:sz w:val="24"/>
          <w:szCs w:val="24"/>
        </w:rPr>
        <w:t>‘</w:t>
      </w:r>
      <w:r w:rsidRPr="00A0413E">
        <w:rPr>
          <w:rFonts w:ascii="Open Sans" w:hAnsi="Open Sans" w:cs="Open Sans"/>
          <w:sz w:val="24"/>
          <w:szCs w:val="24"/>
        </w:rPr>
        <w:t>dispositivo</w:t>
      </w:r>
      <w:r>
        <w:rPr>
          <w:rFonts w:ascii="Open Sans" w:hAnsi="Open Sans" w:cs="Open Sans"/>
          <w:sz w:val="24"/>
          <w:szCs w:val="24"/>
        </w:rPr>
        <w:t>’</w:t>
      </w:r>
      <w:r w:rsidRPr="00A0413E">
        <w:rPr>
          <w:rFonts w:ascii="Open Sans" w:hAnsi="Open Sans" w:cs="Open Sans"/>
          <w:sz w:val="24"/>
          <w:szCs w:val="24"/>
        </w:rPr>
        <w:t xml:space="preserve"> não invalida, tampouco afasta a coisa julgada sobre aquilo que foi decidido, fundamentado e expressamente determinado como comando condenatório no corpo da decisão. </w:t>
      </w:r>
      <w:r w:rsidRPr="00A0413E">
        <w:rPr>
          <w:rFonts w:ascii="Open Sans" w:hAnsi="Open Sans" w:cs="Open Sans"/>
          <w:color w:val="000000"/>
          <w:sz w:val="24"/>
          <w:szCs w:val="24"/>
        </w:rPr>
        <w:t>Fazem coisa julgada as partes da sentença que contiverem conteúdo dispositivo, independentemente de sua localização no corpo da decisão. Recurso de Revista conhecido e provido.” (</w:t>
      </w:r>
      <w:hyperlink r:id="rId18" w:history="1">
        <w:r w:rsidRPr="00A0413E">
          <w:rPr>
            <w:rFonts w:ascii="Open Sans" w:hAnsi="Open Sans" w:cs="Open Sans"/>
            <w:bCs/>
            <w:color w:val="0000FF"/>
            <w:sz w:val="24"/>
            <w:szCs w:val="24"/>
            <w:u w:val="single"/>
          </w:rPr>
          <w:t>TST-RR-24916-21.2017.5.24.0031</w:t>
        </w:r>
        <w:r w:rsidRPr="00A0413E">
          <w:rPr>
            <w:rFonts w:ascii="Open Sans" w:hAnsi="Open Sans" w:cs="Open Sans"/>
            <w:color w:val="0000FF"/>
            <w:sz w:val="24"/>
            <w:szCs w:val="24"/>
            <w:u w:val="single"/>
          </w:rPr>
          <w:t>, 4ª Turma, rel. Min.</w:t>
        </w:r>
        <w:r w:rsidRPr="00A0413E">
          <w:rPr>
            <w:rFonts w:ascii="Open Sans" w:hAnsi="Open Sans" w:cs="Open Sans"/>
            <w:bCs/>
            <w:caps/>
            <w:color w:val="0000FF"/>
            <w:sz w:val="24"/>
            <w:szCs w:val="24"/>
            <w:u w:val="single"/>
          </w:rPr>
          <w:t xml:space="preserve"> </w:t>
        </w:r>
        <w:r w:rsidRPr="00A0413E">
          <w:rPr>
            <w:rFonts w:ascii="Open Sans" w:hAnsi="Open Sans" w:cs="Open Sans"/>
            <w:color w:val="0000FF"/>
            <w:sz w:val="24"/>
            <w:szCs w:val="24"/>
            <w:u w:val="single"/>
          </w:rPr>
          <w:t xml:space="preserve">Maria Cristina </w:t>
        </w:r>
        <w:proofErr w:type="spellStart"/>
        <w:r w:rsidRPr="00A0413E">
          <w:rPr>
            <w:rFonts w:ascii="Open Sans" w:hAnsi="Open Sans" w:cs="Open Sans"/>
            <w:color w:val="0000FF"/>
            <w:sz w:val="24"/>
            <w:szCs w:val="24"/>
            <w:u w:val="single"/>
          </w:rPr>
          <w:t>Irigoyen</w:t>
        </w:r>
        <w:proofErr w:type="spellEnd"/>
        <w:r w:rsidRPr="00A0413E">
          <w:rPr>
            <w:rFonts w:ascii="Open Sans" w:hAnsi="Open Sans" w:cs="Open Sans"/>
            <w:color w:val="0000FF"/>
            <w:sz w:val="24"/>
            <w:szCs w:val="24"/>
            <w:u w:val="single"/>
          </w:rPr>
          <w:t xml:space="preserve"> </w:t>
        </w:r>
        <w:proofErr w:type="spellStart"/>
        <w:r w:rsidRPr="00A0413E">
          <w:rPr>
            <w:rFonts w:ascii="Open Sans" w:hAnsi="Open Sans" w:cs="Open Sans"/>
            <w:color w:val="0000FF"/>
            <w:sz w:val="24"/>
            <w:szCs w:val="24"/>
            <w:u w:val="single"/>
          </w:rPr>
          <w:t>Peduzzi</w:t>
        </w:r>
        <w:proofErr w:type="spellEnd"/>
        <w:r w:rsidRPr="00A0413E">
          <w:rPr>
            <w:rFonts w:ascii="Open Sans" w:hAnsi="Open Sans" w:cs="Open Sans"/>
            <w:color w:val="0000FF"/>
            <w:sz w:val="24"/>
            <w:szCs w:val="24"/>
            <w:u w:val="single"/>
          </w:rPr>
          <w:t>, julgado em 30/5/2023</w:t>
        </w:r>
      </w:hyperlink>
      <w:r w:rsidRPr="00A0413E">
        <w:rPr>
          <w:rFonts w:ascii="Open Sans" w:hAnsi="Open Sans" w:cs="Open Sans"/>
          <w:color w:val="000000"/>
          <w:sz w:val="24"/>
          <w:szCs w:val="24"/>
        </w:rPr>
        <w:t>)</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 xml:space="preserve">“[...] </w:t>
      </w:r>
      <w:r w:rsidRPr="00A0413E">
        <w:rPr>
          <w:rFonts w:ascii="Open Sans" w:hAnsi="Open Sans" w:cs="Open Sans"/>
          <w:bCs/>
          <w:sz w:val="24"/>
          <w:szCs w:val="24"/>
        </w:rPr>
        <w:t xml:space="preserve">III – RECURSO DE REVISTA. REGIDO PELA LEI 13.015/2014. EXECUÇÃO. BEM DE FAMÍLIA. PROTEÇÃO AO DIREITO À MORADIA. IMPENHORABILIDADE. TRANSCENDÊNCIA SOCIAL RECONHECIDA. </w:t>
      </w:r>
      <w:proofErr w:type="gramStart"/>
      <w:r w:rsidRPr="00A0413E">
        <w:rPr>
          <w:rFonts w:ascii="Open Sans" w:hAnsi="Open Sans" w:cs="Open Sans"/>
          <w:bCs/>
          <w:sz w:val="24"/>
          <w:szCs w:val="24"/>
        </w:rPr>
        <w:t>1</w:t>
      </w:r>
      <w:proofErr w:type="gramEnd"/>
      <w:r w:rsidRPr="00A0413E">
        <w:rPr>
          <w:rFonts w:ascii="Open Sans" w:hAnsi="Open Sans" w:cs="Open Sans"/>
          <w:bCs/>
          <w:sz w:val="24"/>
          <w:szCs w:val="24"/>
        </w:rPr>
        <w:t xml:space="preserve">. A impenhorabilidade do bem de família (art. 1º da Lei 8.009/1990), cujo fundamento radica na dignidade da pessoa humana do executado e na proteção do direito à moradia (CF, </w:t>
      </w:r>
      <w:proofErr w:type="spellStart"/>
      <w:r w:rsidRPr="00A0413E">
        <w:rPr>
          <w:rFonts w:ascii="Open Sans" w:hAnsi="Open Sans" w:cs="Open Sans"/>
          <w:bCs/>
          <w:sz w:val="24"/>
          <w:szCs w:val="24"/>
        </w:rPr>
        <w:t>arts</w:t>
      </w:r>
      <w:proofErr w:type="spellEnd"/>
      <w:r w:rsidRPr="00A0413E">
        <w:rPr>
          <w:rFonts w:ascii="Open Sans" w:hAnsi="Open Sans" w:cs="Open Sans"/>
          <w:bCs/>
          <w:sz w:val="24"/>
          <w:szCs w:val="24"/>
        </w:rPr>
        <w:t xml:space="preserve">. 1º, III, e 6º), tem como objeto o imóvel do devedor, indispensável à sua sobrevivência e de sua família. 2. No presente caso, não se discute se o imóvel é o único de propriedade do Executado, mas, sim, se ele residia no imóvel. O Tribunal Regional, reformando a sentença, determinou a penhora sobre o imóvel do executado, ao fundamento de que não restou comprovado que ele residia na propriedade, em razão das tentativas frustradas de os oficiais de justiça em cumprirem o mandado. A leitura do acórdão regional revela que o executado encontrava-se em viagem internacional, sem data de retorno (conforme relatado pelo oficial de justiça que foi </w:t>
      </w:r>
      <w:proofErr w:type="spellStart"/>
      <w:r w:rsidRPr="00A0413E">
        <w:rPr>
          <w:rFonts w:ascii="Open Sans" w:hAnsi="Open Sans" w:cs="Open Sans"/>
          <w:bCs/>
          <w:sz w:val="24"/>
          <w:szCs w:val="24"/>
        </w:rPr>
        <w:t>contactado</w:t>
      </w:r>
      <w:proofErr w:type="spellEnd"/>
      <w:r w:rsidRPr="00A0413E">
        <w:rPr>
          <w:rFonts w:ascii="Open Sans" w:hAnsi="Open Sans" w:cs="Open Sans"/>
          <w:bCs/>
          <w:sz w:val="24"/>
          <w:szCs w:val="24"/>
        </w:rPr>
        <w:t xml:space="preserve"> pela advogada do executado), e que o imóvel não estava ocupado por outra pessoa e/ou família. A Corte de origem </w:t>
      </w:r>
      <w:r w:rsidRPr="00A0413E">
        <w:rPr>
          <w:rFonts w:ascii="Open Sans" w:hAnsi="Open Sans" w:cs="Open Sans"/>
          <w:bCs/>
          <w:sz w:val="24"/>
          <w:szCs w:val="24"/>
        </w:rPr>
        <w:lastRenderedPageBreak/>
        <w:t xml:space="preserve">concluiu que não ficou cabalmente comprovada a residência no imóvel, tendo em vista que as taxas condominiais, bem como as contas de água e esgoto e de consumo de gás, não são suficientes para provar a moradia do executado no imóvel objeto da penhora. Consignou que apenas contas de energia elétrica, televisão/internet por assinatura, telefone, seriam suficientes para comprovar a residência. Consta do acórdão regional, contudo, a transcrição da sentença na qual está registrado que do conjunto probatório (certidões negativa e positiva de bens e taxas condominiais) restou comprovado que o imóvel constrito é bem de família, enquadrando-se na proteção legal. 3. Em razão da natureza sensível de que trata o bem de família, não parece razoável que o Tribunal Regional tenha sopesado de forma distinta provas de naturezas similares para concluir que conta de energia elétrica </w:t>
      </w:r>
      <w:proofErr w:type="gramStart"/>
      <w:r w:rsidRPr="00A0413E">
        <w:rPr>
          <w:rFonts w:ascii="Open Sans" w:hAnsi="Open Sans" w:cs="Open Sans"/>
          <w:bCs/>
          <w:sz w:val="24"/>
          <w:szCs w:val="24"/>
        </w:rPr>
        <w:t>é</w:t>
      </w:r>
      <w:proofErr w:type="gramEnd"/>
      <w:r w:rsidRPr="00A0413E">
        <w:rPr>
          <w:rFonts w:ascii="Open Sans" w:hAnsi="Open Sans" w:cs="Open Sans"/>
          <w:bCs/>
          <w:sz w:val="24"/>
          <w:szCs w:val="24"/>
        </w:rPr>
        <w:t xml:space="preserve"> prova suficiente para comprovar a residência, mas conta de água e esgoto e de consumo de gás não o é. Ainda, o só fato de o empregado encontrar-se no exterior por tempo prolongado não é suficiente para afastar a proteção de que dispõe o bem de família, sobretudo quando emerge dos autos que o imóvel não estava ocupado. Nesse cenário, resta divisada a violação do artigo 5º, XXII, da Constituição Federal. </w:t>
      </w:r>
      <w:proofErr w:type="gramStart"/>
      <w:r w:rsidRPr="00A0413E">
        <w:rPr>
          <w:rFonts w:ascii="Open Sans" w:hAnsi="Open Sans" w:cs="Open Sans"/>
          <w:bCs/>
          <w:sz w:val="24"/>
          <w:szCs w:val="24"/>
        </w:rPr>
        <w:t>Recurso de revista conhecido e provido.</w:t>
      </w:r>
      <w:r w:rsidRPr="00A0413E">
        <w:rPr>
          <w:rFonts w:ascii="Open Sans" w:hAnsi="Open Sans" w:cs="Open Sans"/>
          <w:sz w:val="24"/>
          <w:szCs w:val="24"/>
        </w:rPr>
        <w:t>”</w:t>
      </w:r>
      <w:proofErr w:type="gramEnd"/>
      <w:r w:rsidRPr="00A0413E">
        <w:rPr>
          <w:rFonts w:ascii="Open Sans" w:hAnsi="Open Sans" w:cs="Open Sans"/>
          <w:sz w:val="24"/>
          <w:szCs w:val="24"/>
        </w:rPr>
        <w:t xml:space="preserve"> (</w:t>
      </w:r>
      <w:hyperlink r:id="rId19" w:history="1">
        <w:r w:rsidRPr="00A0413E">
          <w:rPr>
            <w:rStyle w:val="Hyperlink"/>
            <w:rFonts w:ascii="Open Sans" w:hAnsi="Open Sans" w:cs="Open Sans"/>
            <w:sz w:val="24"/>
            <w:szCs w:val="24"/>
          </w:rPr>
          <w:t>TST-RR-77300-69.2000.5.04.0303, 5ª Turma, rel. Min. Douglas Alencar Rodrigues</w:t>
        </w:r>
        <w:r w:rsidRPr="00A0413E">
          <w:rPr>
            <w:rStyle w:val="Hyperlink"/>
            <w:rFonts w:ascii="Open Sans" w:hAnsi="Open Sans" w:cs="Open Sans"/>
            <w:bCs/>
            <w:sz w:val="24"/>
            <w:szCs w:val="24"/>
          </w:rPr>
          <w:t>, julgado em 7/6/2023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
          <w:i/>
          <w:sz w:val="24"/>
          <w:szCs w:val="24"/>
        </w:rPr>
      </w:pPr>
    </w:p>
    <w:p w:rsidR="009E652F" w:rsidRPr="00A0413E"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w:t>
      </w:r>
      <w:r w:rsidRPr="00A0413E">
        <w:rPr>
          <w:rFonts w:ascii="Open Sans" w:hAnsi="Open Sans" w:cs="Open Sans"/>
          <w:bCs/>
          <w:sz w:val="24"/>
          <w:szCs w:val="24"/>
        </w:rPr>
        <w:t>AGRAVO. RECURSO DE REVISTA. ACÓRDÃO PUBLICADO NA VIGÊNCIA DA LEI Nº 13.467/2017. GRUPO ECONÔMICO. RESPONSABILIDADE SOLIDÁRIA. TRANSCENDÊNCIA POLÍTICA RECONHECIDA NA DECISÃO AGRAVADA.</w:t>
      </w:r>
      <w:r w:rsidRPr="00A0413E">
        <w:rPr>
          <w:rFonts w:ascii="Open Sans" w:hAnsi="Open Sans" w:cs="Open Sans"/>
          <w:sz w:val="24"/>
          <w:szCs w:val="24"/>
        </w:rPr>
        <w:t xml:space="preserve"> Nesse contexto, considerando que o contrato de trabalho abrange período anterior e posterior à vigência da Lei nº 13.467/2017, deve ser aplicado </w:t>
      </w:r>
      <w:proofErr w:type="gramStart"/>
      <w:r w:rsidRPr="00A0413E">
        <w:rPr>
          <w:rFonts w:ascii="Open Sans" w:hAnsi="Open Sans" w:cs="Open Sans"/>
          <w:sz w:val="24"/>
          <w:szCs w:val="24"/>
        </w:rPr>
        <w:t>a</w:t>
      </w:r>
      <w:proofErr w:type="gramEnd"/>
      <w:r w:rsidRPr="00A0413E">
        <w:rPr>
          <w:rFonts w:ascii="Open Sans" w:hAnsi="Open Sans" w:cs="Open Sans"/>
          <w:sz w:val="24"/>
          <w:szCs w:val="24"/>
        </w:rPr>
        <w:t xml:space="preserve"> nova legislação, de maneira que, para os créditos posteriores a 11/11/2017, incide a nova redação do art. 2º, § 2º, da CLT, em observância ao princípio do </w:t>
      </w:r>
      <w:r w:rsidRPr="00A0413E">
        <w:rPr>
          <w:rFonts w:ascii="Open Sans" w:hAnsi="Open Sans" w:cs="Open Sans"/>
          <w:i/>
          <w:iCs/>
          <w:sz w:val="24"/>
          <w:szCs w:val="24"/>
        </w:rPr>
        <w:t xml:space="preserve">tempus </w:t>
      </w:r>
      <w:proofErr w:type="spellStart"/>
      <w:r w:rsidRPr="00A0413E">
        <w:rPr>
          <w:rFonts w:ascii="Open Sans" w:hAnsi="Open Sans" w:cs="Open Sans"/>
          <w:i/>
          <w:iCs/>
          <w:sz w:val="24"/>
          <w:szCs w:val="24"/>
        </w:rPr>
        <w:t>regit</w:t>
      </w:r>
      <w:proofErr w:type="spellEnd"/>
      <w:r w:rsidRPr="00A0413E">
        <w:rPr>
          <w:rFonts w:ascii="Open Sans" w:hAnsi="Open Sans" w:cs="Open Sans"/>
          <w:i/>
          <w:iCs/>
          <w:sz w:val="24"/>
          <w:szCs w:val="24"/>
        </w:rPr>
        <w:t xml:space="preserve"> </w:t>
      </w:r>
      <w:proofErr w:type="spellStart"/>
      <w:r w:rsidRPr="00A0413E">
        <w:rPr>
          <w:rFonts w:ascii="Open Sans" w:hAnsi="Open Sans" w:cs="Open Sans"/>
          <w:i/>
          <w:iCs/>
          <w:sz w:val="24"/>
          <w:szCs w:val="24"/>
        </w:rPr>
        <w:t>actum</w:t>
      </w:r>
      <w:proofErr w:type="spellEnd"/>
      <w:r w:rsidRPr="00A0413E">
        <w:rPr>
          <w:rFonts w:ascii="Open Sans" w:hAnsi="Open Sans" w:cs="Open Sans"/>
          <w:sz w:val="24"/>
          <w:szCs w:val="24"/>
        </w:rPr>
        <w:t xml:space="preserve">. Nesse contexto, tendo sido evidenciada pelo Regional a existência de coordenação entre as reclamadas, correta a decisão agravada ao manter a responsabilidade solidária quanto aos créditos trabalhistas devidos a partir de 11/11/2017. </w:t>
      </w:r>
      <w:r w:rsidRPr="00A0413E">
        <w:rPr>
          <w:rFonts w:ascii="Open Sans" w:hAnsi="Open Sans" w:cs="Open Sans"/>
          <w:bCs/>
          <w:sz w:val="24"/>
          <w:szCs w:val="24"/>
        </w:rPr>
        <w:t>Agravo não provido.</w:t>
      </w:r>
      <w:r w:rsidRPr="00A0413E">
        <w:rPr>
          <w:rFonts w:ascii="Open Sans" w:hAnsi="Open Sans" w:cs="Open Sans"/>
          <w:sz w:val="24"/>
          <w:szCs w:val="24"/>
        </w:rPr>
        <w:t>” (</w:t>
      </w:r>
      <w:hyperlink r:id="rId20" w:history="1">
        <w:r w:rsidRPr="00A0413E">
          <w:rPr>
            <w:rFonts w:ascii="Open Sans" w:hAnsi="Open Sans" w:cs="Open Sans"/>
            <w:color w:val="0000FF" w:themeColor="hyperlink"/>
            <w:sz w:val="24"/>
            <w:szCs w:val="24"/>
            <w:u w:val="single"/>
          </w:rPr>
          <w:t>TST-Ag-RR-10800-80.2020.5.03.0001, 5ª Turma, rel. Min. Breno Medeiros</w:t>
        </w:r>
        <w:r w:rsidRPr="00A0413E">
          <w:rPr>
            <w:rFonts w:ascii="Open Sans" w:hAnsi="Open Sans" w:cs="Open Sans"/>
            <w:bCs/>
            <w:color w:val="0000FF" w:themeColor="hyperlink"/>
            <w:sz w:val="24"/>
            <w:szCs w:val="24"/>
            <w:u w:val="single"/>
          </w:rPr>
          <w:t>, julgado em 7/6/2023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sz w:val="24"/>
          <w:szCs w:val="24"/>
        </w:rPr>
      </w:pPr>
      <w:r w:rsidRPr="00034D76">
        <w:rPr>
          <w:rFonts w:ascii="Open Sans" w:hAnsi="Open Sans" w:cs="Open Sans"/>
          <w:bCs/>
          <w:color w:val="000000"/>
          <w:sz w:val="24"/>
          <w:szCs w:val="24"/>
          <w:shd w:val="clear" w:color="auto" w:fill="FFFFFF"/>
        </w:rPr>
        <w:t>“</w:t>
      </w:r>
      <w:bookmarkStart w:id="1" w:name="tempEmenta"/>
      <w:r w:rsidRPr="00A0413E">
        <w:rPr>
          <w:rFonts w:ascii="Open Sans" w:hAnsi="Open Sans" w:cs="Open Sans"/>
          <w:bCs/>
          <w:color w:val="000000"/>
          <w:sz w:val="24"/>
          <w:szCs w:val="24"/>
        </w:rPr>
        <w:t xml:space="preserve">RECURSO DE REVISTA INTERPOSTO PELO RECLAMANTE SOB A REGÊNCIA DA LEI Nº 13.467/2017. </w:t>
      </w:r>
      <w:bookmarkEnd w:id="1"/>
      <w:r w:rsidRPr="00A0413E">
        <w:rPr>
          <w:rFonts w:ascii="Open Sans" w:hAnsi="Open Sans" w:cs="Open Sans"/>
          <w:bCs/>
          <w:color w:val="000000"/>
          <w:sz w:val="24"/>
          <w:szCs w:val="24"/>
        </w:rPr>
        <w:t>TRABALHADOR PORTUÁRIO AVULSO. TEMPORÁRIA PROIBIÇÃO DA ESCALAÇÃO DE MAIORES DE 60 ANOS. INDENIZAÇÃO PELO PERÍODO DE AFASTAMENTO. VALIDADE DA MEDIDA PROVISÓRIA Nº 945/2020. EFEITOS. TRANSCENDÊNCIA JURÍDICA RECONHECIDA.</w:t>
      </w:r>
      <w:r w:rsidRPr="00A0413E">
        <w:rPr>
          <w:rFonts w:ascii="Open Sans" w:hAnsi="Open Sans" w:cs="Open Sans"/>
          <w:b/>
          <w:bCs/>
          <w:color w:val="000000"/>
          <w:sz w:val="24"/>
          <w:szCs w:val="24"/>
        </w:rPr>
        <w:t xml:space="preserve"> </w:t>
      </w:r>
      <w:r w:rsidRPr="00A0413E">
        <w:rPr>
          <w:rFonts w:ascii="Open Sans" w:hAnsi="Open Sans" w:cs="Open Sans"/>
          <w:bCs/>
          <w:color w:val="000000"/>
          <w:sz w:val="24"/>
          <w:szCs w:val="24"/>
        </w:rPr>
        <w:t xml:space="preserve">Considerada a controvérsia acerca dos efeitos decorrentes da Pandemia da Covid-19 nas relações de trabalho, reconheço a transcendência jurídica da matéria. Nada obstante, há de se notar que a situação peculiar de crise sanitária enfrentada pelo País, naquele período excepcional, impôs, para o segmento da atividade portuária, como medida de segurança pública, a paralisação temporária da prestação de serviços pelos trabalhadores mais idosos (acima de 60 anos de idade), independentemente de condição especial de saúde, por se tratar de parcela da sociedade comprovadamente mais vulnerável aos malefícios de eventual contaminação por SARS-COV-2. De outra parte, a implantação de um benefício compensatório em caráter eletivo (e não universal), subvencionado pelo Estado, também atentou para as diretrizes da Convenção nº 137 da OIT, ratificada pelo </w:t>
      </w:r>
      <w:r w:rsidRPr="00A0413E">
        <w:rPr>
          <w:rFonts w:ascii="Open Sans" w:hAnsi="Open Sans" w:cs="Open Sans"/>
          <w:bCs/>
          <w:color w:val="000000"/>
          <w:sz w:val="24"/>
          <w:szCs w:val="24"/>
        </w:rPr>
        <w:lastRenderedPageBreak/>
        <w:t>Brasil, na medida em que garantiu renda mínima aos portuários, durante o período mais crítico da Pandemia, a justificar a restrição imposta quanto à concessão do benefício aos trabalhadores desprovidos de outra fonte de renda, o que exclui aqueles cujo recebimento de proventos decorrentes de aposentadoria já é assegurado, caso do autor. Diante da conjuntura fático-jurídica da época, não se tem por configurada hipótese de discriminação, tampouco violação dos dispositivos invocados, sendo certo que o reclamado atendeu aos</w:t>
      </w:r>
      <w:r>
        <w:rPr>
          <w:rFonts w:ascii="Open Sans" w:hAnsi="Open Sans" w:cs="Open Sans"/>
          <w:bCs/>
          <w:color w:val="000000"/>
          <w:sz w:val="24"/>
          <w:szCs w:val="24"/>
        </w:rPr>
        <w:t xml:space="preserve"> ditames legais então vigentes.</w:t>
      </w:r>
      <w:r w:rsidRPr="00A0413E">
        <w:rPr>
          <w:rFonts w:ascii="Open Sans" w:hAnsi="Open Sans" w:cs="Open Sans"/>
          <w:bCs/>
          <w:color w:val="000000"/>
          <w:sz w:val="24"/>
          <w:szCs w:val="24"/>
        </w:rPr>
        <w:t xml:space="preserve"> No mais, revela-se inservível ao cotejo de teses o único aresto colacionado no recurso, o qual desatende aos requisitos mínimos estabelecidos na Súmula nº 337 do TST.</w:t>
      </w:r>
      <w:r w:rsidRPr="00A0413E">
        <w:rPr>
          <w:rFonts w:ascii="Open Sans" w:hAnsi="Open Sans" w:cs="Open Sans"/>
          <w:b/>
          <w:bCs/>
          <w:color w:val="000000"/>
          <w:sz w:val="24"/>
          <w:szCs w:val="24"/>
        </w:rPr>
        <w:t xml:space="preserve"> </w:t>
      </w:r>
      <w:r w:rsidRPr="00A0413E">
        <w:rPr>
          <w:rFonts w:ascii="Open Sans" w:hAnsi="Open Sans" w:cs="Open Sans"/>
          <w:bCs/>
          <w:color w:val="000000"/>
          <w:sz w:val="24"/>
          <w:szCs w:val="24"/>
        </w:rPr>
        <w:t>Recurso de revista não conhecido”.</w:t>
      </w:r>
      <w:r w:rsidRPr="00A0413E">
        <w:rPr>
          <w:rFonts w:ascii="Open Sans" w:hAnsi="Open Sans" w:cs="Open Sans"/>
          <w:color w:val="000000"/>
          <w:sz w:val="24"/>
          <w:szCs w:val="24"/>
          <w:shd w:val="clear" w:color="auto" w:fill="FFFFFF"/>
        </w:rPr>
        <w:t xml:space="preserve"> </w:t>
      </w:r>
      <w:hyperlink r:id="rId21" w:history="1">
        <w:r w:rsidRPr="00A0413E">
          <w:rPr>
            <w:rFonts w:ascii="Open Sans" w:hAnsi="Open Sans" w:cs="Open Sans"/>
            <w:color w:val="0000FF" w:themeColor="hyperlink"/>
            <w:sz w:val="24"/>
            <w:szCs w:val="24"/>
            <w:u w:val="single"/>
          </w:rPr>
          <w:t>(</w:t>
        </w:r>
        <w:r w:rsidRPr="00A0413E">
          <w:rPr>
            <w:rFonts w:ascii="Open Sans" w:hAnsi="Open Sans" w:cs="Open Sans"/>
            <w:bCs/>
            <w:color w:val="0000FF" w:themeColor="hyperlink"/>
            <w:sz w:val="24"/>
            <w:szCs w:val="24"/>
            <w:u w:val="single"/>
          </w:rPr>
          <w:t>TST-RR-837-37.2020.5.17.0008</w:t>
        </w:r>
        <w:r w:rsidRPr="00A0413E">
          <w:rPr>
            <w:rFonts w:ascii="Open Sans" w:hAnsi="Open Sans" w:cs="Open Sans"/>
            <w:color w:val="0000FF" w:themeColor="hyperlink"/>
            <w:sz w:val="24"/>
            <w:szCs w:val="24"/>
            <w:u w:val="single"/>
          </w:rPr>
          <w:t>, 6ª Turma, rel. Des.</w:t>
        </w:r>
        <w:r>
          <w:rPr>
            <w:rFonts w:ascii="Open Sans" w:hAnsi="Open Sans" w:cs="Open Sans"/>
            <w:color w:val="0000FF" w:themeColor="hyperlink"/>
            <w:sz w:val="24"/>
            <w:szCs w:val="24"/>
            <w:u w:val="single"/>
          </w:rPr>
          <w:t xml:space="preserve"> </w:t>
        </w:r>
        <w:proofErr w:type="spellStart"/>
        <w:r>
          <w:rPr>
            <w:rFonts w:ascii="Open Sans" w:hAnsi="Open Sans" w:cs="Open Sans"/>
            <w:color w:val="0000FF" w:themeColor="hyperlink"/>
            <w:sz w:val="24"/>
            <w:szCs w:val="24"/>
            <w:u w:val="single"/>
          </w:rPr>
          <w:t>Conv</w:t>
        </w:r>
        <w:proofErr w:type="spellEnd"/>
        <w:r>
          <w:rPr>
            <w:rFonts w:ascii="Open Sans" w:hAnsi="Open Sans" w:cs="Open Sans"/>
            <w:color w:val="0000FF" w:themeColor="hyperlink"/>
            <w:sz w:val="24"/>
            <w:szCs w:val="24"/>
            <w:u w:val="single"/>
          </w:rPr>
          <w:t>.</w:t>
        </w:r>
        <w:r w:rsidRPr="00A0413E">
          <w:rPr>
            <w:rFonts w:ascii="Open Sans" w:hAnsi="Open Sans" w:cs="Open Sans"/>
            <w:color w:val="0000FF" w:themeColor="hyperlink"/>
            <w:sz w:val="24"/>
            <w:szCs w:val="24"/>
            <w:u w:val="single"/>
          </w:rPr>
          <w:t xml:space="preserve"> </w:t>
        </w:r>
        <w:r w:rsidRPr="00034D76">
          <w:rPr>
            <w:rFonts w:ascii="Open Sans" w:hAnsi="Open Sans" w:cs="Open Sans"/>
            <w:bCs/>
            <w:color w:val="0000FF" w:themeColor="hyperlink"/>
            <w:sz w:val="24"/>
            <w:szCs w:val="24"/>
            <w:u w:val="single"/>
          </w:rPr>
          <w:t>José Pedro de Camargo Rodrigues de Souza</w:t>
        </w:r>
        <w:r w:rsidRPr="00A0413E">
          <w:rPr>
            <w:rFonts w:ascii="Open Sans" w:hAnsi="Open Sans" w:cs="Open Sans"/>
            <w:bCs/>
            <w:color w:val="0000FF" w:themeColor="hyperlink"/>
            <w:sz w:val="24"/>
            <w:szCs w:val="24"/>
            <w:u w:val="single"/>
          </w:rPr>
          <w:t>, julgado em 7/6/2023</w:t>
        </w:r>
        <w:proofErr w:type="gramStart"/>
        <w:r w:rsidRPr="00A0413E">
          <w:rPr>
            <w:rFonts w:ascii="Open Sans" w:hAnsi="Open Sans" w:cs="Open Sans"/>
            <w:color w:val="0000FF" w:themeColor="hyperlink"/>
            <w:sz w:val="24"/>
            <w:szCs w:val="24"/>
            <w:u w:val="single"/>
          </w:rPr>
          <w:t>).</w:t>
        </w:r>
        <w:proofErr w:type="gramEnd"/>
      </w:hyperlink>
      <w:r w:rsidRPr="00A0413E">
        <w:rPr>
          <w:rFonts w:ascii="Open Sans" w:hAnsi="Open Sans" w:cs="Open Sans"/>
          <w:sz w:val="24"/>
          <w:szCs w:val="24"/>
        </w:rPr>
        <w:t xml:space="preserve"> </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b/>
          <w:color w:val="FF0000"/>
          <w:sz w:val="24"/>
          <w:szCs w:val="24"/>
        </w:rPr>
      </w:pPr>
      <w:proofErr w:type="gramStart"/>
      <w:r w:rsidRPr="00A0413E">
        <w:rPr>
          <w:rFonts w:ascii="Open Sans" w:hAnsi="Open Sans" w:cs="Open Sans"/>
          <w:sz w:val="24"/>
          <w:szCs w:val="24"/>
        </w:rPr>
        <w:t>“[...]</w:t>
      </w:r>
      <w:r>
        <w:rPr>
          <w:rFonts w:ascii="Open Sans" w:hAnsi="Open Sans" w:cs="Open Sans"/>
          <w:sz w:val="24"/>
          <w:szCs w:val="24"/>
        </w:rPr>
        <w:t xml:space="preserve"> </w:t>
      </w:r>
      <w:r w:rsidRPr="00A0413E">
        <w:rPr>
          <w:rFonts w:ascii="Open Sans" w:hAnsi="Open Sans" w:cs="Open Sans"/>
          <w:sz w:val="24"/>
          <w:szCs w:val="24"/>
        </w:rPr>
        <w:t>RECURSO DE REVISTA INTERPOSTO PELA AUTORA.</w:t>
      </w:r>
      <w:proofErr w:type="gramEnd"/>
      <w:r w:rsidRPr="00A0413E">
        <w:rPr>
          <w:rFonts w:ascii="Open Sans" w:hAnsi="Open Sans" w:cs="Open Sans"/>
          <w:sz w:val="24"/>
          <w:szCs w:val="24"/>
        </w:rPr>
        <w:t xml:space="preserve"> LEI Nº 13.467/2017. EXECUÇÃO. AÇÃO DE ANULAÇÃO DA ARREMATAÇÃO. PROCEDÊNCIA. EXISTÊNCIA DE PENHORA EM AÇÃO CÍVEL ANTERIOR À EFETIVADA NA AÇÃO TRABALHISTA, MEDIANTE ARREMATAÇÃO DO IMÓVEL. CONTRATO DE COMPRA E VENDA. VALIDADE. PROPRIEDADE DO IMÓVEL. VIOLAÇÃO DA GARANTIA CONSTITUIÇÃO DA PROPRIEDADE – ARTIGO 5º, XXII, DA CONSTITUIÇÃO FEDERAL. TRANSCENDÊNCIA ECONÔMICA CONSTATADA. Conforme premissas fáticas constantes nos autos, o imóvel foi penhorado em favor do Condomínio em 2008, em arrematação em processo cível, realizado o devido Registro da Penhora em Cartório. Referido imóvel foi adquirido pela ora agravante em 2012, mediante compromisso de compra e venda. Logo, ao contrário da conclusão exarada pela Corte de Origem, ao tempo em que a arrematação do imóvel foi realizada na execução trabalhista, havia óbice à prática do ato, a justificar a procedência dos pedidos formulados nesta ação de anulação da arrematação, porquanto ao tempo da penhora do imóvel realizada na ação trabalhista (2013) e da arrematação na execução trabalhista (2018), já havia penhora anterior em favor do Condomínio em 2008, em face de arrematação em processo cível. O fato de não haver o registro da arrematação anterior na matrícula do imóvel, tampouco do contrato de compra e venda no Cartório de Registros de Imóveis, não retira a preferência do Condomínio na aquisição do bem adquirido pela penhora, reitere-se, registrada em Cartório. De mais a mais, afasta-se a alegação de que não trata de posse de boa-fé do Condomínio ao tempo em foi que firmado o compromisso de compra e venda com a ora agravante (2012), pois o fato de haver outras penhoras não induz à má-fé considerando o disposto no parágrafo único do artigo 797 do CPC, no sentido de que, recaindo mais de uma penhora sobre o mesmo bem, cada exequente conservará seu direito de preferência. Assim, sob pena de afronta ao direito de propriedade, insculpido no artigo 5º, XXII, da Constituição Federal, </w:t>
      </w:r>
      <w:proofErr w:type="gramStart"/>
      <w:r w:rsidRPr="00A0413E">
        <w:rPr>
          <w:rFonts w:ascii="Open Sans" w:hAnsi="Open Sans" w:cs="Open Sans"/>
          <w:sz w:val="24"/>
          <w:szCs w:val="24"/>
        </w:rPr>
        <w:t>é</w:t>
      </w:r>
      <w:proofErr w:type="gramEnd"/>
      <w:r w:rsidRPr="00A0413E">
        <w:rPr>
          <w:rFonts w:ascii="Open Sans" w:hAnsi="Open Sans" w:cs="Open Sans"/>
          <w:sz w:val="24"/>
          <w:szCs w:val="24"/>
        </w:rPr>
        <w:t xml:space="preserve"> necessária a anulação da arrematação ocorrida em 2018, considerando que o bem foi adquirido de boa-fé pelo Condomínio, mediante arrematação em processo civil e penhora do bem em 2008 e objeto de compra e venda em 2012 pela ora agravante, mediante instrumento particular de promessa de venda e compra firmado com o Condomínio. </w:t>
      </w:r>
      <w:proofErr w:type="gramStart"/>
      <w:r w:rsidRPr="00A0413E">
        <w:rPr>
          <w:rFonts w:ascii="Open Sans" w:hAnsi="Open Sans" w:cs="Open Sans"/>
          <w:sz w:val="24"/>
          <w:szCs w:val="24"/>
        </w:rPr>
        <w:t>Recurso de revista conhecido e provido.”</w:t>
      </w:r>
      <w:proofErr w:type="gramEnd"/>
      <w:r w:rsidRPr="00A0413E">
        <w:rPr>
          <w:rFonts w:ascii="Open Sans" w:hAnsi="Open Sans" w:cs="Open Sans"/>
          <w:sz w:val="24"/>
          <w:szCs w:val="24"/>
        </w:rPr>
        <w:t xml:space="preserve"> (</w:t>
      </w:r>
      <w:hyperlink r:id="rId22" w:history="1">
        <w:r w:rsidRPr="00A0413E">
          <w:rPr>
            <w:rFonts w:ascii="Open Sans" w:hAnsi="Open Sans" w:cs="Open Sans"/>
            <w:color w:val="0000FF" w:themeColor="hyperlink"/>
            <w:sz w:val="24"/>
            <w:szCs w:val="24"/>
            <w:u w:val="single"/>
          </w:rPr>
          <w:t xml:space="preserve">TST-RR-1000388-73.2020.5.02.0010, 7ª Turma, rel. Min. </w:t>
        </w:r>
        <w:r w:rsidRPr="00034D76">
          <w:rPr>
            <w:rFonts w:ascii="Open Sans" w:hAnsi="Open Sans" w:cs="Open Sans"/>
            <w:bCs/>
            <w:color w:val="0000FF" w:themeColor="hyperlink"/>
            <w:sz w:val="24"/>
            <w:szCs w:val="24"/>
            <w:u w:val="single"/>
          </w:rPr>
          <w:t>Cláudio Mascarenhas Brandão</w:t>
        </w:r>
        <w:r w:rsidRPr="00A0413E">
          <w:rPr>
            <w:rFonts w:ascii="Open Sans" w:hAnsi="Open Sans" w:cs="Open Sans"/>
            <w:bCs/>
            <w:color w:val="0000FF" w:themeColor="hyperlink"/>
            <w:sz w:val="24"/>
            <w:szCs w:val="24"/>
            <w:u w:val="single"/>
          </w:rPr>
          <w:t>, julgado em 14/6/2023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
          <w:sz w:val="24"/>
          <w:szCs w:val="24"/>
        </w:rPr>
      </w:pPr>
    </w:p>
    <w:p w:rsidR="009E652F" w:rsidRPr="00A0413E"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lastRenderedPageBreak/>
        <w:t>“[...]</w:t>
      </w:r>
      <w:r>
        <w:rPr>
          <w:rFonts w:ascii="Open Sans" w:hAnsi="Open Sans" w:cs="Open Sans"/>
          <w:sz w:val="24"/>
          <w:szCs w:val="24"/>
        </w:rPr>
        <w:t xml:space="preserve"> </w:t>
      </w:r>
      <w:r w:rsidRPr="00A0413E">
        <w:rPr>
          <w:rFonts w:ascii="Open Sans" w:hAnsi="Open Sans" w:cs="Open Sans"/>
          <w:sz w:val="24"/>
          <w:szCs w:val="24"/>
        </w:rPr>
        <w:t xml:space="preserve">RECURSO DE REVISTA INTERPOSTO PELA RECLAMANTE. LEI Nº 13.467/2017. DISPENSA POR JUSTA CAUSA. NULIDADE. MANIFESTAÇÃO DA EMPREGADA EM REDE SOCIAL. NÃO COMPROVAÇÃO DA FALTA GRAVE. NECESSIDADE DE PONDERAÇÃO DAS CIRCUNSTÂNCIAS FÁTICAS DO CASO CONCRETO E GRADAÇÃO DAS PENAS. REINTEGRAÇÃO. TRANSCENDÊNCIA ECONÔMICA RECONHECIDA. A resolução contratual é a hipótese de extinção do vínculo de emprego em que um dos contratantes, em virtude do cometimento de falta grave pela parte adversa, decide pôr fim ao contrato de trabalho. No que tange, especificamente, à resolução por falta grave do empregado, o artigo 482 da CLT elenca os tipos de infrações por ele cometidas que poderão dar ensejo a tal modalidade de extinção contratual. Em sua alínea </w:t>
      </w:r>
      <w:r>
        <w:rPr>
          <w:rFonts w:ascii="Open Sans" w:hAnsi="Open Sans" w:cs="Open Sans"/>
          <w:sz w:val="24"/>
          <w:szCs w:val="24"/>
        </w:rPr>
        <w:t>“</w:t>
      </w:r>
      <w:r w:rsidRPr="00A0413E">
        <w:rPr>
          <w:rFonts w:ascii="Open Sans" w:hAnsi="Open Sans" w:cs="Open Sans"/>
          <w:sz w:val="24"/>
          <w:szCs w:val="24"/>
        </w:rPr>
        <w:t>k</w:t>
      </w:r>
      <w:r>
        <w:rPr>
          <w:rFonts w:ascii="Open Sans" w:hAnsi="Open Sans" w:cs="Open Sans"/>
          <w:sz w:val="24"/>
          <w:szCs w:val="24"/>
        </w:rPr>
        <w:t>”</w:t>
      </w:r>
      <w:r w:rsidRPr="00A0413E">
        <w:rPr>
          <w:rFonts w:ascii="Open Sans" w:hAnsi="Open Sans" w:cs="Open Sans"/>
          <w:sz w:val="24"/>
          <w:szCs w:val="24"/>
        </w:rPr>
        <w:t xml:space="preserve">, o dispositivo mencionado dispõe que constitui justa causa para rescisão do contrato de trabalho pelo empregador o cometimento pelo empregado de </w:t>
      </w:r>
      <w:r>
        <w:rPr>
          <w:rFonts w:ascii="Open Sans" w:hAnsi="Open Sans" w:cs="Open Sans"/>
          <w:sz w:val="24"/>
          <w:szCs w:val="24"/>
        </w:rPr>
        <w:t>‘</w:t>
      </w:r>
      <w:r w:rsidRPr="00A0413E">
        <w:rPr>
          <w:rFonts w:ascii="Open Sans" w:hAnsi="Open Sans" w:cs="Open Sans"/>
          <w:sz w:val="24"/>
          <w:szCs w:val="24"/>
        </w:rPr>
        <w:t>ato lesivo da honra ou da boa fama ou ofensas físicas praticadas contra o empregador e superiores hierárquicos, salvo em caso de legítima defesa, própria ou de outrem</w:t>
      </w:r>
      <w:r>
        <w:rPr>
          <w:rFonts w:ascii="Open Sans" w:hAnsi="Open Sans" w:cs="Open Sans"/>
          <w:sz w:val="24"/>
          <w:szCs w:val="24"/>
        </w:rPr>
        <w:t>’</w:t>
      </w:r>
      <w:r w:rsidRPr="00A0413E">
        <w:rPr>
          <w:rFonts w:ascii="Open Sans" w:hAnsi="Open Sans" w:cs="Open Sans"/>
          <w:sz w:val="24"/>
          <w:szCs w:val="24"/>
        </w:rPr>
        <w:t xml:space="preserve">. </w:t>
      </w:r>
      <w:proofErr w:type="gramStart"/>
      <w:r w:rsidRPr="00A0413E">
        <w:rPr>
          <w:rFonts w:ascii="Open Sans" w:hAnsi="Open Sans" w:cs="Open Sans"/>
          <w:sz w:val="24"/>
          <w:szCs w:val="24"/>
        </w:rPr>
        <w:t>Outrossim</w:t>
      </w:r>
      <w:proofErr w:type="gramEnd"/>
      <w:r w:rsidRPr="00A0413E">
        <w:rPr>
          <w:rFonts w:ascii="Open Sans" w:hAnsi="Open Sans" w:cs="Open Sans"/>
          <w:sz w:val="24"/>
          <w:szCs w:val="24"/>
        </w:rPr>
        <w:t xml:space="preserve">, é cediço que para efetivação do exercício disciplinar do empregador e consequente aplicação da justa causa no contrato de trabalho, além da tipicidade da conduta (requisito objetivo), deverão ser levados em conta alguns outros requisitos (de ordem subjetiva ou circunstancial) para aferição da validade da penalidade imposta, estando entre eles, o dolo ou culpa do empregado; o nexo existente entre a falta e a penalidade; a adequação e proporcionalidade desta; gradação da pena; bem como a ausência de perdão tácito ou expresso do empregador. Logo, não basta a tipicidade da conduta para que o exercício do poder disciplinar do empregador seja considerado regular e responsável. Deverão ser atendidos outros requisitos, a exemplo dos demais aqui apresentados, sempre com o cuidado e observância das peculiaridades impostas ao caso. Na hipótese, é incontroverso o fato de que a reclamante publicou em seu perfil nas redes </w:t>
      </w:r>
      <w:proofErr w:type="gramStart"/>
      <w:r w:rsidRPr="00A0413E">
        <w:rPr>
          <w:rFonts w:ascii="Open Sans" w:hAnsi="Open Sans" w:cs="Open Sans"/>
          <w:sz w:val="24"/>
          <w:szCs w:val="24"/>
        </w:rPr>
        <w:t>sociais</w:t>
      </w:r>
      <w:proofErr w:type="gramEnd"/>
      <w:r w:rsidRPr="00A0413E">
        <w:rPr>
          <w:rFonts w:ascii="Open Sans" w:hAnsi="Open Sans" w:cs="Open Sans"/>
          <w:sz w:val="24"/>
          <w:szCs w:val="24"/>
        </w:rPr>
        <w:t xml:space="preserve"> a seguinte frase: </w:t>
      </w:r>
      <w:r>
        <w:rPr>
          <w:rFonts w:ascii="Open Sans" w:hAnsi="Open Sans" w:cs="Open Sans"/>
          <w:sz w:val="24"/>
          <w:szCs w:val="24"/>
        </w:rPr>
        <w:t>‘</w:t>
      </w:r>
      <w:r w:rsidRPr="00A0413E">
        <w:rPr>
          <w:rFonts w:ascii="Open Sans" w:hAnsi="Open Sans" w:cs="Open Sans"/>
          <w:sz w:val="24"/>
          <w:szCs w:val="24"/>
        </w:rPr>
        <w:t>Escrava na empresa Correios</w:t>
      </w:r>
      <w:r>
        <w:rPr>
          <w:rFonts w:ascii="Open Sans" w:hAnsi="Open Sans" w:cs="Open Sans"/>
          <w:sz w:val="24"/>
          <w:szCs w:val="24"/>
        </w:rPr>
        <w:t>’</w:t>
      </w:r>
      <w:r w:rsidRPr="00A0413E">
        <w:rPr>
          <w:rFonts w:ascii="Open Sans" w:hAnsi="Open Sans" w:cs="Open Sans"/>
          <w:sz w:val="24"/>
          <w:szCs w:val="24"/>
        </w:rPr>
        <w:t xml:space="preserve">. Sabe-se que a liberdade de expressão é preceito fundamental assegurado a todos os indivíduos, que encontra guarida na Constituição Federal, especialmente, no seu artigo 5º, IV. Não obstante, como qualquer garantia constitucional, o seu exercício possui limites que devem ser observados, de modo que a livre manifestação do pensamento ou opinião nunca poderá se sobrepor à esfera jurídica de outrem, </w:t>
      </w:r>
      <w:proofErr w:type="gramStart"/>
      <w:r w:rsidRPr="00A0413E">
        <w:rPr>
          <w:rFonts w:ascii="Open Sans" w:hAnsi="Open Sans" w:cs="Open Sans"/>
          <w:sz w:val="24"/>
          <w:szCs w:val="24"/>
        </w:rPr>
        <w:t>sob pena</w:t>
      </w:r>
      <w:proofErr w:type="gramEnd"/>
      <w:r w:rsidRPr="00A0413E">
        <w:rPr>
          <w:rFonts w:ascii="Open Sans" w:hAnsi="Open Sans" w:cs="Open Sans"/>
          <w:sz w:val="24"/>
          <w:szCs w:val="24"/>
        </w:rPr>
        <w:t xml:space="preserve"> de configuração do uso abusivo de tal liberdade. Essa afirmação ganha contornos ainda mais delicados nos dias atuais, tendo em vista o alcance disponibilizado pela internet e a visibilidade fornecida pelas denominadas </w:t>
      </w:r>
      <w:r>
        <w:rPr>
          <w:rFonts w:ascii="Open Sans" w:hAnsi="Open Sans" w:cs="Open Sans"/>
          <w:sz w:val="24"/>
          <w:szCs w:val="24"/>
        </w:rPr>
        <w:t>‘</w:t>
      </w:r>
      <w:r w:rsidRPr="00A0413E">
        <w:rPr>
          <w:rFonts w:ascii="Open Sans" w:hAnsi="Open Sans" w:cs="Open Sans"/>
          <w:sz w:val="24"/>
          <w:szCs w:val="24"/>
        </w:rPr>
        <w:t>redes sociais</w:t>
      </w:r>
      <w:r>
        <w:rPr>
          <w:rFonts w:ascii="Open Sans" w:hAnsi="Open Sans" w:cs="Open Sans"/>
          <w:sz w:val="24"/>
          <w:szCs w:val="24"/>
        </w:rPr>
        <w:t>’</w:t>
      </w:r>
      <w:r w:rsidRPr="00A0413E">
        <w:rPr>
          <w:rFonts w:ascii="Open Sans" w:hAnsi="Open Sans" w:cs="Open Sans"/>
          <w:sz w:val="24"/>
          <w:szCs w:val="24"/>
        </w:rPr>
        <w:t xml:space="preserve">, as quais permitem a disseminação de mensagens em velocidade e extensão nunca antes imaginadas. Assim, a utilização de tais meios pelo empregado, inclusive em contexto externo ao seu ambiente laboral, requer o cuidado de observância do dever de preservação de imagem da empresa, obrigação inerente a todo o contrato de trabalho, como forma de garantir a inviolabilidade da norma prevista no artigo 5º, X, da CF/88. A publicação realizada pela empregada, por óbvio, extrapola os limites da razoabilidade. Embora se trate de expressão utilizada comumente pela população para indicar, de forma jocosa, o labor em jornada mais extensa, deve ser devidamente repudiada, por fazer alusão e pretensamente normalizar um dos crimes mais bárbaros cometidos contra a humanidade que, infelizmente, até hoje encontra espaço em nossa sociedade, como noticiado corriqueiramente pelos veículos de comunicação. É necessário advertir, portanto, que </w:t>
      </w:r>
      <w:r w:rsidRPr="00A0413E">
        <w:rPr>
          <w:rFonts w:ascii="Open Sans" w:hAnsi="Open Sans" w:cs="Open Sans"/>
          <w:sz w:val="24"/>
          <w:szCs w:val="24"/>
        </w:rPr>
        <w:lastRenderedPageBreak/>
        <w:t xml:space="preserve">não se compactua com a atitude dispensada pela obreira. Contudo, de modo objetivo, tem-se que a referida conduta, por si só, não serve como justo motivo para o término do contrato de trabalho, uma vez que, ao contrário do disposto no acórdão regional, não possui o condão de ofender a honra e imagem da ré em gravidade se permita a aplicação direta da pena máxima à empregada, considerando o já mencionado sentido coloquial emprestado à expressão, que afasta, inclusive, a subsunção exata à proibição prevista em norma interna da empresa. Ou seja, embora se trate de ato reprovável, não se reveste da gravidade necessária à configuração da justa causa, esclarecendo-se que deveria a empresa se utilizar da gradação das penalidades para, só assim, imputar à empregada a maior punição prevista na relação de emprego. Inobservado tal procedimento, torna-se inválida a dispensa realizada. </w:t>
      </w:r>
      <w:proofErr w:type="gramStart"/>
      <w:r w:rsidRPr="00A0413E">
        <w:rPr>
          <w:rFonts w:ascii="Open Sans" w:hAnsi="Open Sans" w:cs="Open Sans"/>
          <w:sz w:val="24"/>
          <w:szCs w:val="24"/>
        </w:rPr>
        <w:t>Recurso de revista conhecido e provido.”</w:t>
      </w:r>
      <w:proofErr w:type="gramEnd"/>
      <w:r w:rsidRPr="00A0413E">
        <w:rPr>
          <w:rFonts w:ascii="Open Sans" w:hAnsi="Open Sans" w:cs="Open Sans"/>
          <w:sz w:val="24"/>
          <w:szCs w:val="24"/>
        </w:rPr>
        <w:t xml:space="preserve"> (</w:t>
      </w:r>
      <w:hyperlink r:id="rId23" w:history="1">
        <w:r w:rsidRPr="00A0413E">
          <w:rPr>
            <w:rFonts w:ascii="Open Sans" w:hAnsi="Open Sans" w:cs="Open Sans"/>
            <w:color w:val="0000FF" w:themeColor="hyperlink"/>
            <w:sz w:val="24"/>
            <w:szCs w:val="24"/>
            <w:u w:val="single"/>
          </w:rPr>
          <w:t xml:space="preserve">TST-RR-1000864-41.2018.5.02.0444, 7ª Turma, rel. Min. </w:t>
        </w:r>
        <w:r w:rsidRPr="000D3F97">
          <w:rPr>
            <w:rFonts w:ascii="Open Sans" w:hAnsi="Open Sans" w:cs="Open Sans"/>
            <w:bCs/>
            <w:color w:val="0000FF" w:themeColor="hyperlink"/>
            <w:sz w:val="24"/>
            <w:szCs w:val="24"/>
            <w:u w:val="single"/>
          </w:rPr>
          <w:t>Cláudio Mascarenhas Brandão</w:t>
        </w:r>
        <w:r w:rsidRPr="00A0413E">
          <w:rPr>
            <w:rFonts w:ascii="Open Sans" w:hAnsi="Open Sans" w:cs="Open Sans"/>
            <w:bCs/>
            <w:color w:val="0000FF" w:themeColor="hyperlink"/>
            <w:sz w:val="24"/>
            <w:szCs w:val="24"/>
            <w:u w:val="single"/>
          </w:rPr>
          <w:t>, julgado em 14/6/2023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9E652F" w:rsidRPr="00A0413E" w:rsidRDefault="009E652F" w:rsidP="009E652F">
      <w:pPr>
        <w:ind w:left="-227" w:right="369"/>
        <w:jc w:val="both"/>
        <w:rPr>
          <w:rFonts w:ascii="Open Sans" w:hAnsi="Open Sans" w:cs="Open Sans"/>
          <w:bCs/>
          <w:color w:val="FF0000"/>
          <w:sz w:val="24"/>
          <w:szCs w:val="24"/>
        </w:rPr>
      </w:pPr>
      <w:proofErr w:type="gramStart"/>
      <w:r w:rsidRPr="00A0413E">
        <w:rPr>
          <w:rFonts w:ascii="Open Sans" w:hAnsi="Open Sans" w:cs="Open Sans"/>
          <w:sz w:val="24"/>
          <w:szCs w:val="24"/>
        </w:rPr>
        <w:t>“AGRAVO INTERNO.</w:t>
      </w:r>
      <w:proofErr w:type="gramEnd"/>
      <w:r w:rsidRPr="00A0413E">
        <w:rPr>
          <w:rFonts w:ascii="Open Sans" w:hAnsi="Open Sans" w:cs="Open Sans"/>
          <w:sz w:val="24"/>
          <w:szCs w:val="24"/>
        </w:rPr>
        <w:t xml:space="preserve"> EMBARGOS DE DECLARAÇÃO. RECURSO DE REVISTA. ACÓRDÃO REGIONAL. PUBLICAÇÃO ANTES DA VIGÊNCIA DA LEI Nº 13.015/2014. PLANO DE DEMISSÃO INCENTIVADA. BESC. QUITAÇÃO GERAL, AMPLA E IRRESTRITA. TEMA DE REPERCUSSÃO GERAL Nº 152. FATOS ESSENCIAIS (</w:t>
      </w:r>
      <w:r w:rsidRPr="00A0413E">
        <w:rPr>
          <w:rFonts w:ascii="Open Sans" w:hAnsi="Open Sans" w:cs="Open Sans"/>
          <w:i/>
          <w:sz w:val="24"/>
          <w:szCs w:val="24"/>
        </w:rPr>
        <w:t>MATERIAL FACTS</w:t>
      </w:r>
      <w:r w:rsidRPr="00A0413E">
        <w:rPr>
          <w:rFonts w:ascii="Open Sans" w:hAnsi="Open Sans" w:cs="Open Sans"/>
          <w:sz w:val="24"/>
          <w:szCs w:val="24"/>
        </w:rPr>
        <w:t>). CASO DESTES AUTOS. CASO DO PRECEDENTE (RE-590.415/SC-RG). ABSOLUTA IDENTIDADE. PRINCÍPIO DA ISONOMIA (</w:t>
      </w:r>
      <w:r w:rsidRPr="00A0413E">
        <w:rPr>
          <w:rFonts w:ascii="Open Sans" w:hAnsi="Open Sans" w:cs="Open Sans"/>
          <w:i/>
          <w:sz w:val="24"/>
          <w:szCs w:val="24"/>
        </w:rPr>
        <w:t>TREAT LIKE CASES ALIKE</w:t>
      </w:r>
      <w:r w:rsidRPr="00A0413E">
        <w:rPr>
          <w:rFonts w:ascii="Open Sans" w:hAnsi="Open Sans" w:cs="Open Sans"/>
          <w:sz w:val="24"/>
          <w:szCs w:val="24"/>
        </w:rPr>
        <w:t xml:space="preserve">). FIXAÇÃO - NO VERSO DO TRCT - DE PERCENTUAIS DO MONTANTE INDENIZATÓRIO. REGRA GERAL DA TRANSAÇÃO. DISTINÇÃO INEXISTENTE. DECLARAÇÃO DE QUITAÇÃO GERAL, AMPLA E IRRESTRITA QUE SE MANTÉM. I. A segurança jurídica como norma-princípio e com </w:t>
      </w:r>
      <w:r>
        <w:rPr>
          <w:rFonts w:ascii="Open Sans" w:hAnsi="Open Sans" w:cs="Open Sans"/>
          <w:sz w:val="24"/>
          <w:szCs w:val="24"/>
        </w:rPr>
        <w:tab/>
        <w:t>‘</w:t>
      </w:r>
      <w:r w:rsidRPr="000D3F97">
        <w:rPr>
          <w:rFonts w:ascii="Open Sans" w:hAnsi="Open Sans" w:cs="Open Sans"/>
          <w:sz w:val="24"/>
          <w:szCs w:val="24"/>
        </w:rPr>
        <w:t>vista ao futuro</w:t>
      </w:r>
      <w:r>
        <w:rPr>
          <w:rFonts w:ascii="Open Sans" w:hAnsi="Open Sans" w:cs="Open Sans"/>
          <w:sz w:val="24"/>
          <w:szCs w:val="24"/>
        </w:rPr>
        <w:t>’</w:t>
      </w:r>
      <w:r w:rsidRPr="000D3F97">
        <w:rPr>
          <w:rFonts w:ascii="Open Sans" w:hAnsi="Open Sans" w:cs="Open Sans"/>
          <w:sz w:val="24"/>
          <w:szCs w:val="24"/>
        </w:rPr>
        <w:t xml:space="preserve"> exige </w:t>
      </w:r>
      <w:r>
        <w:rPr>
          <w:rFonts w:ascii="Open Sans" w:hAnsi="Open Sans" w:cs="Open Sans"/>
          <w:sz w:val="24"/>
          <w:szCs w:val="24"/>
        </w:rPr>
        <w:t>‘</w:t>
      </w:r>
      <w:r w:rsidRPr="000D3F97">
        <w:rPr>
          <w:rFonts w:ascii="Open Sans" w:hAnsi="Open Sans" w:cs="Open Sans"/>
          <w:sz w:val="24"/>
          <w:szCs w:val="24"/>
        </w:rPr>
        <w:t>que se possa, em larga medida, antecipar alternativas interpretativas e efeitos normativos de normas jurídicas</w:t>
      </w:r>
      <w:r>
        <w:rPr>
          <w:rFonts w:ascii="Open Sans" w:hAnsi="Open Sans" w:cs="Open Sans"/>
          <w:sz w:val="24"/>
          <w:szCs w:val="24"/>
        </w:rPr>
        <w:t>’</w:t>
      </w:r>
      <w:r w:rsidRPr="000D3F97">
        <w:rPr>
          <w:rFonts w:ascii="Open Sans" w:hAnsi="Open Sans" w:cs="Open Sans"/>
          <w:sz w:val="24"/>
          <w:szCs w:val="24"/>
        </w:rPr>
        <w:t xml:space="preserve">. Denota esse sentido a palavra </w:t>
      </w:r>
      <w:r>
        <w:rPr>
          <w:rFonts w:ascii="Open Sans" w:hAnsi="Open Sans" w:cs="Open Sans"/>
          <w:sz w:val="24"/>
          <w:szCs w:val="24"/>
        </w:rPr>
        <w:t>‘</w:t>
      </w:r>
      <w:proofErr w:type="spellStart"/>
      <w:r w:rsidRPr="000D3F97">
        <w:rPr>
          <w:rFonts w:ascii="Open Sans" w:hAnsi="Open Sans" w:cs="Open Sans"/>
          <w:sz w:val="24"/>
          <w:szCs w:val="24"/>
        </w:rPr>
        <w:t>calculabilidade</w:t>
      </w:r>
      <w:proofErr w:type="spellEnd"/>
      <w:r>
        <w:rPr>
          <w:rFonts w:ascii="Open Sans" w:hAnsi="Open Sans" w:cs="Open Sans"/>
          <w:sz w:val="24"/>
          <w:szCs w:val="24"/>
        </w:rPr>
        <w:t>’</w:t>
      </w:r>
      <w:r w:rsidRPr="000D3F97">
        <w:rPr>
          <w:rFonts w:ascii="Open Sans" w:hAnsi="Open Sans" w:cs="Open Sans"/>
          <w:sz w:val="24"/>
          <w:szCs w:val="24"/>
        </w:rPr>
        <w:t xml:space="preserve">, que se traduz como </w:t>
      </w:r>
      <w:r>
        <w:rPr>
          <w:rFonts w:ascii="Open Sans" w:hAnsi="Open Sans" w:cs="Open Sans"/>
          <w:sz w:val="24"/>
          <w:szCs w:val="24"/>
        </w:rPr>
        <w:t>‘</w:t>
      </w:r>
      <w:r w:rsidRPr="000D3F97">
        <w:rPr>
          <w:rFonts w:ascii="Open Sans" w:hAnsi="Open Sans" w:cs="Open Sans"/>
          <w:sz w:val="24"/>
          <w:szCs w:val="24"/>
        </w:rPr>
        <w:t>a capacidade de o cidadão prever, em grande medida, os limites da intervenção do poder público sobre os atos que pratica</w:t>
      </w:r>
      <w:r>
        <w:rPr>
          <w:rFonts w:ascii="Open Sans" w:hAnsi="Open Sans" w:cs="Open Sans"/>
          <w:sz w:val="24"/>
          <w:szCs w:val="24"/>
        </w:rPr>
        <w:t>’</w:t>
      </w:r>
      <w:r w:rsidRPr="000D3F97">
        <w:rPr>
          <w:rFonts w:ascii="Open Sans" w:hAnsi="Open Sans" w:cs="Open Sans"/>
          <w:sz w:val="24"/>
          <w:szCs w:val="24"/>
        </w:rPr>
        <w:t>.</w:t>
      </w:r>
      <w:r w:rsidRPr="000D3F97">
        <w:rPr>
          <w:rFonts w:ascii="Open Sans" w:hAnsi="Open Sans" w:cs="Open Sans"/>
          <w:i/>
          <w:sz w:val="24"/>
          <w:szCs w:val="24"/>
        </w:rPr>
        <w:t xml:space="preserve"> </w:t>
      </w:r>
      <w:r w:rsidRPr="000D3F97">
        <w:rPr>
          <w:rFonts w:ascii="Open Sans" w:hAnsi="Open Sans" w:cs="Open Sans"/>
          <w:sz w:val="24"/>
          <w:szCs w:val="24"/>
        </w:rPr>
        <w:t>Sob essa</w:t>
      </w:r>
      <w:r w:rsidRPr="00A0413E">
        <w:rPr>
          <w:rFonts w:ascii="Open Sans" w:hAnsi="Open Sans" w:cs="Open Sans"/>
          <w:sz w:val="24"/>
          <w:szCs w:val="24"/>
        </w:rPr>
        <w:t xml:space="preserve"> perspectiva, o conhecimento prévio da intepretação definitiva de uma Corte Superior acerca do direito traduz-se em garantia de tratamento igual a todos. Destaca-se, ainda, da doutrina de Hart, que a certeza e o respeito das regras primárias e secundárias, bem como da regra de reconhecimento, deve figurar como elemento definidor do Direito, capaz de diferenciá-lo de outros sistemas. Extrai-se, dessas lições, a importância da </w:t>
      </w:r>
      <w:proofErr w:type="spellStart"/>
      <w:r w:rsidRPr="00A0413E">
        <w:rPr>
          <w:rFonts w:ascii="Open Sans" w:hAnsi="Open Sans" w:cs="Open Sans"/>
          <w:sz w:val="24"/>
          <w:szCs w:val="24"/>
        </w:rPr>
        <w:t>vinculabilidade</w:t>
      </w:r>
      <w:proofErr w:type="spellEnd"/>
      <w:r w:rsidRPr="00A0413E">
        <w:rPr>
          <w:rFonts w:ascii="Open Sans" w:hAnsi="Open Sans" w:cs="Open Sans"/>
          <w:sz w:val="24"/>
          <w:szCs w:val="24"/>
        </w:rPr>
        <w:t xml:space="preserve"> dos precedentes, de forma a propiciar que casos iguais sejam decididos de forma igual (</w:t>
      </w:r>
      <w:proofErr w:type="spellStart"/>
      <w:r w:rsidRPr="00A0413E">
        <w:rPr>
          <w:rFonts w:ascii="Open Sans" w:hAnsi="Open Sans" w:cs="Open Sans"/>
          <w:i/>
          <w:sz w:val="24"/>
          <w:szCs w:val="24"/>
        </w:rPr>
        <w:t>treat</w:t>
      </w:r>
      <w:proofErr w:type="spellEnd"/>
      <w:r w:rsidRPr="00A0413E">
        <w:rPr>
          <w:rFonts w:ascii="Open Sans" w:hAnsi="Open Sans" w:cs="Open Sans"/>
          <w:i/>
          <w:sz w:val="24"/>
          <w:szCs w:val="24"/>
        </w:rPr>
        <w:t xml:space="preserve"> </w:t>
      </w:r>
      <w:proofErr w:type="spellStart"/>
      <w:r w:rsidRPr="00A0413E">
        <w:rPr>
          <w:rFonts w:ascii="Open Sans" w:hAnsi="Open Sans" w:cs="Open Sans"/>
          <w:i/>
          <w:sz w:val="24"/>
          <w:szCs w:val="24"/>
        </w:rPr>
        <w:t>like</w:t>
      </w:r>
      <w:proofErr w:type="spellEnd"/>
      <w:r w:rsidRPr="00A0413E">
        <w:rPr>
          <w:rFonts w:ascii="Open Sans" w:hAnsi="Open Sans" w:cs="Open Sans"/>
          <w:i/>
          <w:sz w:val="24"/>
          <w:szCs w:val="24"/>
        </w:rPr>
        <w:t xml:space="preserve"> cases </w:t>
      </w:r>
      <w:proofErr w:type="spellStart"/>
      <w:r w:rsidRPr="00A0413E">
        <w:rPr>
          <w:rFonts w:ascii="Open Sans" w:hAnsi="Open Sans" w:cs="Open Sans"/>
          <w:i/>
          <w:sz w:val="24"/>
          <w:szCs w:val="24"/>
        </w:rPr>
        <w:t>alike</w:t>
      </w:r>
      <w:proofErr w:type="spellEnd"/>
      <w:r w:rsidRPr="00A0413E">
        <w:rPr>
          <w:rFonts w:ascii="Open Sans" w:hAnsi="Open Sans" w:cs="Open Sans"/>
          <w:sz w:val="24"/>
          <w:szCs w:val="24"/>
        </w:rPr>
        <w:t xml:space="preserve">). Para que um precedente possa ser aplicado a um caso futuro há de se identificar sua </w:t>
      </w:r>
      <w:proofErr w:type="spellStart"/>
      <w:r w:rsidRPr="00A0413E">
        <w:rPr>
          <w:rFonts w:ascii="Open Sans" w:hAnsi="Open Sans" w:cs="Open Sans"/>
          <w:i/>
          <w:sz w:val="24"/>
          <w:szCs w:val="24"/>
        </w:rPr>
        <w:t>ratio</w:t>
      </w:r>
      <w:proofErr w:type="spellEnd"/>
      <w:r w:rsidRPr="00A0413E">
        <w:rPr>
          <w:rFonts w:ascii="Open Sans" w:hAnsi="Open Sans" w:cs="Open Sans"/>
          <w:i/>
          <w:sz w:val="24"/>
          <w:szCs w:val="24"/>
        </w:rPr>
        <w:t xml:space="preserve"> </w:t>
      </w:r>
      <w:proofErr w:type="spellStart"/>
      <w:r w:rsidRPr="00A0413E">
        <w:rPr>
          <w:rFonts w:ascii="Open Sans" w:hAnsi="Open Sans" w:cs="Open Sans"/>
          <w:i/>
          <w:sz w:val="24"/>
          <w:szCs w:val="24"/>
        </w:rPr>
        <w:t>decidendi</w:t>
      </w:r>
      <w:proofErr w:type="spellEnd"/>
      <w:r w:rsidRPr="00A0413E">
        <w:rPr>
          <w:rFonts w:ascii="Open Sans" w:hAnsi="Open Sans" w:cs="Open Sans"/>
          <w:sz w:val="24"/>
          <w:szCs w:val="24"/>
        </w:rPr>
        <w:t>, colocando-se em evidência os fatos essenciais (</w:t>
      </w:r>
      <w:r w:rsidRPr="00A0413E">
        <w:rPr>
          <w:rFonts w:ascii="Open Sans" w:hAnsi="Open Sans" w:cs="Open Sans"/>
          <w:i/>
          <w:sz w:val="24"/>
          <w:szCs w:val="24"/>
        </w:rPr>
        <w:t xml:space="preserve">material </w:t>
      </w:r>
      <w:proofErr w:type="spellStart"/>
      <w:r w:rsidRPr="00A0413E">
        <w:rPr>
          <w:rFonts w:ascii="Open Sans" w:hAnsi="Open Sans" w:cs="Open Sans"/>
          <w:i/>
          <w:sz w:val="24"/>
          <w:szCs w:val="24"/>
        </w:rPr>
        <w:t>facts</w:t>
      </w:r>
      <w:proofErr w:type="spellEnd"/>
      <w:r w:rsidRPr="00A0413E">
        <w:rPr>
          <w:rFonts w:ascii="Open Sans" w:hAnsi="Open Sans" w:cs="Open Sans"/>
          <w:sz w:val="24"/>
          <w:szCs w:val="24"/>
        </w:rPr>
        <w:t>) da causa-piloto e aferindo-se a presença de identidade substancial ou correspondência morfofuncional com os fatos da causa que se irá julgar. Havendo estrita identidade ou correspondência, dá-se a aplicação direta (</w:t>
      </w:r>
      <w:proofErr w:type="spellStart"/>
      <w:r w:rsidRPr="00A0413E">
        <w:rPr>
          <w:rFonts w:ascii="Open Sans" w:hAnsi="Open Sans" w:cs="Open Sans"/>
          <w:i/>
          <w:sz w:val="24"/>
          <w:szCs w:val="24"/>
        </w:rPr>
        <w:t>following</w:t>
      </w:r>
      <w:proofErr w:type="spellEnd"/>
      <w:r w:rsidRPr="00A0413E">
        <w:rPr>
          <w:rFonts w:ascii="Open Sans" w:hAnsi="Open Sans" w:cs="Open Sans"/>
          <w:sz w:val="24"/>
          <w:szCs w:val="24"/>
        </w:rPr>
        <w:t xml:space="preserve">) da </w:t>
      </w:r>
      <w:proofErr w:type="spellStart"/>
      <w:r w:rsidRPr="00A0413E">
        <w:rPr>
          <w:rFonts w:ascii="Open Sans" w:hAnsi="Open Sans" w:cs="Open Sans"/>
          <w:i/>
          <w:sz w:val="24"/>
          <w:szCs w:val="24"/>
        </w:rPr>
        <w:t>ratio</w:t>
      </w:r>
      <w:proofErr w:type="spellEnd"/>
      <w:r w:rsidRPr="00A0413E">
        <w:rPr>
          <w:rFonts w:ascii="Open Sans" w:hAnsi="Open Sans" w:cs="Open Sans"/>
          <w:i/>
          <w:sz w:val="24"/>
          <w:szCs w:val="24"/>
        </w:rPr>
        <w:t xml:space="preserve"> </w:t>
      </w:r>
      <w:proofErr w:type="spellStart"/>
      <w:r w:rsidRPr="00A0413E">
        <w:rPr>
          <w:rFonts w:ascii="Open Sans" w:hAnsi="Open Sans" w:cs="Open Sans"/>
          <w:i/>
          <w:sz w:val="24"/>
          <w:szCs w:val="24"/>
        </w:rPr>
        <w:t>decidendi</w:t>
      </w:r>
      <w:proofErr w:type="spellEnd"/>
      <w:r w:rsidRPr="00A0413E">
        <w:rPr>
          <w:rFonts w:ascii="Open Sans" w:hAnsi="Open Sans" w:cs="Open Sans"/>
          <w:sz w:val="24"/>
          <w:szCs w:val="24"/>
        </w:rPr>
        <w:t xml:space="preserve">. Não havendo similaridade suficiente, terá lugar a aplicação </w:t>
      </w:r>
      <w:proofErr w:type="gramStart"/>
      <w:r w:rsidRPr="00A0413E">
        <w:rPr>
          <w:rFonts w:ascii="Open Sans" w:hAnsi="Open Sans" w:cs="Open Sans"/>
          <w:sz w:val="24"/>
          <w:szCs w:val="24"/>
        </w:rPr>
        <w:t>analógica</w:t>
      </w:r>
      <w:proofErr w:type="gramEnd"/>
      <w:r w:rsidRPr="00A0413E">
        <w:rPr>
          <w:rFonts w:ascii="Open Sans" w:hAnsi="Open Sans" w:cs="Open Sans"/>
          <w:sz w:val="24"/>
          <w:szCs w:val="24"/>
        </w:rPr>
        <w:t xml:space="preserve"> (não vinculativa) ou a distinção (</w:t>
      </w:r>
      <w:proofErr w:type="spellStart"/>
      <w:r w:rsidRPr="00A0413E">
        <w:rPr>
          <w:rFonts w:ascii="Open Sans" w:hAnsi="Open Sans" w:cs="Open Sans"/>
          <w:i/>
          <w:sz w:val="24"/>
          <w:szCs w:val="24"/>
        </w:rPr>
        <w:t>distinguishing</w:t>
      </w:r>
      <w:proofErr w:type="spellEnd"/>
      <w:r w:rsidRPr="00A0413E">
        <w:rPr>
          <w:rFonts w:ascii="Open Sans" w:hAnsi="Open Sans" w:cs="Open Sans"/>
          <w:sz w:val="24"/>
          <w:szCs w:val="24"/>
        </w:rPr>
        <w:t>). II. A causa-piloto (</w:t>
      </w:r>
      <w:proofErr w:type="gramStart"/>
      <w:r w:rsidRPr="00A0413E">
        <w:rPr>
          <w:rFonts w:ascii="Open Sans" w:hAnsi="Open Sans" w:cs="Open Sans"/>
          <w:sz w:val="24"/>
          <w:szCs w:val="24"/>
        </w:rPr>
        <w:t>RE-590.415</w:t>
      </w:r>
      <w:proofErr w:type="gramEnd"/>
      <w:r w:rsidRPr="00A0413E">
        <w:rPr>
          <w:rFonts w:ascii="Open Sans" w:hAnsi="Open Sans" w:cs="Open Sans"/>
          <w:sz w:val="24"/>
          <w:szCs w:val="24"/>
        </w:rPr>
        <w:t xml:space="preserve">/SC-RG) que, </w:t>
      </w:r>
      <w:r w:rsidRPr="00A0413E">
        <w:rPr>
          <w:rFonts w:ascii="Open Sans" w:hAnsi="Open Sans" w:cs="Open Sans"/>
          <w:i/>
          <w:sz w:val="24"/>
          <w:szCs w:val="24"/>
        </w:rPr>
        <w:t xml:space="preserve">primo </w:t>
      </w:r>
      <w:proofErr w:type="spellStart"/>
      <w:r w:rsidRPr="00A0413E">
        <w:rPr>
          <w:rFonts w:ascii="Open Sans" w:hAnsi="Open Sans" w:cs="Open Sans"/>
          <w:i/>
          <w:sz w:val="24"/>
          <w:szCs w:val="24"/>
        </w:rPr>
        <w:t>icto</w:t>
      </w:r>
      <w:proofErr w:type="spellEnd"/>
      <w:r w:rsidRPr="00A0413E">
        <w:rPr>
          <w:rFonts w:ascii="Open Sans" w:hAnsi="Open Sans" w:cs="Open Sans"/>
          <w:i/>
          <w:sz w:val="24"/>
          <w:szCs w:val="24"/>
        </w:rPr>
        <w:t xml:space="preserve"> </w:t>
      </w:r>
      <w:proofErr w:type="spellStart"/>
      <w:r w:rsidRPr="00A0413E">
        <w:rPr>
          <w:rFonts w:ascii="Open Sans" w:hAnsi="Open Sans" w:cs="Open Sans"/>
          <w:i/>
          <w:sz w:val="24"/>
          <w:szCs w:val="24"/>
        </w:rPr>
        <w:t>oculi</w:t>
      </w:r>
      <w:proofErr w:type="spellEnd"/>
      <w:r w:rsidRPr="00A0413E">
        <w:rPr>
          <w:rFonts w:ascii="Open Sans" w:hAnsi="Open Sans" w:cs="Open Sans"/>
          <w:sz w:val="24"/>
          <w:szCs w:val="24"/>
        </w:rPr>
        <w:t>, é diretamente aplicável (</w:t>
      </w:r>
      <w:proofErr w:type="spellStart"/>
      <w:r w:rsidRPr="00A0413E">
        <w:rPr>
          <w:rFonts w:ascii="Open Sans" w:hAnsi="Open Sans" w:cs="Open Sans"/>
          <w:i/>
          <w:sz w:val="24"/>
          <w:szCs w:val="24"/>
        </w:rPr>
        <w:t>following</w:t>
      </w:r>
      <w:proofErr w:type="spellEnd"/>
      <w:r w:rsidRPr="00A0413E">
        <w:rPr>
          <w:rFonts w:ascii="Open Sans" w:hAnsi="Open Sans" w:cs="Open Sans"/>
          <w:sz w:val="24"/>
          <w:szCs w:val="24"/>
        </w:rPr>
        <w:t xml:space="preserve">) ao caso dos presentes autos, ensejou a fixação, no Tema de Repercussão Geral nº 152, da seguinte tese: </w:t>
      </w:r>
      <w:r>
        <w:rPr>
          <w:rFonts w:ascii="Open Sans" w:hAnsi="Open Sans" w:cs="Open Sans"/>
          <w:sz w:val="24"/>
          <w:szCs w:val="24"/>
        </w:rPr>
        <w:t>‘</w:t>
      </w:r>
      <w:r w:rsidRPr="00FD1E5B">
        <w:rPr>
          <w:rFonts w:ascii="Open Sans" w:hAnsi="Open Sans" w:cs="Open Sans"/>
          <w:sz w:val="24"/>
          <w:szCs w:val="24"/>
        </w:rPr>
        <w:t xml:space="preserve">A transação extrajudicial que importa rescisão do contrato de trabalho, em razão de adesão voluntária do empregado a plano de dispensa incentivada, enseja quitação ampla e irrestrita de todas as parcelas objeto do contrato de emprego, caso essa condição tenha constado expressamente do acordo coletivo que aprovou o plano, </w:t>
      </w:r>
      <w:r w:rsidRPr="00FD1E5B">
        <w:rPr>
          <w:rFonts w:ascii="Open Sans" w:hAnsi="Open Sans" w:cs="Open Sans"/>
          <w:sz w:val="24"/>
          <w:szCs w:val="24"/>
        </w:rPr>
        <w:lastRenderedPageBreak/>
        <w:t>bem como dos demais instrumentos celebrados com o empregado</w:t>
      </w:r>
      <w:r>
        <w:rPr>
          <w:rFonts w:ascii="Open Sans" w:hAnsi="Open Sans" w:cs="Open Sans"/>
          <w:sz w:val="24"/>
          <w:szCs w:val="24"/>
        </w:rPr>
        <w:t>’</w:t>
      </w:r>
      <w:r w:rsidRPr="00A0413E">
        <w:rPr>
          <w:rFonts w:ascii="Open Sans" w:hAnsi="Open Sans" w:cs="Open Sans"/>
          <w:sz w:val="24"/>
          <w:szCs w:val="24"/>
        </w:rPr>
        <w:t xml:space="preserve">. No acórdão paradigma, o Ministro Luís Roberto Barroso, Relator, registrou que a rescisão do contrato de trabalho deu-se em razão de adesão do empregado ao Plano de Demissão Incentivada de 2001 do Banco do Estado de Santa Catarina - BESC (PDI/2001), aprovado mediante acordo coletivo; e que o Regulamento do PDI dispõe que </w:t>
      </w:r>
      <w:r>
        <w:rPr>
          <w:rFonts w:ascii="Open Sans" w:hAnsi="Open Sans" w:cs="Open Sans"/>
          <w:sz w:val="24"/>
          <w:szCs w:val="24"/>
        </w:rPr>
        <w:t>‘</w:t>
      </w:r>
      <w:r w:rsidRPr="004731E6">
        <w:rPr>
          <w:rFonts w:ascii="Open Sans" w:hAnsi="Open Sans" w:cs="Open Sans"/>
          <w:sz w:val="24"/>
          <w:szCs w:val="24"/>
        </w:rPr>
        <w:t>o recebimento dos valores pagos a título de rescisão contratual e indenização implicará plena, geral e irrestrita quitação de todas as verbas decorrentes do extinto contrato de trabalho, não havendo sobre ele nada mais a reclamar pleitear a qualquer título</w:t>
      </w:r>
      <w:r>
        <w:rPr>
          <w:rFonts w:ascii="Open Sans" w:hAnsi="Open Sans" w:cs="Open Sans"/>
          <w:sz w:val="24"/>
          <w:szCs w:val="24"/>
        </w:rPr>
        <w:t>’</w:t>
      </w:r>
      <w:r w:rsidRPr="00A0413E">
        <w:rPr>
          <w:rFonts w:ascii="Open Sans" w:hAnsi="Open Sans" w:cs="Open Sans"/>
          <w:sz w:val="24"/>
          <w:szCs w:val="24"/>
        </w:rPr>
        <w:t xml:space="preserve"> (RE-590.415, acórdão eletrônico - repercussão geral - mérito, </w:t>
      </w:r>
      <w:proofErr w:type="gramStart"/>
      <w:r w:rsidRPr="00A0413E">
        <w:rPr>
          <w:rFonts w:ascii="Open Sans" w:hAnsi="Open Sans" w:cs="Open Sans"/>
          <w:sz w:val="24"/>
          <w:szCs w:val="24"/>
        </w:rPr>
        <w:t>DJe</w:t>
      </w:r>
      <w:proofErr w:type="gramEnd"/>
      <w:r w:rsidRPr="00A0413E">
        <w:rPr>
          <w:rFonts w:ascii="Open Sans" w:hAnsi="Open Sans" w:cs="Open Sans"/>
          <w:sz w:val="24"/>
          <w:szCs w:val="24"/>
        </w:rPr>
        <w:t xml:space="preserve">-101 de 29/5/2015)(sem destaque no original). III. Consoante exegese que se </w:t>
      </w:r>
      <w:proofErr w:type="gramStart"/>
      <w:r w:rsidRPr="00A0413E">
        <w:rPr>
          <w:rFonts w:ascii="Open Sans" w:hAnsi="Open Sans" w:cs="Open Sans"/>
          <w:sz w:val="24"/>
          <w:szCs w:val="24"/>
        </w:rPr>
        <w:t>extrai,</w:t>
      </w:r>
      <w:proofErr w:type="gramEnd"/>
      <w:r w:rsidRPr="00A0413E">
        <w:rPr>
          <w:rFonts w:ascii="Open Sans" w:hAnsi="Open Sans" w:cs="Open Sans"/>
          <w:sz w:val="24"/>
          <w:szCs w:val="24"/>
        </w:rPr>
        <w:t xml:space="preserve"> a </w:t>
      </w:r>
      <w:r w:rsidRPr="00A0413E">
        <w:rPr>
          <w:rFonts w:ascii="Open Sans" w:hAnsi="Open Sans" w:cs="Open Sans"/>
          <w:i/>
          <w:sz w:val="24"/>
          <w:szCs w:val="24"/>
        </w:rPr>
        <w:t>contrario sensu</w:t>
      </w:r>
      <w:r w:rsidRPr="00A0413E">
        <w:rPr>
          <w:rFonts w:ascii="Open Sans" w:hAnsi="Open Sans" w:cs="Open Sans"/>
          <w:sz w:val="24"/>
          <w:szCs w:val="24"/>
        </w:rPr>
        <w:t xml:space="preserve">, do art. 988, § 5º, II, do CPC de 2015, cabe reclamação para o Supremo Tribunal Federal da decisão de última instância que deixa de observar </w:t>
      </w:r>
      <w:r>
        <w:rPr>
          <w:rFonts w:ascii="Open Sans" w:hAnsi="Open Sans" w:cs="Open Sans"/>
          <w:sz w:val="24"/>
          <w:szCs w:val="24"/>
        </w:rPr>
        <w:t>‘</w:t>
      </w:r>
      <w:r w:rsidRPr="004731E6">
        <w:rPr>
          <w:rFonts w:ascii="Open Sans" w:hAnsi="Open Sans" w:cs="Open Sans"/>
          <w:sz w:val="24"/>
          <w:szCs w:val="24"/>
        </w:rPr>
        <w:t>acórdão de recurso extraordinário com repercussão geral reconhecida</w:t>
      </w:r>
      <w:r>
        <w:rPr>
          <w:rFonts w:ascii="Open Sans" w:hAnsi="Open Sans" w:cs="Open Sans"/>
          <w:sz w:val="24"/>
          <w:szCs w:val="24"/>
        </w:rPr>
        <w:t>’</w:t>
      </w:r>
      <w:r w:rsidRPr="00A0413E">
        <w:rPr>
          <w:rFonts w:ascii="Open Sans" w:hAnsi="Open Sans" w:cs="Open Sans"/>
          <w:sz w:val="24"/>
          <w:szCs w:val="24"/>
        </w:rPr>
        <w:t xml:space="preserve">. Como se sabe, diferentemente do que ocorre na Justiça Comum, o esgotamento de instância para fins de interposição de recurso extraordinário dá-se, em regra, pelo julgamento da questão constitucional por uma das Turmas do TST, ressalvadas as situações em que a matéria é alçada a Órgão de hierarquia superior do próprio TST, o que ocorre, por exemplo, quando interpostos embargos à SBDI-1 ou suscitados IRR, IAC ou incidente de inconstitucionalidade. Conclui-se, nesse contexto, que os acórdãos exarados sob a sistemática da repercussão geral possuem eficácia vinculativa vertical plena sob as Turmas do TST, que deverão julgar os casos futuros semelhantes sob a regência da </w:t>
      </w:r>
      <w:proofErr w:type="spellStart"/>
      <w:r w:rsidRPr="00A0413E">
        <w:rPr>
          <w:rFonts w:ascii="Open Sans" w:hAnsi="Open Sans" w:cs="Open Sans"/>
          <w:i/>
          <w:sz w:val="24"/>
          <w:szCs w:val="24"/>
        </w:rPr>
        <w:t>ratio</w:t>
      </w:r>
      <w:proofErr w:type="spellEnd"/>
      <w:r w:rsidRPr="00A0413E">
        <w:rPr>
          <w:rFonts w:ascii="Open Sans" w:hAnsi="Open Sans" w:cs="Open Sans"/>
          <w:i/>
          <w:sz w:val="24"/>
          <w:szCs w:val="24"/>
        </w:rPr>
        <w:t xml:space="preserve"> </w:t>
      </w:r>
      <w:proofErr w:type="spellStart"/>
      <w:r w:rsidRPr="00A0413E">
        <w:rPr>
          <w:rFonts w:ascii="Open Sans" w:hAnsi="Open Sans" w:cs="Open Sans"/>
          <w:i/>
          <w:sz w:val="24"/>
          <w:szCs w:val="24"/>
        </w:rPr>
        <w:t>decidendi</w:t>
      </w:r>
      <w:proofErr w:type="spellEnd"/>
      <w:r w:rsidRPr="00A0413E">
        <w:rPr>
          <w:rFonts w:ascii="Open Sans" w:hAnsi="Open Sans" w:cs="Open Sans"/>
          <w:sz w:val="24"/>
          <w:szCs w:val="24"/>
        </w:rPr>
        <w:t xml:space="preserve"> do caso-piloto, </w:t>
      </w:r>
      <w:proofErr w:type="gramStart"/>
      <w:r w:rsidRPr="00A0413E">
        <w:rPr>
          <w:rFonts w:ascii="Open Sans" w:hAnsi="Open Sans" w:cs="Open Sans"/>
          <w:sz w:val="24"/>
          <w:szCs w:val="24"/>
        </w:rPr>
        <w:t>sob pena</w:t>
      </w:r>
      <w:proofErr w:type="gramEnd"/>
      <w:r w:rsidRPr="00A0413E">
        <w:rPr>
          <w:rFonts w:ascii="Open Sans" w:hAnsi="Open Sans" w:cs="Open Sans"/>
          <w:sz w:val="24"/>
          <w:szCs w:val="24"/>
        </w:rPr>
        <w:t xml:space="preserve"> de cassação do acórdão pela via da reclamação, salvo nos casos de distinção ou superação robustamente fundamentados. IV. Refluindo de posicionamento adotado no RR-18785-03.2006.5.12.001, julgado em 26/10/2022, não há como considerar como distinção a quitação das parcelas constantes no verso do TRCT fixadas em percentuais, haja vista que não se trata de exceção, mas de regra geral adotada na adesão ao PDI/2001, integrando, assim, o rol de fatos essenciais (</w:t>
      </w:r>
      <w:r w:rsidRPr="00A0413E">
        <w:rPr>
          <w:rFonts w:ascii="Open Sans" w:hAnsi="Open Sans" w:cs="Open Sans"/>
          <w:i/>
          <w:sz w:val="24"/>
          <w:szCs w:val="24"/>
        </w:rPr>
        <w:t xml:space="preserve">material </w:t>
      </w:r>
      <w:proofErr w:type="spellStart"/>
      <w:r w:rsidRPr="00A0413E">
        <w:rPr>
          <w:rFonts w:ascii="Open Sans" w:hAnsi="Open Sans" w:cs="Open Sans"/>
          <w:i/>
          <w:sz w:val="24"/>
          <w:szCs w:val="24"/>
        </w:rPr>
        <w:t>facts</w:t>
      </w:r>
      <w:proofErr w:type="spellEnd"/>
      <w:r w:rsidRPr="00A0413E">
        <w:rPr>
          <w:rFonts w:ascii="Open Sans" w:hAnsi="Open Sans" w:cs="Open Sans"/>
          <w:sz w:val="24"/>
          <w:szCs w:val="24"/>
        </w:rPr>
        <w:t>) considerados no caso-piloto. Extraem-se, assim, do acórdão regional, todas as premissas fáticas necessárias à aplicação do precedente uniformizador do Supremo Tribunal Federal, pois o presente caso não é somente semelhante e sim quase idêntico à causa-piloto, o que enseja a aplicação direta (</w:t>
      </w:r>
      <w:proofErr w:type="spellStart"/>
      <w:r w:rsidRPr="00A0413E">
        <w:rPr>
          <w:rFonts w:ascii="Open Sans" w:hAnsi="Open Sans" w:cs="Open Sans"/>
          <w:i/>
          <w:sz w:val="24"/>
          <w:szCs w:val="24"/>
        </w:rPr>
        <w:t>following</w:t>
      </w:r>
      <w:proofErr w:type="spellEnd"/>
      <w:r w:rsidRPr="00A0413E">
        <w:rPr>
          <w:rFonts w:ascii="Open Sans" w:hAnsi="Open Sans" w:cs="Open Sans"/>
          <w:sz w:val="24"/>
          <w:szCs w:val="24"/>
        </w:rPr>
        <w:t>) do precedente (</w:t>
      </w:r>
      <w:proofErr w:type="gramStart"/>
      <w:r w:rsidRPr="00A0413E">
        <w:rPr>
          <w:rFonts w:ascii="Open Sans" w:hAnsi="Open Sans" w:cs="Open Sans"/>
          <w:sz w:val="24"/>
          <w:szCs w:val="24"/>
        </w:rPr>
        <w:t>RE-590.415</w:t>
      </w:r>
      <w:proofErr w:type="gramEnd"/>
      <w:r w:rsidRPr="00A0413E">
        <w:rPr>
          <w:rFonts w:ascii="Open Sans" w:hAnsi="Open Sans" w:cs="Open Sans"/>
          <w:sz w:val="24"/>
          <w:szCs w:val="24"/>
        </w:rPr>
        <w:t xml:space="preserve">/SC-RG). V. Constatando-se, portanto, que o caso dos autos demanda a aplicação direta do precedente RE-590.415/SC-RG, que consubstancia o Tema nº 152 da Tabela de Repercussão Geral do STF, há que se manter incólume </w:t>
      </w:r>
      <w:proofErr w:type="gramStart"/>
      <w:r w:rsidRPr="00A0413E">
        <w:rPr>
          <w:rFonts w:ascii="Open Sans" w:hAnsi="Open Sans" w:cs="Open Sans"/>
          <w:sz w:val="24"/>
          <w:szCs w:val="24"/>
        </w:rPr>
        <w:t>a</w:t>
      </w:r>
      <w:proofErr w:type="gramEnd"/>
      <w:r w:rsidRPr="00A0413E">
        <w:rPr>
          <w:rFonts w:ascii="Open Sans" w:hAnsi="Open Sans" w:cs="Open Sans"/>
          <w:sz w:val="24"/>
          <w:szCs w:val="24"/>
        </w:rPr>
        <w:t xml:space="preserve"> decisão unipessoal em que se julgou extinto o processo, com resolução de mérito, nos termos do art. 487, III, “b”, do CPC de 2015. VI. </w:t>
      </w:r>
      <w:proofErr w:type="gramStart"/>
      <w:r w:rsidRPr="00A0413E">
        <w:rPr>
          <w:rFonts w:ascii="Open Sans" w:hAnsi="Open Sans" w:cs="Open Sans"/>
          <w:sz w:val="24"/>
          <w:szCs w:val="24"/>
        </w:rPr>
        <w:t>Agravo interno interposto pela parte reclamante de que se conhece e a que se nega provimento.”</w:t>
      </w:r>
      <w:proofErr w:type="gramEnd"/>
      <w:r w:rsidRPr="00A0413E">
        <w:rPr>
          <w:rFonts w:ascii="Open Sans" w:hAnsi="Open Sans" w:cs="Open Sans"/>
          <w:sz w:val="24"/>
          <w:szCs w:val="24"/>
        </w:rPr>
        <w:t xml:space="preserve"> (</w:t>
      </w:r>
      <w:hyperlink r:id="rId24" w:history="1">
        <w:r w:rsidRPr="00A0413E">
          <w:rPr>
            <w:rStyle w:val="Hyperlink"/>
            <w:rFonts w:ascii="Open Sans" w:hAnsi="Open Sans" w:cs="Open Sans"/>
            <w:sz w:val="24"/>
            <w:szCs w:val="24"/>
          </w:rPr>
          <w:t xml:space="preserve">TST-Ag-ED-RR-6354-29.2010.5.12.0035, 7ª Turma, rel. Min. </w:t>
        </w:r>
        <w:r w:rsidRPr="00A0413E">
          <w:rPr>
            <w:rStyle w:val="Hyperlink"/>
            <w:rFonts w:ascii="Open Sans" w:hAnsi="Open Sans" w:cs="Open Sans"/>
            <w:bCs/>
            <w:sz w:val="24"/>
            <w:szCs w:val="24"/>
          </w:rPr>
          <w:t>Evandro Pereira Valadão Lopes, julgado em 31/5/2023</w:t>
        </w:r>
      </w:hyperlink>
      <w:r>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9E652F" w:rsidRDefault="009E652F" w:rsidP="009E652F">
      <w:pPr>
        <w:ind w:left="-227" w:right="369"/>
        <w:jc w:val="both"/>
        <w:rPr>
          <w:rFonts w:ascii="Open Sans" w:hAnsi="Open Sans" w:cs="Open Sans"/>
          <w:sz w:val="24"/>
          <w:szCs w:val="24"/>
        </w:rPr>
      </w:pPr>
      <w:r w:rsidRPr="00A0413E">
        <w:rPr>
          <w:rFonts w:ascii="Open Sans" w:hAnsi="Open Sans" w:cs="Open Sans"/>
          <w:sz w:val="24"/>
          <w:szCs w:val="24"/>
        </w:rPr>
        <w:t xml:space="preserve">“[...] RECURSO DE REVISTA. HORA EXTRA. DIVISOR. NORMA COLETIVA. JORNADA DE 7 HORAS E 30 MINUTOS. ART. 64 DA CLT. E SÚMULA 431 DO TST. INAPLICABILIDADE. INCIDÊNCIA DA TESE JURÍDICA. TEMA 1046 – TABELA DE REPERCUSSÃO GERAL - STF. TRANSCENDÊNCIA. RECONHECIMENTO. I. Nos termos do art. 896-A da CLT, cabe a esta Corte Superior examinar, previamente, se a causa oferece transcendência sob o prisma de quatro vetores taxativos (econômico, político, social e jurídico), que se </w:t>
      </w:r>
      <w:r w:rsidRPr="00A0413E">
        <w:rPr>
          <w:rFonts w:ascii="Open Sans" w:hAnsi="Open Sans" w:cs="Open Sans"/>
          <w:sz w:val="24"/>
          <w:szCs w:val="24"/>
        </w:rPr>
        <w:lastRenderedPageBreak/>
        <w:t xml:space="preserve">desdobram em um rol de indicadores meramente exemplificativo, referidos nos incisos I a IV do dispositivo em apreço. No caso vertente, observa-se, que a questão relativa ao tema </w:t>
      </w:r>
      <w:r>
        <w:rPr>
          <w:rFonts w:ascii="Open Sans" w:hAnsi="Open Sans" w:cs="Open Sans"/>
          <w:sz w:val="24"/>
          <w:szCs w:val="24"/>
        </w:rPr>
        <w:t>‘</w:t>
      </w:r>
      <w:r w:rsidRPr="00A0413E">
        <w:rPr>
          <w:rFonts w:ascii="Open Sans" w:hAnsi="Open Sans" w:cs="Open Sans"/>
          <w:sz w:val="24"/>
          <w:szCs w:val="24"/>
        </w:rPr>
        <w:t xml:space="preserve">Hora extra. Divisor. Norma coletiva. Jornada de 7 horas e 30 minutos. Art. 64 da CLT e Súmula 431 do TST. Inaplicabilidade. Incidência de tese jurídica. Tema 1046 – Tabela de Repercussão Geral - </w:t>
      </w:r>
      <w:proofErr w:type="gramStart"/>
      <w:r w:rsidRPr="00A0413E">
        <w:rPr>
          <w:rFonts w:ascii="Open Sans" w:hAnsi="Open Sans" w:cs="Open Sans"/>
          <w:sz w:val="24"/>
          <w:szCs w:val="24"/>
        </w:rPr>
        <w:t>STF.</w:t>
      </w:r>
      <w:proofErr w:type="gramEnd"/>
      <w:r>
        <w:rPr>
          <w:rFonts w:ascii="Open Sans" w:hAnsi="Open Sans" w:cs="Open Sans"/>
          <w:sz w:val="24"/>
          <w:szCs w:val="24"/>
        </w:rPr>
        <w:t>’</w:t>
      </w:r>
      <w:r w:rsidRPr="00A0413E">
        <w:rPr>
          <w:rFonts w:ascii="Open Sans" w:hAnsi="Open Sans" w:cs="Open Sans"/>
          <w:sz w:val="24"/>
          <w:szCs w:val="24"/>
        </w:rPr>
        <w:t xml:space="preserve"> oferece transcendência política, haja vista que a causa em que a síntese normativo-material apresentada reflete a contrariedade, pelo Tribunal Regional, a súmula ou orientação jurisprudencial do TST, a súmula do STF ou a decisões oriundas dos microssistemas de formação de precedentes, de recursos repetitivos ou de repercussão geral. II. No caso vertente, a questão versa sobre a aplicação do divisor 187,5 para o cálculo das horas extras concernentes ao exercício efetivo de jornada de trabalho de 37,5 horas semanais, tendo o Tribunal Regional considerado que, mantido o divisor por meio de Norma Coletiva, não obstante a redução de jornada, aquela deveria ser respeitada para garantir a aplicação do divisor 220. III. O Supremo Tribunal Federal, no julgamento em que fixou a tese jurídica para o Tema 1046 da Tabela de Repercussão Geral, decidiu que </w:t>
      </w:r>
      <w:r>
        <w:rPr>
          <w:rFonts w:ascii="Open Sans" w:hAnsi="Open Sans" w:cs="Open Sans"/>
          <w:sz w:val="24"/>
          <w:szCs w:val="24"/>
        </w:rPr>
        <w:t>‘</w:t>
      </w:r>
      <w:r w:rsidRPr="00A0413E">
        <w:rPr>
          <w:rFonts w:ascii="Open Sans" w:hAnsi="Open Sans" w:cs="Open Sans"/>
          <w:sz w:val="24"/>
          <w:szCs w:val="24"/>
        </w:rPr>
        <w:t xml:space="preserve">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w:t>
      </w:r>
      <w:proofErr w:type="gramStart"/>
      <w:r w:rsidRPr="00A0413E">
        <w:rPr>
          <w:rFonts w:ascii="Open Sans" w:hAnsi="Open Sans" w:cs="Open Sans"/>
          <w:sz w:val="24"/>
          <w:szCs w:val="24"/>
        </w:rPr>
        <w:t>indisponíveis</w:t>
      </w:r>
      <w:proofErr w:type="gramEnd"/>
      <w:r w:rsidRPr="004731E6">
        <w:rPr>
          <w:rFonts w:ascii="Open Sans" w:hAnsi="Open Sans" w:cs="Open Sans"/>
          <w:sz w:val="24"/>
          <w:szCs w:val="24"/>
        </w:rPr>
        <w:t>’</w:t>
      </w:r>
      <w:r w:rsidRPr="00A0413E">
        <w:rPr>
          <w:rFonts w:ascii="Open Sans" w:hAnsi="Open Sans" w:cs="Open Sans"/>
          <w:sz w:val="24"/>
          <w:szCs w:val="24"/>
        </w:rPr>
        <w:t xml:space="preserve">. (Grifos nossos). IV. De certo, vê-se que o art. 7º, </w:t>
      </w:r>
      <w:proofErr w:type="gramStart"/>
      <w:r w:rsidRPr="00A0413E">
        <w:rPr>
          <w:rFonts w:ascii="Open Sans" w:hAnsi="Open Sans" w:cs="Open Sans"/>
          <w:sz w:val="24"/>
          <w:szCs w:val="24"/>
        </w:rPr>
        <w:t>VI,</w:t>
      </w:r>
      <w:proofErr w:type="gramEnd"/>
      <w:r w:rsidRPr="00A0413E">
        <w:rPr>
          <w:rFonts w:ascii="Open Sans" w:hAnsi="Open Sans" w:cs="Open Sans"/>
          <w:sz w:val="24"/>
          <w:szCs w:val="24"/>
        </w:rPr>
        <w:t xml:space="preserve"> XIII e XIV, da Constituição da República é expresso quanto à possibilidade de redução salarial, desde que observada a jornada limite, o que se tem por permitida desde que realizada por negociação coletiva. V. Verifica-se, portanto, que a manutenção do </w:t>
      </w:r>
      <w:proofErr w:type="gramStart"/>
      <w:r w:rsidRPr="00A0413E">
        <w:rPr>
          <w:rFonts w:ascii="Open Sans" w:hAnsi="Open Sans" w:cs="Open Sans"/>
          <w:sz w:val="24"/>
          <w:szCs w:val="24"/>
        </w:rPr>
        <w:t>divisor 220</w:t>
      </w:r>
      <w:proofErr w:type="gramEnd"/>
      <w:r w:rsidRPr="00A0413E">
        <w:rPr>
          <w:rFonts w:ascii="Open Sans" w:hAnsi="Open Sans" w:cs="Open Sans"/>
          <w:sz w:val="24"/>
          <w:szCs w:val="24"/>
        </w:rPr>
        <w:t xml:space="preserve"> atende ao fixado no ARE 1121633, da lavra do Ministro Gilmar Mendes, precedente vinculante quanto ao tema, haja vista flexibilizar norma legal inerente à jornada de trabalho inserta no inciso I do art. 611-A da CLT, razão pela qual são consideradas constitucionalmente válidas as cláusulas contidas em acordos e convenções coletivas de trabalho que tratam da redução da jornada, bem assim como da forma a ser aplicada à remuneração da hora extra. VI. Tendo a Corte Regional decidido em conformidade com a jurisprudência consolidada desta Corte Superior e ao Tema 1046 da Tabela de Repercussão Geral, o acórdão não merece reforma. VII. </w:t>
      </w:r>
      <w:proofErr w:type="gramStart"/>
      <w:r w:rsidRPr="00A0413E">
        <w:rPr>
          <w:rFonts w:ascii="Open Sans" w:hAnsi="Open Sans" w:cs="Open Sans"/>
          <w:sz w:val="24"/>
          <w:szCs w:val="24"/>
        </w:rPr>
        <w:t>Recurso de revista de que não se conhece.”</w:t>
      </w:r>
      <w:proofErr w:type="gramEnd"/>
      <w:r w:rsidRPr="00A0413E">
        <w:rPr>
          <w:rFonts w:ascii="Open Sans" w:hAnsi="Open Sans" w:cs="Open Sans"/>
          <w:sz w:val="24"/>
          <w:szCs w:val="24"/>
        </w:rPr>
        <w:t xml:space="preserve"> (</w:t>
      </w:r>
      <w:hyperlink r:id="rId25" w:history="1">
        <w:r w:rsidRPr="00A0413E">
          <w:rPr>
            <w:rFonts w:ascii="Open Sans" w:hAnsi="Open Sans" w:cs="Open Sans"/>
            <w:color w:val="0000FF" w:themeColor="hyperlink"/>
            <w:sz w:val="24"/>
            <w:szCs w:val="24"/>
            <w:u w:val="single"/>
          </w:rPr>
          <w:t xml:space="preserve">TST-Ag-RR-311-33.2017.5.10.0861, 7ª Turma, rel. Min. </w:t>
        </w:r>
        <w:r w:rsidRPr="00A0413E">
          <w:rPr>
            <w:rFonts w:ascii="Open Sans" w:hAnsi="Open Sans" w:cs="Open Sans"/>
            <w:bCs/>
            <w:color w:val="0000FF" w:themeColor="hyperlink"/>
            <w:sz w:val="24"/>
            <w:szCs w:val="24"/>
            <w:u w:val="single"/>
          </w:rPr>
          <w:t>Evandro Pereira Valadão Lopes, julgado em 31/5/2023</w:t>
        </w:r>
      </w:hyperlink>
      <w:r w:rsidRPr="00A0413E">
        <w:rPr>
          <w:rFonts w:ascii="Open Sans" w:hAnsi="Open Sans" w:cs="Open Sans"/>
          <w:sz w:val="24"/>
          <w:szCs w:val="24"/>
        </w:rPr>
        <w:t>)</w:t>
      </w:r>
    </w:p>
    <w:p w:rsidR="009E652F" w:rsidRPr="00A0413E" w:rsidRDefault="009E652F" w:rsidP="009E652F">
      <w:pPr>
        <w:ind w:left="-227" w:right="369"/>
        <w:jc w:val="both"/>
        <w:rPr>
          <w:rFonts w:ascii="Open Sans" w:hAnsi="Open Sans" w:cs="Open Sans"/>
          <w:bCs/>
          <w:sz w:val="24"/>
          <w:szCs w:val="24"/>
        </w:rPr>
      </w:pP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ED73E7" w:rsidRDefault="00ED73E7"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abealho"/>
        <w:tabs>
          <w:tab w:val="clear" w:pos="4419"/>
          <w:tab w:val="clear" w:pos="8838"/>
        </w:tabs>
        <w:ind w:left="-142" w:right="368" w:firstLine="142"/>
        <w:jc w:val="center"/>
        <w:rPr>
          <w:rFonts w:ascii="Open Sans" w:hAnsi="Open Sans" w:cs="Open Sans"/>
          <w:i/>
        </w:rPr>
      </w:pP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 xml:space="preserve">O Informativo TST é mantido pela </w:t>
      </w:r>
    </w:p>
    <w:p w:rsidR="001A7589" w:rsidRPr="003509A3"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Pr>
          <w:rFonts w:ascii="Open Sans" w:hAnsi="Open Sans" w:cs="Open Sans"/>
          <w:snapToGrid w:val="0"/>
          <w:sz w:val="24"/>
          <w:szCs w:val="24"/>
        </w:rPr>
        <w:t>Informações, sugestões ou c</w:t>
      </w:r>
      <w:r w:rsidR="001A7589" w:rsidRPr="003509A3">
        <w:rPr>
          <w:rFonts w:ascii="Open Sans" w:hAnsi="Open Sans" w:cs="Open Sans"/>
          <w:snapToGrid w:val="0"/>
          <w:sz w:val="24"/>
          <w:szCs w:val="24"/>
        </w:rPr>
        <w:t xml:space="preserve">ríticas: (61)3043-4612 ou </w:t>
      </w:r>
      <w:hyperlink r:id="rId26" w:history="1">
        <w:r w:rsidR="001A7589" w:rsidRPr="003509A3">
          <w:rPr>
            <w:rStyle w:val="Hyperlink"/>
            <w:rFonts w:ascii="Open Sans" w:hAnsi="Open Sans" w:cs="Open Sans"/>
            <w:snapToGrid w:val="0"/>
            <w:sz w:val="24"/>
            <w:szCs w:val="24"/>
          </w:rPr>
          <w:t>cjur@tst.jus.br</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27"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3509A3"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28" w:history="1">
        <w:r w:rsidRPr="003509A3">
          <w:rPr>
            <w:rStyle w:val="Hyperlink"/>
            <w:rFonts w:ascii="Open Sans" w:hAnsi="Open Sans" w:cs="Open Sans"/>
            <w:snapToGrid w:val="0"/>
            <w:sz w:val="24"/>
            <w:szCs w:val="24"/>
          </w:rPr>
          <w:t>http://www.tst.jus.br/push</w:t>
        </w:r>
      </w:hyperlink>
    </w:p>
    <w:p w:rsidR="00ED73E7" w:rsidRPr="00ED73E7" w:rsidRDefault="001A7589" w:rsidP="009E652F">
      <w:pPr>
        <w:ind w:left="-284"/>
      </w:pPr>
      <w:r>
        <w:tab/>
      </w:r>
    </w:p>
    <w:sectPr w:rsidR="00ED73E7" w:rsidRPr="00ED73E7" w:rsidSect="009F61FA">
      <w:footerReference w:type="default" r:id="rId29"/>
      <w:headerReference w:type="first" r:id="rId30"/>
      <w:footerReference w:type="first" r:id="rId31"/>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E652F">
              <w:rPr>
                <w:noProof/>
              </w:rPr>
              <w:t>3</w:t>
            </w:r>
            <w:r>
              <w:fldChar w:fldCharType="end"/>
            </w:r>
          </w:p>
        </w:sdtContent>
      </w:sdt>
      <w:p w:rsidR="00ED73E7" w:rsidRDefault="009E652F" w:rsidP="00ED73E7">
        <w:pPr>
          <w:pStyle w:val="Rodap"/>
          <w:jc w:val="right"/>
        </w:pPr>
      </w:p>
    </w:sdtContent>
  </w:sdt>
  <w:p w:rsidR="001A7589" w:rsidRDefault="001A7589"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9E652F">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21B721B6" wp14:editId="09950A9A">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35C4745D" wp14:editId="4CB0D306">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369C72B5" wp14:editId="2AE96851">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9E652F">
      <w:rPr>
        <w:rFonts w:ascii="Open Sans" w:hAnsi="Open Sans" w:cs="Open Sans"/>
        <w:b/>
        <w:color w:val="005DA2"/>
        <w:sz w:val="32"/>
        <w:szCs w:val="32"/>
      </w:rPr>
      <w:t>274</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9E652F">
      <w:rPr>
        <w:rFonts w:ascii="Open Sans" w:hAnsi="Open Sans" w:cs="Open Sans"/>
        <w:i/>
        <w:iCs/>
        <w:color w:val="005DA2"/>
        <w:sz w:val="22"/>
        <w:szCs w:val="22"/>
      </w:rPr>
      <w:t>29 de maio a 16 de junho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10138E"/>
    <w:rsid w:val="001A7589"/>
    <w:rsid w:val="00215C92"/>
    <w:rsid w:val="004B476A"/>
    <w:rsid w:val="00577BB7"/>
    <w:rsid w:val="005807AB"/>
    <w:rsid w:val="00585786"/>
    <w:rsid w:val="006138BD"/>
    <w:rsid w:val="007E13EF"/>
    <w:rsid w:val="009E652F"/>
    <w:rsid w:val="009F61FA"/>
    <w:rsid w:val="00A3374D"/>
    <w:rsid w:val="00B633EE"/>
    <w:rsid w:val="00D663E7"/>
    <w:rsid w:val="00ED73E7"/>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21607&amp;digitoTst=04&amp;anoTst=2021&amp;orgaoTst=5&amp;tribunalTst=04&amp;varaTst=0000&amp;submit=Consultar" TargetMode="External"/><Relationship Id="rId13" Type="http://schemas.openxmlformats.org/officeDocument/2006/relationships/hyperlink" Target="https://consultaprocessual.tst.jus.br/consultaProcessual/consultaTstNumUnica.do?consulta=Consultar&amp;conscsjt=&amp;numeroTst=441&amp;digitoTst=03&amp;anoTst=2022&amp;orgaoTst=5&amp;tribunalTst=13&amp;varaTst=0008&amp;submit=Consultar" TargetMode="External"/><Relationship Id="rId18" Type="http://schemas.openxmlformats.org/officeDocument/2006/relationships/hyperlink" Target="https://consultaprocessual.tst.jus.br/consultaProcessual/consultaTstNumUnica.do?consulta=Consultar&amp;conscsjt=&amp;numeroTst=24916&amp;digitoTst=21&amp;anoTst=2017&amp;orgaoTst=5&amp;tribunalTst=24&amp;varaTst=0031&amp;submit=Consultar" TargetMode="External"/><Relationship Id="rId26" Type="http://schemas.openxmlformats.org/officeDocument/2006/relationships/hyperlink" Target="mailto:cjur@tst.jus.b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837&amp;digitoTst=37&amp;anoTst=2020&amp;orgaoTst=5&amp;tribunalTst=17&amp;varaTst=0008&amp;submit=Consultar" TargetMode="Externa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230&amp;digitoTst=14&amp;anoTst=2021&amp;orgaoTst=5&amp;tribunalTst=17&amp;varaTst=0000&amp;submit=Consultar" TargetMode="External"/><Relationship Id="rId17" Type="http://schemas.openxmlformats.org/officeDocument/2006/relationships/hyperlink" Target="https://consultaprocessual.tst.jus.br/consultaProcessual/consultaTstNumUnica.do?consulta=Consultar&amp;conscsjt=&amp;numeroTst=1000925&amp;digitoTst=96&amp;anoTst=2018&amp;orgaoTst=5&amp;tribunalTst=02&amp;varaTst=0444&amp;submit=Consultar" TargetMode="External"/><Relationship Id="rId25" Type="http://schemas.openxmlformats.org/officeDocument/2006/relationships/hyperlink" Target="https://consultaprocessual.tst.jus.br/consultaProcessual/consultaTstNumUnica.do?consulta=Consultar&amp;conscsjt=&amp;numeroTst=311&amp;digitoTst=33&amp;anoTst=2017&amp;orgaoTst=5&amp;tribunalTst=10&amp;varaTst=0861&amp;submit=Consulta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1692&amp;digitoTst=89&amp;anoTst=2017&amp;orgaoTst=5&amp;tribunalTst=03&amp;varaTst=0034&amp;submit=Consultar" TargetMode="External"/><Relationship Id="rId20" Type="http://schemas.openxmlformats.org/officeDocument/2006/relationships/hyperlink" Target="https://consultaprocessual.tst.jus.br/consultaProcessual/consultaTstNumUnica.do?consulta=Consultar&amp;conscsjt=&amp;numeroTst=10800&amp;digitoTst=80&amp;anoTst=2020&amp;orgaoTst=5&amp;tribunalTst=03&amp;varaTst=0001&amp;submit=Consulta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910&amp;digitoTst=95&amp;anoTst=2022&amp;orgaoTst=5&amp;tribunalTst=05&amp;varaTst=0000&amp;submit=Consultar" TargetMode="External"/><Relationship Id="rId24" Type="http://schemas.openxmlformats.org/officeDocument/2006/relationships/hyperlink" Target="https://consultaprocessual.tst.jus.br/consultaProcessual/consultaTstNumUnica.do?consulta=Consultar&amp;conscsjt=&amp;numeroTst=6354&amp;digitoTst=29&amp;anoTst=2010&amp;orgaoTst=5&amp;tribunalTst=12&amp;varaTst=003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757&amp;digitoTst=41&amp;anoTst=2014&amp;orgaoTst=5&amp;tribunalTst=09&amp;varaTst=0041&amp;submit=Consultar" TargetMode="External"/><Relationship Id="rId23" Type="http://schemas.openxmlformats.org/officeDocument/2006/relationships/hyperlink" Target="https://consultaprocessual.tst.jus.br/consultaProcessual/consultaTstNumUnica.do?consulta=Consultar&amp;conscsjt=&amp;numeroTst=1000864&amp;digitoTst=41&amp;anoTst=2018&amp;orgaoTst=5&amp;tribunalTst=02&amp;varaTst=0444&amp;submit=Consultar" TargetMode="External"/><Relationship Id="rId28" Type="http://schemas.openxmlformats.org/officeDocument/2006/relationships/hyperlink" Target="http://www.tst.jus.br/push" TargetMode="External"/><Relationship Id="rId10" Type="http://schemas.openxmlformats.org/officeDocument/2006/relationships/hyperlink" Target="https://consultaprocessual.tst.jus.br/consultaProcessual/consultaTstNumUnica.do?consulta=Consultar&amp;conscsjt=&amp;numeroTst=90000&amp;digitoTst=47&amp;anoTst=2009&amp;orgaoTst=5&amp;tribunalTst=16&amp;varaTst=0006&amp;submit=Consultar" TargetMode="External"/><Relationship Id="rId19" Type="http://schemas.openxmlformats.org/officeDocument/2006/relationships/hyperlink" Target="https://consultaprocessual.tst.jus.br/consultaProcessual/consultaTstNumUnica.do?consulta=Consultar&amp;conscsjt=&amp;numeroTst=77300&amp;digitoTst=69&amp;anoTst=2000&amp;orgaoTst=5&amp;tribunalTst=04&amp;varaTst=0303&amp;submit=Consulta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815&amp;digitoTst=60&amp;anoTst=2020&amp;orgaoTst=5&amp;tribunalTst=09&amp;varaTst=0000&amp;submit=Consultar" TargetMode="External"/><Relationship Id="rId14" Type="http://schemas.openxmlformats.org/officeDocument/2006/relationships/hyperlink" Target="https://consultaprocessual.tst.jus.br/consultaProcessual/consultaTstNumUnica.do?consulta=Consultar&amp;conscsjt=&amp;numeroTst=1637&amp;digitoTst=80&amp;anoTst=2014&amp;orgaoTst=5&amp;tribunalTst=03&amp;varaTst=0100&amp;submit=Consultar" TargetMode="External"/><Relationship Id="rId22" Type="http://schemas.openxmlformats.org/officeDocument/2006/relationships/hyperlink" Target="https://consultaprocessual.tst.jus.br/consultaProcessual/consultaTstNumUnica.do?consulta=Consultar&amp;conscsjt=&amp;numeroTst=1000388&amp;digitoTst=73&amp;anoTst=2020&amp;orgaoTst=5&amp;tribunalTst=02&amp;varaTst=0010&amp;submit=Consultar" TargetMode="External"/><Relationship Id="rId27" Type="http://schemas.openxmlformats.org/officeDocument/2006/relationships/hyperlink" Target="http://www.tst.jus.br/web/guest/informativo-tst"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008A-2140-4166-9405-30AFB749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8536</Words>
  <Characters>46099</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 Vieira Batista</cp:lastModifiedBy>
  <cp:revision>4</cp:revision>
  <dcterms:created xsi:type="dcterms:W3CDTF">2023-04-18T15:26:00Z</dcterms:created>
  <dcterms:modified xsi:type="dcterms:W3CDTF">2023-06-26T19:07:00Z</dcterms:modified>
</cp:coreProperties>
</file>