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30087">
        <w:trPr>
          <w:trHeight w:val="537"/>
        </w:trPr>
        <w:tc>
          <w:tcPr>
            <w:tcW w:w="9782" w:type="dxa"/>
            <w:tcBorders>
              <w:top w:val="single" w:sz="4" w:space="0" w:color="auto"/>
            </w:tcBorders>
          </w:tcPr>
          <w:p w:rsidR="001A7589" w:rsidRPr="003509A3" w:rsidRDefault="001A7589" w:rsidP="00430087">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1A7589" w:rsidRPr="003E0231" w:rsidRDefault="001A7589" w:rsidP="001A7589">
      <w:pPr>
        <w:pStyle w:val="Identificao"/>
        <w:rPr>
          <w:rFonts w:ascii="Open Sans" w:hAnsi="Open Sans" w:cs="Open Sans"/>
          <w:lang w:val="pt-BR"/>
        </w:rPr>
      </w:pPr>
    </w:p>
    <w:p w:rsidR="001A7589" w:rsidRPr="003E0231" w:rsidRDefault="001A7589" w:rsidP="001A7589">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I ESPECIALIZADA EM DISSÍDIOS INDIVIDUAIS</w:t>
      </w:r>
    </w:p>
    <w:p w:rsidR="000F511B" w:rsidRDefault="000F511B" w:rsidP="000F511B">
      <w:pPr>
        <w:pStyle w:val="Identificao"/>
        <w:ind w:left="-284" w:right="367"/>
        <w:rPr>
          <w:rFonts w:ascii="Open Sans" w:hAnsi="Open Sans" w:cs="Open Sans"/>
          <w:b/>
          <w:i/>
          <w:lang w:val="pt-BR"/>
        </w:rPr>
      </w:pPr>
    </w:p>
    <w:p w:rsidR="000F511B" w:rsidRPr="004942E9" w:rsidRDefault="000F511B" w:rsidP="000F511B">
      <w:pPr>
        <w:pStyle w:val="Identificao"/>
        <w:ind w:left="-284" w:right="367"/>
        <w:rPr>
          <w:rFonts w:ascii="Open Sans" w:hAnsi="Open Sans" w:cs="Open Sans"/>
          <w:b/>
          <w:i/>
          <w:lang w:val="pt-BR"/>
        </w:rPr>
      </w:pPr>
      <w:r w:rsidRPr="000F511B">
        <w:rPr>
          <w:rFonts w:ascii="Open Sans" w:hAnsi="Open Sans" w:cs="Open Sans"/>
          <w:b/>
          <w:i/>
          <w:lang w:val="pt-BR"/>
        </w:rPr>
        <w:t xml:space="preserve">Ação rescisória. Questão prejudicial de mérito. Deficiência da petição inicial. Ausência de documentos necessários ao exercício do juízo rescisório. </w:t>
      </w:r>
      <w:r w:rsidRPr="004942E9">
        <w:rPr>
          <w:rFonts w:ascii="Open Sans" w:hAnsi="Open Sans" w:cs="Open Sans"/>
          <w:b/>
          <w:i/>
          <w:lang w:val="pt-BR"/>
        </w:rPr>
        <w:t xml:space="preserve">Anulação de ofício. </w:t>
      </w:r>
    </w:p>
    <w:p w:rsidR="000F511B" w:rsidRPr="00C221F6" w:rsidRDefault="000F511B" w:rsidP="000F511B">
      <w:pPr>
        <w:pStyle w:val="Corpo"/>
        <w:spacing w:line="240" w:lineRule="auto"/>
        <w:ind w:left="-284" w:right="367" w:firstLine="0"/>
        <w:rPr>
          <w:rFonts w:ascii="Open Sans" w:hAnsi="Open Sans" w:cs="Open Sans"/>
          <w:lang w:val="pt-BR"/>
        </w:rPr>
      </w:pPr>
      <w:r w:rsidRPr="00C221F6">
        <w:rPr>
          <w:rFonts w:ascii="Open Sans" w:hAnsi="Open Sans" w:cs="Open Sans"/>
          <w:lang w:val="pt-BR"/>
        </w:rPr>
        <w:t xml:space="preserve">A ausência de documentos necessários na petição inicial de ação rescisória impede o efetivo exercício do juízo rescisório e justifica o saneamento do processo quando não possibilitado à parte autora a retificação do vício em momento oportuno. Nesse contexto, se faz necessária à anulação, de ofício, dos atos processuais perpetrados após o ajuizamento da ação rescisória. Com base nesses fundamentos, a SBDI-II, por unanimidade, conheceu do recurso ordinário e, no mérito, por maioria, anulou, </w:t>
      </w:r>
      <w:proofErr w:type="gramStart"/>
      <w:r w:rsidRPr="00C221F6">
        <w:rPr>
          <w:rFonts w:ascii="Open Sans" w:hAnsi="Open Sans" w:cs="Open Sans"/>
          <w:lang w:val="pt-BR"/>
        </w:rPr>
        <w:t>de</w:t>
      </w:r>
      <w:proofErr w:type="gramEnd"/>
      <w:r w:rsidRPr="00C221F6">
        <w:rPr>
          <w:rFonts w:ascii="Open Sans" w:hAnsi="Open Sans" w:cs="Open Sans"/>
          <w:lang w:val="pt-BR"/>
        </w:rPr>
        <w:t xml:space="preserve"> </w:t>
      </w:r>
      <w:proofErr w:type="gramStart"/>
      <w:r w:rsidRPr="00C221F6">
        <w:rPr>
          <w:rFonts w:ascii="Open Sans" w:hAnsi="Open Sans" w:cs="Open Sans"/>
          <w:lang w:val="pt-BR"/>
        </w:rPr>
        <w:t>ofício</w:t>
      </w:r>
      <w:proofErr w:type="gramEnd"/>
      <w:r w:rsidRPr="00C221F6">
        <w:rPr>
          <w:rFonts w:ascii="Open Sans" w:hAnsi="Open Sans" w:cs="Open Sans"/>
          <w:lang w:val="pt-BR"/>
        </w:rPr>
        <w:t xml:space="preserve">, os atos processuais praticados após a petição inicial da ação rescisória, determinando o retorno do feito ao órgão de origem, para fins de oportunizar </w:t>
      </w:r>
      <w:r w:rsidR="00993A65">
        <w:rPr>
          <w:rFonts w:ascii="Open Sans" w:hAnsi="Open Sans" w:cs="Open Sans"/>
          <w:lang w:val="pt-BR"/>
        </w:rPr>
        <w:t>à</w:t>
      </w:r>
      <w:r w:rsidRPr="00C221F6">
        <w:rPr>
          <w:rFonts w:ascii="Open Sans" w:hAnsi="Open Sans" w:cs="Open Sans"/>
          <w:lang w:val="pt-BR"/>
        </w:rPr>
        <w:t xml:space="preserve"> autora a juntada da cópia do processo matriz, nos termos do art. 321 do CPC. Vencidos os Ministros Amaury Rodrigues Pinto Júnior, relator, Alberto Bastos </w:t>
      </w:r>
      <w:proofErr w:type="spellStart"/>
      <w:r w:rsidRPr="00C221F6">
        <w:rPr>
          <w:rFonts w:ascii="Open Sans" w:hAnsi="Open Sans" w:cs="Open Sans"/>
          <w:lang w:val="pt-BR"/>
        </w:rPr>
        <w:t>Balazeiro</w:t>
      </w:r>
      <w:proofErr w:type="spellEnd"/>
      <w:r w:rsidRPr="00C221F6">
        <w:rPr>
          <w:rFonts w:ascii="Open Sans" w:hAnsi="Open Sans" w:cs="Open Sans"/>
          <w:lang w:val="pt-BR"/>
        </w:rPr>
        <w:t xml:space="preserve"> e Sérgio Pinto Martins. </w:t>
      </w:r>
      <w:hyperlink r:id="rId8" w:history="1">
        <w:r w:rsidRPr="00C221F6">
          <w:rPr>
            <w:rStyle w:val="Hyperlink"/>
            <w:rFonts w:ascii="Open Sans" w:hAnsi="Open Sans" w:cs="Open Sans"/>
            <w:lang w:val="pt-BR"/>
          </w:rPr>
          <w:t>TST-ROT-18-04.2021.5.13.0000</w:t>
        </w:r>
      </w:hyperlink>
      <w:r w:rsidRPr="00C221F6">
        <w:rPr>
          <w:rFonts w:ascii="Open Sans" w:hAnsi="Open Sans" w:cs="Open Sans"/>
          <w:u w:val="single"/>
          <w:lang w:val="pt-BR"/>
        </w:rPr>
        <w:t>, SBDI-II, red. p/ acórdão Min. Luiz José Dezena da Silva, julgado em 24/5/2022.</w:t>
      </w:r>
    </w:p>
    <w:p w:rsidR="000F511B" w:rsidRPr="00C221F6" w:rsidRDefault="000F511B" w:rsidP="000F511B">
      <w:pPr>
        <w:ind w:left="-284" w:right="367"/>
        <w:jc w:val="both"/>
        <w:rPr>
          <w:rFonts w:ascii="Open Sans" w:hAnsi="Open Sans" w:cs="Open Sans"/>
          <w:sz w:val="24"/>
          <w:szCs w:val="24"/>
        </w:rPr>
      </w:pPr>
    </w:p>
    <w:p w:rsidR="000F511B" w:rsidRPr="00C221F6" w:rsidRDefault="000F511B" w:rsidP="000F511B">
      <w:pPr>
        <w:ind w:left="-284" w:right="367"/>
        <w:jc w:val="both"/>
        <w:rPr>
          <w:rFonts w:ascii="Open Sans" w:hAnsi="Open Sans" w:cs="Open Sans"/>
          <w:b/>
          <w:i/>
          <w:sz w:val="24"/>
          <w:szCs w:val="24"/>
        </w:rPr>
      </w:pPr>
      <w:r w:rsidRPr="00C221F6">
        <w:rPr>
          <w:rFonts w:ascii="Open Sans" w:hAnsi="Open Sans" w:cs="Open Sans"/>
          <w:b/>
          <w:i/>
          <w:sz w:val="24"/>
          <w:szCs w:val="24"/>
        </w:rPr>
        <w:t>Recurso ordinário em mandado de segurança. Sobrestamento de reclamação trabalhista por tempo indeterminado em virtude de instauração de inquérito policial. Art. 313, V, “a”, do CPC. Suspensão por prazo superior ao previsto no art. 315, § 1º, do CPC. Violação de direito líquido e certo. Duração razoável do processo. Art. 5º, LXXVIII, da CF. Natureza alimentar do crédito demandado. Independência de instâncias.</w:t>
      </w:r>
    </w:p>
    <w:p w:rsidR="000F511B" w:rsidRPr="00C221F6" w:rsidRDefault="000F511B" w:rsidP="000F511B">
      <w:pPr>
        <w:ind w:left="-284" w:right="367"/>
        <w:jc w:val="both"/>
        <w:rPr>
          <w:rFonts w:ascii="Open Sans" w:hAnsi="Open Sans" w:cs="Open Sans"/>
          <w:b/>
          <w:i/>
          <w:sz w:val="24"/>
          <w:szCs w:val="24"/>
        </w:rPr>
      </w:pPr>
      <w:r w:rsidRPr="00C221F6">
        <w:rPr>
          <w:rFonts w:ascii="Open Sans" w:hAnsi="Open Sans" w:cs="Open Sans"/>
          <w:sz w:val="24"/>
          <w:szCs w:val="24"/>
        </w:rPr>
        <w:t xml:space="preserve">O sobrestamento de reclamação trabalhista, por prazo indeterminado (superior ao previsto no art. 315, § 1º, do CPC), em virtude de instauração de inquérito policial, importa em violação de direito líquido e certo, diante do princípio da duração razoável do processo, previsto no art. 5º, LXXVIII, da Constituição Federal, da natureza alimentar do crédito demandado e da independência entre instâncias. Sob esses fundamentos, a SBDI-II, por unanimidade, conheceu do recurso ordinário e, no mérito, deu-lhe </w:t>
      </w:r>
      <w:r w:rsidRPr="00C221F6">
        <w:rPr>
          <w:rFonts w:ascii="Open Sans" w:hAnsi="Open Sans" w:cs="Open Sans"/>
          <w:sz w:val="24"/>
          <w:szCs w:val="24"/>
        </w:rPr>
        <w:lastRenderedPageBreak/>
        <w:t xml:space="preserve">provimento para, cassando os efeitos do ato coator, determinar o regular prosseguimento da reclamação trabalhista, com a retomada da instrução do feito, se a autoridade coatora entender necessário, e com a posterior e consequente prolação de sentença. </w:t>
      </w:r>
      <w:hyperlink r:id="rId9" w:history="1">
        <w:r w:rsidRPr="00C221F6">
          <w:rPr>
            <w:rFonts w:ascii="Open Sans" w:hAnsi="Open Sans" w:cs="Open Sans"/>
            <w:color w:val="0000FF" w:themeColor="hyperlink"/>
            <w:sz w:val="24"/>
            <w:szCs w:val="24"/>
            <w:u w:val="single"/>
          </w:rPr>
          <w:t>TST-ROT-10879-28.2021.5.03.0000</w:t>
        </w:r>
      </w:hyperlink>
      <w:r w:rsidRPr="00C221F6">
        <w:rPr>
          <w:rFonts w:ascii="Open Sans" w:hAnsi="Open Sans" w:cs="Open Sans"/>
          <w:sz w:val="24"/>
          <w:szCs w:val="24"/>
          <w:u w:val="single"/>
        </w:rPr>
        <w:t>, SBDI-II, rel. Min. Evandro Pereira Valadão Lopes, julgado em 24/5/2022.</w:t>
      </w:r>
    </w:p>
    <w:p w:rsidR="007C1D4F" w:rsidRPr="008178A4" w:rsidRDefault="007C1D4F" w:rsidP="000F511B">
      <w:pPr>
        <w:ind w:left="-284" w:right="367"/>
        <w:jc w:val="both"/>
        <w:rPr>
          <w:rFonts w:ascii="Open Sans" w:hAnsi="Open Sans" w:cs="Open Sans"/>
          <w:sz w:val="24"/>
          <w:szCs w:val="24"/>
          <w:u w:val="single"/>
        </w:rPr>
      </w:pPr>
    </w:p>
    <w:p w:rsidR="001A7589" w:rsidRPr="003509A3" w:rsidRDefault="001A7589" w:rsidP="001A7589">
      <w:pPr>
        <w:pStyle w:val="Corpo"/>
        <w:pBdr>
          <w:top w:val="single" w:sz="4" w:space="1" w:color="auto"/>
          <w:left w:val="single" w:sz="4" w:space="4" w:color="auto"/>
          <w:bottom w:val="single" w:sz="4" w:space="1" w:color="auto"/>
          <w:right w:val="single" w:sz="4" w:space="0" w:color="auto"/>
        </w:pBdr>
        <w:shd w:val="solid" w:color="B8CCE4" w:fill="B8CCE4"/>
        <w:tabs>
          <w:tab w:val="center" w:pos="4819"/>
          <w:tab w:val="left" w:pos="6759"/>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TURMAS</w:t>
      </w:r>
    </w:p>
    <w:p w:rsidR="000F511B" w:rsidRDefault="001A7589" w:rsidP="000F511B">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0F511B" w:rsidRPr="000F511B" w:rsidRDefault="000F511B" w:rsidP="000F511B">
      <w:pPr>
        <w:pStyle w:val="Cabealho"/>
        <w:tabs>
          <w:tab w:val="clear" w:pos="4419"/>
          <w:tab w:val="clear" w:pos="8838"/>
        </w:tabs>
        <w:ind w:left="-142" w:right="368" w:firstLine="142"/>
        <w:jc w:val="center"/>
        <w:rPr>
          <w:rFonts w:ascii="Open Sans" w:hAnsi="Open Sans" w:cs="Open Sans"/>
          <w:i/>
        </w:rPr>
      </w:pPr>
    </w:p>
    <w:p w:rsidR="000F511B" w:rsidRPr="00C221F6" w:rsidRDefault="000F511B" w:rsidP="000F511B">
      <w:pPr>
        <w:ind w:left="-142" w:right="367"/>
        <w:jc w:val="both"/>
        <w:rPr>
          <w:rFonts w:ascii="Open Sans" w:eastAsia="Calibri" w:hAnsi="Open Sans" w:cs="Open Sans"/>
          <w:sz w:val="24"/>
          <w:szCs w:val="24"/>
        </w:rPr>
      </w:pPr>
      <w:r w:rsidRPr="00C221F6">
        <w:rPr>
          <w:rFonts w:ascii="Open Sans" w:hAnsi="Open Sans" w:cs="Open Sans"/>
          <w:sz w:val="24"/>
          <w:szCs w:val="24"/>
        </w:rPr>
        <w:t xml:space="preserve">“[...] RECURSO DE REVISTA. ARQUIVAMENTO DO FEITO. NÃO COMPARECIMENTO DO RECLAMANTE EM AUDIÊNCIA. RESIDÊNCIA NO EXTERIOR. MOTIVO PONDEROSO CARACTERIZADO. REPRESENTAÇÃO POR COLEGA DA MESMA PROFISSÃO, PARA EVITAR O ARQUIVAMENTO DA DEMANDA. POSSIBILIDADE. </w:t>
      </w:r>
      <w:proofErr w:type="gramStart"/>
      <w:r w:rsidRPr="00C221F6">
        <w:rPr>
          <w:rFonts w:ascii="Open Sans" w:hAnsi="Open Sans" w:cs="Open Sans"/>
          <w:sz w:val="24"/>
          <w:szCs w:val="24"/>
        </w:rPr>
        <w:t>1</w:t>
      </w:r>
      <w:proofErr w:type="gramEnd"/>
      <w:r w:rsidRPr="00C221F6">
        <w:rPr>
          <w:rFonts w:ascii="Open Sans" w:hAnsi="Open Sans" w:cs="Open Sans"/>
          <w:sz w:val="24"/>
          <w:szCs w:val="24"/>
        </w:rPr>
        <w:t xml:space="preserve">. Na hipótese, o e. TRT manteve a sentença que determinou o arquivamento do feito, em razão da ausência da reclamante em audiência. Ressaltou, para tanto, que, </w:t>
      </w:r>
      <w:r w:rsidRPr="00C221F6">
        <w:rPr>
          <w:rFonts w:ascii="Open Sans" w:hAnsi="Open Sans" w:cs="Open Sans"/>
          <w:i/>
          <w:sz w:val="24"/>
          <w:szCs w:val="24"/>
        </w:rPr>
        <w:t xml:space="preserve">"Ainda que se reconheça a residência em outro país (Austrália) como motivo poderoso para sua ausência", "não há como reconhecer que a reclamante foi devidamente representada em audiência por outro empregado da mesma profissão", pois "a Sra. Amanda(...), presente em todas as audiências como representante da reclamante (...) teve seu vínculo com a empresa </w:t>
      </w:r>
      <w:proofErr w:type="spellStart"/>
      <w:r w:rsidRPr="00C221F6">
        <w:rPr>
          <w:rFonts w:ascii="Open Sans" w:hAnsi="Open Sans" w:cs="Open Sans"/>
          <w:i/>
          <w:sz w:val="24"/>
          <w:szCs w:val="24"/>
        </w:rPr>
        <w:t>Webjet</w:t>
      </w:r>
      <w:proofErr w:type="spellEnd"/>
      <w:r w:rsidRPr="00C221F6">
        <w:rPr>
          <w:rFonts w:ascii="Open Sans" w:hAnsi="Open Sans" w:cs="Open Sans"/>
          <w:i/>
          <w:sz w:val="24"/>
          <w:szCs w:val="24"/>
        </w:rPr>
        <w:t xml:space="preserve"> Linhas Aéreas S/A encerrado em 04/09/2011" e não há "notícia de outro vínculo com empresa da mesma categoria"</w:t>
      </w:r>
      <w:r w:rsidRPr="00C221F6">
        <w:rPr>
          <w:rFonts w:ascii="Open Sans" w:hAnsi="Open Sans" w:cs="Open Sans"/>
          <w:sz w:val="24"/>
          <w:szCs w:val="24"/>
        </w:rPr>
        <w:t xml:space="preserve">. 2. No entanto, o simples fato de a representante não possuir </w:t>
      </w:r>
      <w:r w:rsidRPr="00E26AAD">
        <w:rPr>
          <w:rFonts w:ascii="Open Sans" w:hAnsi="Open Sans" w:cs="Open Sans"/>
          <w:i/>
          <w:sz w:val="24"/>
          <w:szCs w:val="24"/>
        </w:rPr>
        <w:t>vínculo ativo</w:t>
      </w:r>
      <w:r w:rsidRPr="00C221F6">
        <w:rPr>
          <w:rFonts w:ascii="Open Sans" w:hAnsi="Open Sans" w:cs="Open Sans"/>
          <w:sz w:val="24"/>
          <w:szCs w:val="24"/>
        </w:rPr>
        <w:t xml:space="preserve"> com empresa da categoria dos aeroviários não afasta a compreensão de que atua na </w:t>
      </w:r>
      <w:r w:rsidRPr="00E26AAD">
        <w:rPr>
          <w:rFonts w:ascii="Open Sans" w:hAnsi="Open Sans" w:cs="Open Sans"/>
          <w:i/>
          <w:sz w:val="24"/>
          <w:szCs w:val="24"/>
        </w:rPr>
        <w:t>mesma profissão</w:t>
      </w:r>
      <w:r w:rsidRPr="00C221F6">
        <w:rPr>
          <w:rFonts w:ascii="Open Sans" w:hAnsi="Open Sans" w:cs="Open Sans"/>
          <w:sz w:val="24"/>
          <w:szCs w:val="24"/>
        </w:rPr>
        <w:t xml:space="preserve"> da reclamante, máxime porquanto registrado que a referida representante possuía vínculo com a </w:t>
      </w:r>
      <w:r w:rsidRPr="00C221F6">
        <w:rPr>
          <w:rFonts w:ascii="Open Sans" w:hAnsi="Open Sans" w:cs="Open Sans"/>
          <w:i/>
          <w:sz w:val="24"/>
          <w:szCs w:val="24"/>
        </w:rPr>
        <w:t>"</w:t>
      </w:r>
      <w:proofErr w:type="spellStart"/>
      <w:r w:rsidRPr="00C221F6">
        <w:rPr>
          <w:rFonts w:ascii="Open Sans" w:hAnsi="Open Sans" w:cs="Open Sans"/>
          <w:i/>
          <w:sz w:val="24"/>
          <w:szCs w:val="24"/>
        </w:rPr>
        <w:t>Webjet</w:t>
      </w:r>
      <w:proofErr w:type="spellEnd"/>
      <w:r w:rsidRPr="00C221F6">
        <w:rPr>
          <w:rFonts w:ascii="Open Sans" w:hAnsi="Open Sans" w:cs="Open Sans"/>
          <w:i/>
          <w:sz w:val="24"/>
          <w:szCs w:val="24"/>
        </w:rPr>
        <w:t xml:space="preserve"> Linhas Aéreas S/A"</w:t>
      </w:r>
      <w:r w:rsidRPr="00C221F6">
        <w:rPr>
          <w:rFonts w:ascii="Open Sans" w:hAnsi="Open Sans" w:cs="Open Sans"/>
          <w:sz w:val="24"/>
          <w:szCs w:val="24"/>
        </w:rPr>
        <w:t xml:space="preserve">. Assim, não há como afastar a validade da representação. 3. Com base nos registros do acórdão regional, não há dúvida de que, por ocasião da audiência, a reclamante estava residindo fora do país - na Austrália. Assim, há de se concluir que a representante da autora - Sra. Amanda -, além de afigurar-se legítima para o ato processual, desincumbiu-se, a contento, do ônus de demonstrar o motivo da ausência da reclamante na audiência. 4. </w:t>
      </w:r>
      <w:proofErr w:type="spellStart"/>
      <w:r w:rsidRPr="00C221F6">
        <w:rPr>
          <w:rFonts w:ascii="Open Sans" w:hAnsi="Open Sans" w:cs="Open Sans"/>
          <w:sz w:val="24"/>
          <w:szCs w:val="24"/>
        </w:rPr>
        <w:t>Dessarte</w:t>
      </w:r>
      <w:proofErr w:type="spellEnd"/>
      <w:r w:rsidRPr="00C221F6">
        <w:rPr>
          <w:rFonts w:ascii="Open Sans" w:hAnsi="Open Sans" w:cs="Open Sans"/>
          <w:sz w:val="24"/>
          <w:szCs w:val="24"/>
        </w:rPr>
        <w:t>, ao manter a determinação de arquivamento do feito, o TRT violou a norma do artigo 843, § 2º, da CLT. Recurso de revista conhecido e provido.” (</w:t>
      </w:r>
      <w:hyperlink r:id="rId10" w:history="1">
        <w:r w:rsidRPr="00C221F6">
          <w:rPr>
            <w:rFonts w:ascii="Open Sans" w:eastAsia="Calibri" w:hAnsi="Open Sans" w:cs="Open Sans"/>
            <w:bCs/>
            <w:color w:val="0000FF" w:themeColor="hyperlink"/>
            <w:sz w:val="24"/>
            <w:szCs w:val="24"/>
            <w:u w:val="single"/>
          </w:rPr>
          <w:t>TST-RR-1000580-48.2017.5.02.0321</w:t>
        </w:r>
      </w:hyperlink>
      <w:r w:rsidRPr="00C221F6">
        <w:rPr>
          <w:rFonts w:ascii="Open Sans" w:hAnsi="Open Sans" w:cs="Open Sans"/>
          <w:sz w:val="24"/>
          <w:szCs w:val="24"/>
        </w:rPr>
        <w:t xml:space="preserve">, 1ª Turma, rel. Min. Hugo Carlos </w:t>
      </w:r>
      <w:proofErr w:type="spellStart"/>
      <w:r w:rsidRPr="00C221F6">
        <w:rPr>
          <w:rFonts w:ascii="Open Sans" w:hAnsi="Open Sans" w:cs="Open Sans"/>
          <w:sz w:val="24"/>
          <w:szCs w:val="24"/>
        </w:rPr>
        <w:t>Scheuermann</w:t>
      </w:r>
      <w:proofErr w:type="spellEnd"/>
      <w:r w:rsidRPr="00C221F6">
        <w:rPr>
          <w:rFonts w:ascii="Open Sans" w:hAnsi="Open Sans" w:cs="Open Sans"/>
          <w:sz w:val="24"/>
          <w:szCs w:val="24"/>
        </w:rPr>
        <w:t>, julgado em 1</w:t>
      </w:r>
      <w:r>
        <w:rPr>
          <w:rFonts w:ascii="Open Sans" w:hAnsi="Open Sans" w:cs="Open Sans"/>
          <w:sz w:val="24"/>
          <w:szCs w:val="24"/>
        </w:rPr>
        <w:t>º</w:t>
      </w:r>
      <w:r w:rsidRPr="00C221F6">
        <w:rPr>
          <w:rFonts w:ascii="Open Sans" w:hAnsi="Open Sans" w:cs="Open Sans"/>
          <w:sz w:val="24"/>
          <w:szCs w:val="24"/>
        </w:rPr>
        <w:t>/6/2022</w:t>
      </w:r>
      <w:proofErr w:type="gramStart"/>
      <w:r w:rsidRPr="00C4609C">
        <w:rPr>
          <w:rFonts w:ascii="Open Sans" w:hAnsi="Open Sans" w:cs="Open Sans"/>
          <w:sz w:val="24"/>
          <w:szCs w:val="24"/>
        </w:rPr>
        <w:t>)</w:t>
      </w:r>
      <w:proofErr w:type="gramEnd"/>
    </w:p>
    <w:p w:rsidR="000F511B" w:rsidRPr="00C221F6" w:rsidRDefault="000F511B" w:rsidP="000F511B">
      <w:pPr>
        <w:ind w:left="-142" w:right="367"/>
        <w:jc w:val="both"/>
        <w:rPr>
          <w:rFonts w:ascii="Open Sans" w:hAnsi="Open Sans" w:cs="Open Sans"/>
          <w:sz w:val="24"/>
          <w:szCs w:val="24"/>
        </w:rPr>
      </w:pPr>
    </w:p>
    <w:p w:rsidR="000F511B" w:rsidRDefault="000F511B" w:rsidP="000F511B">
      <w:pPr>
        <w:ind w:left="-142" w:right="367"/>
        <w:jc w:val="both"/>
        <w:rPr>
          <w:rFonts w:ascii="Open Sans" w:hAnsi="Open Sans" w:cs="Open Sans"/>
          <w:color w:val="000000"/>
          <w:sz w:val="24"/>
          <w:szCs w:val="24"/>
        </w:rPr>
      </w:pPr>
      <w:r w:rsidRPr="00C221F6">
        <w:rPr>
          <w:rFonts w:ascii="Open Sans" w:hAnsi="Open Sans" w:cs="Open Sans"/>
          <w:bCs/>
          <w:color w:val="000000"/>
          <w:sz w:val="24"/>
          <w:szCs w:val="24"/>
        </w:rPr>
        <w:t>"[...] III - RECURSO DE REVISTA INTERPOSTO PELO MINISTÉRIO PÚBLICO DO TRABALHO. CONTRATAÇÃO DE APRENDIZES. DANO MORAL COLETIVO. INDENIZAÇÃO. DESTINAÇÃO AO FUNDO MUNICIPAL DOS DIREITOS DA CRIANÇA E DO ADOLESCENTE. TUTELA INIBITÓRIA. PROCESSO ESTRUTURAL. DECISÃO ESTRUTURAL. ASTREINTES. LIMITAÇÃO. IMPOSSIBILIDADE. TRANSCENDÊNCIA POLÍ</w:t>
      </w:r>
      <w:r>
        <w:rPr>
          <w:rFonts w:ascii="Open Sans" w:hAnsi="Open Sans" w:cs="Open Sans"/>
          <w:bCs/>
          <w:color w:val="000000"/>
          <w:sz w:val="24"/>
          <w:szCs w:val="24"/>
        </w:rPr>
        <w:t xml:space="preserve">TICA. </w:t>
      </w:r>
      <w:proofErr w:type="gramStart"/>
      <w:r>
        <w:rPr>
          <w:rFonts w:ascii="Open Sans" w:hAnsi="Open Sans" w:cs="Open Sans"/>
          <w:bCs/>
          <w:color w:val="000000"/>
          <w:sz w:val="24"/>
          <w:szCs w:val="24"/>
        </w:rPr>
        <w:t>1</w:t>
      </w:r>
      <w:proofErr w:type="gramEnd"/>
      <w:r>
        <w:rPr>
          <w:rFonts w:ascii="Open Sans" w:hAnsi="Open Sans" w:cs="Open Sans"/>
          <w:bCs/>
          <w:color w:val="000000"/>
          <w:sz w:val="24"/>
          <w:szCs w:val="24"/>
        </w:rPr>
        <w:t>.</w:t>
      </w:r>
      <w:r>
        <w:rPr>
          <w:rFonts w:ascii="Open Sans" w:hAnsi="Open Sans" w:cs="Open Sans"/>
          <w:bCs/>
          <w:color w:val="000000"/>
          <w:sz w:val="24"/>
          <w:szCs w:val="24"/>
        </w:rPr>
        <w:tab/>
        <w:t xml:space="preserve"> Dano moral coletivo. </w:t>
      </w:r>
      <w:r w:rsidRPr="00C221F6">
        <w:rPr>
          <w:rFonts w:ascii="Open Sans" w:hAnsi="Open Sans" w:cs="Open Sans"/>
          <w:bCs/>
          <w:color w:val="000000"/>
          <w:sz w:val="24"/>
          <w:szCs w:val="24"/>
        </w:rPr>
        <w:t>"</w:t>
      </w:r>
      <w:r w:rsidRPr="00E91314">
        <w:rPr>
          <w:rFonts w:ascii="Open Sans" w:hAnsi="Open Sans" w:cs="Open Sans"/>
          <w:bCs/>
          <w:i/>
          <w:color w:val="000000"/>
          <w:sz w:val="24"/>
          <w:szCs w:val="24"/>
        </w:rPr>
        <w:t xml:space="preserve">A lesão a interesses coletivos, à vista do nosso ordenamento jurídico, enseja reação e resposta equivalente a uma reparação adequada à tutela almejada, traduzida </w:t>
      </w:r>
      <w:r w:rsidRPr="00E91314">
        <w:rPr>
          <w:rFonts w:ascii="Open Sans" w:hAnsi="Open Sans" w:cs="Open Sans"/>
          <w:bCs/>
          <w:i/>
          <w:color w:val="000000"/>
          <w:sz w:val="24"/>
          <w:szCs w:val="24"/>
        </w:rPr>
        <w:lastRenderedPageBreak/>
        <w:t>essencialmente por uma condenação pecuniária, a ser arbitrada pelo juiz - orientado pela função sancionatória e pedagógica dessa responsabilização- ,a qual terá destinação específica em prol da coletividade</w:t>
      </w:r>
      <w:r w:rsidRPr="00C221F6">
        <w:rPr>
          <w:rFonts w:ascii="Open Sans" w:hAnsi="Open Sans" w:cs="Open Sans"/>
          <w:bCs/>
          <w:color w:val="000000"/>
          <w:sz w:val="24"/>
          <w:szCs w:val="24"/>
        </w:rPr>
        <w:t>." (Xisto Tiago de Medeiros Neto. Rev. TST, Brasília, vol. 78, no 4, out/dez 2012, p.297). 2.</w:t>
      </w:r>
      <w:r w:rsidRPr="00C221F6">
        <w:rPr>
          <w:rFonts w:ascii="Open Sans" w:hAnsi="Open Sans" w:cs="Open Sans"/>
          <w:bCs/>
          <w:color w:val="000000"/>
          <w:sz w:val="24"/>
          <w:szCs w:val="24"/>
        </w:rPr>
        <w:tab/>
        <w:t>A jurisprudência do Tribunal Superior do Trabalho, através da sua Subseção 1 de Dissídios Individuais é assente no sentido de que o desrespeito à cota fixada em lei para a contratação de aprendizes enseja reparação em decorrência de dano moral causado à coletividade. (E-RR-612-17.2011.5.23.0056, Subseção I Especializada em Dissídios Individuais, Relator Ministro Alexandre Luiz Ramos, DEJT 17/12/2021). 3. "</w:t>
      </w:r>
      <w:r w:rsidRPr="00B26D41">
        <w:rPr>
          <w:rFonts w:ascii="Open Sans" w:hAnsi="Open Sans" w:cs="Open Sans"/>
          <w:bCs/>
          <w:i/>
          <w:color w:val="000000"/>
          <w:sz w:val="24"/>
          <w:szCs w:val="24"/>
        </w:rPr>
        <w:t xml:space="preserve">A Doutrina da Proteção Integral nada mais é do que a base valorativa que fundamenta os direitos da infância e da juventude. Parte do reconhecimento normativo de uma condição especial, ou peculiar, das pessoas desse grupo etário (zero a 18 anos) que devem ser respeitados como sujeitos de direitos. </w:t>
      </w:r>
      <w:proofErr w:type="gramStart"/>
      <w:r w:rsidRPr="00B26D41">
        <w:rPr>
          <w:rFonts w:ascii="Open Sans" w:hAnsi="Open Sans" w:cs="Open Sans"/>
          <w:bCs/>
          <w:i/>
          <w:color w:val="000000"/>
          <w:sz w:val="24"/>
          <w:szCs w:val="24"/>
        </w:rPr>
        <w:t>Assim, crianças e adolescentes, ainda que no texto normativo, são reconhecidos em sua dignidade, pessoas em desenvolvimento, que necessitam de especial proteção e garantia dos seus direitos, por parte dos adultos: Estado, família e sociedade."</w:t>
      </w:r>
      <w:proofErr w:type="gramEnd"/>
      <w:r w:rsidRPr="00B26D41">
        <w:rPr>
          <w:rFonts w:ascii="Open Sans" w:hAnsi="Open Sans" w:cs="Open Sans"/>
          <w:bCs/>
          <w:i/>
          <w:color w:val="000000"/>
          <w:sz w:val="24"/>
          <w:szCs w:val="24"/>
        </w:rPr>
        <w:t xml:space="preserve"> ANA PAULA MOTTA COSTA (Direitos Fundamentais no Supremo Tribunal Federal: Balanço e Crítica. </w:t>
      </w:r>
      <w:proofErr w:type="spellStart"/>
      <w:r w:rsidRPr="00B26D41">
        <w:rPr>
          <w:rFonts w:ascii="Open Sans" w:hAnsi="Open Sans" w:cs="Open Sans"/>
          <w:bCs/>
          <w:i/>
          <w:color w:val="000000"/>
          <w:sz w:val="24"/>
          <w:szCs w:val="24"/>
        </w:rPr>
        <w:t>Lumen</w:t>
      </w:r>
      <w:proofErr w:type="spellEnd"/>
      <w:r w:rsidRPr="00B26D41">
        <w:rPr>
          <w:rFonts w:ascii="Open Sans" w:hAnsi="Open Sans" w:cs="Open Sans"/>
          <w:bCs/>
          <w:i/>
          <w:color w:val="000000"/>
          <w:sz w:val="24"/>
          <w:szCs w:val="24"/>
        </w:rPr>
        <w:t xml:space="preserve"> Juris. Rio de Janeiro. 2011</w:t>
      </w:r>
      <w:r w:rsidRPr="00C221F6">
        <w:rPr>
          <w:rFonts w:ascii="Open Sans" w:hAnsi="Open Sans" w:cs="Open Sans"/>
          <w:bCs/>
          <w:color w:val="000000"/>
          <w:sz w:val="24"/>
          <w:szCs w:val="24"/>
        </w:rPr>
        <w:t>. A Perspectiva Constitucional Brasileira da Proteção Integral de Crianças e Adolescentes e o Posicionamento do Supre</w:t>
      </w:r>
      <w:r>
        <w:rPr>
          <w:rFonts w:ascii="Open Sans" w:hAnsi="Open Sans" w:cs="Open Sans"/>
          <w:bCs/>
          <w:color w:val="000000"/>
          <w:sz w:val="24"/>
          <w:szCs w:val="24"/>
        </w:rPr>
        <w:t>mo Tribunal Federal. p.856). 4.</w:t>
      </w:r>
      <w:r w:rsidRPr="00C221F6">
        <w:rPr>
          <w:rFonts w:ascii="Open Sans" w:hAnsi="Open Sans" w:cs="Open Sans"/>
          <w:bCs/>
          <w:color w:val="000000"/>
          <w:sz w:val="24"/>
          <w:szCs w:val="24"/>
        </w:rPr>
        <w:t xml:space="preserve"> Indenização por dano moral coletivo. Destinação. Fundo Municipal dos Direitos da Criança e do Adolescentes. </w:t>
      </w:r>
      <w:r w:rsidRPr="00B26D41">
        <w:rPr>
          <w:rFonts w:ascii="Open Sans" w:hAnsi="Open Sans" w:cs="Open Sans"/>
          <w:bCs/>
          <w:i/>
          <w:color w:val="000000"/>
          <w:sz w:val="24"/>
          <w:szCs w:val="24"/>
        </w:rPr>
        <w:t xml:space="preserve">A indicação da destinação do quantum da indenização pleiteada ao Fundo Municipal da Criança e do Adolescente, para além de não discrepar do escopo do artigo 13 da Lei </w:t>
      </w:r>
      <w:proofErr w:type="spellStart"/>
      <w:r w:rsidRPr="00B26D41">
        <w:rPr>
          <w:rFonts w:ascii="Open Sans" w:hAnsi="Open Sans" w:cs="Open Sans"/>
          <w:bCs/>
          <w:i/>
          <w:color w:val="000000"/>
          <w:sz w:val="24"/>
          <w:szCs w:val="24"/>
        </w:rPr>
        <w:t>n.°</w:t>
      </w:r>
      <w:proofErr w:type="spellEnd"/>
      <w:r w:rsidRPr="00B26D41">
        <w:rPr>
          <w:rFonts w:ascii="Open Sans" w:hAnsi="Open Sans" w:cs="Open Sans"/>
          <w:bCs/>
          <w:i/>
          <w:color w:val="000000"/>
          <w:sz w:val="24"/>
          <w:szCs w:val="24"/>
        </w:rPr>
        <w:t xml:space="preserve"> 7.347/85, guarda pertinência com a natureza do bem lesado (qualificação e acesso ao mercado de trabalho), já que, apesar de não contemplar apenas crianças e adolescentes, o instituto da aprendizagem possui grande relevo para esse público de extrema vulnerabilidade como elemento educacional de rompimento do denominado ciclo </w:t>
      </w:r>
      <w:proofErr w:type="spellStart"/>
      <w:r w:rsidRPr="00B26D41">
        <w:rPr>
          <w:rFonts w:ascii="Open Sans" w:hAnsi="Open Sans" w:cs="Open Sans"/>
          <w:bCs/>
          <w:i/>
          <w:color w:val="000000"/>
          <w:sz w:val="24"/>
          <w:szCs w:val="24"/>
        </w:rPr>
        <w:t>intergeracional</w:t>
      </w:r>
      <w:proofErr w:type="spellEnd"/>
      <w:r w:rsidRPr="00B26D41">
        <w:rPr>
          <w:rFonts w:ascii="Open Sans" w:hAnsi="Open Sans" w:cs="Open Sans"/>
          <w:bCs/>
          <w:i/>
          <w:color w:val="000000"/>
          <w:sz w:val="24"/>
          <w:szCs w:val="24"/>
        </w:rPr>
        <w:t xml:space="preserve"> da pobreza. Precedentes</w:t>
      </w:r>
      <w:r>
        <w:rPr>
          <w:rFonts w:ascii="Open Sans" w:hAnsi="Open Sans" w:cs="Open Sans"/>
          <w:bCs/>
          <w:color w:val="000000"/>
          <w:sz w:val="24"/>
          <w:szCs w:val="24"/>
        </w:rPr>
        <w:t xml:space="preserve">. 5. </w:t>
      </w:r>
      <w:r w:rsidRPr="00C221F6">
        <w:rPr>
          <w:rFonts w:ascii="Open Sans" w:hAnsi="Open Sans" w:cs="Open Sans"/>
          <w:bCs/>
          <w:color w:val="000000"/>
          <w:sz w:val="24"/>
          <w:szCs w:val="24"/>
        </w:rPr>
        <w:t>Tutela inibitória. "</w:t>
      </w:r>
      <w:r w:rsidRPr="005475D2">
        <w:rPr>
          <w:rFonts w:ascii="Open Sans" w:hAnsi="Open Sans" w:cs="Open Sans"/>
          <w:bCs/>
          <w:i/>
          <w:color w:val="000000"/>
          <w:sz w:val="24"/>
          <w:szCs w:val="24"/>
        </w:rPr>
        <w:t xml:space="preserve">O direito à adequada tutela jurisdicional corresponde, no caso de direito não patrimonial, ao direito a uma tutela capaz de impedir a violação do direito. </w:t>
      </w:r>
      <w:proofErr w:type="gramStart"/>
      <w:r w:rsidRPr="005475D2">
        <w:rPr>
          <w:rFonts w:ascii="Open Sans" w:hAnsi="Open Sans" w:cs="Open Sans"/>
          <w:bCs/>
          <w:i/>
          <w:color w:val="000000"/>
          <w:sz w:val="24"/>
          <w:szCs w:val="24"/>
        </w:rPr>
        <w:t>A tutela inibitória, portanto, é absolutamente indispensável em um ordenamento que se funda na dignidade da pessoa humana e que se empenha em realmente garantir, e não apenas proclamar, a inviolabilidade dos direitos da personalidade.</w:t>
      </w:r>
      <w:r w:rsidRPr="00C221F6">
        <w:rPr>
          <w:rFonts w:ascii="Open Sans" w:hAnsi="Open Sans" w:cs="Open Sans"/>
          <w:bCs/>
          <w:color w:val="000000"/>
          <w:sz w:val="24"/>
          <w:szCs w:val="24"/>
        </w:rPr>
        <w:t>"</w:t>
      </w:r>
      <w:proofErr w:type="gramEnd"/>
      <w:r w:rsidRPr="00C221F6">
        <w:rPr>
          <w:rFonts w:ascii="Open Sans" w:hAnsi="Open Sans" w:cs="Open Sans"/>
          <w:bCs/>
          <w:color w:val="000000"/>
          <w:sz w:val="24"/>
          <w:szCs w:val="24"/>
        </w:rPr>
        <w:t xml:space="preserve"> (Luiz Guilherme </w:t>
      </w:r>
      <w:proofErr w:type="spellStart"/>
      <w:r w:rsidRPr="00C221F6">
        <w:rPr>
          <w:rFonts w:ascii="Open Sans" w:hAnsi="Open Sans" w:cs="Open Sans"/>
          <w:bCs/>
          <w:color w:val="000000"/>
          <w:sz w:val="24"/>
          <w:szCs w:val="24"/>
        </w:rPr>
        <w:t>Marinoni</w:t>
      </w:r>
      <w:proofErr w:type="spellEnd"/>
      <w:r w:rsidRPr="00C221F6">
        <w:rPr>
          <w:rFonts w:ascii="Open Sans" w:hAnsi="Open Sans" w:cs="Open Sans"/>
          <w:bCs/>
          <w:color w:val="000000"/>
          <w:sz w:val="24"/>
          <w:szCs w:val="24"/>
        </w:rPr>
        <w:t>, Tutela Inibitória: individual e coletiva, 3ª ed. São Paulo: Revista do</w:t>
      </w:r>
      <w:r>
        <w:rPr>
          <w:rFonts w:ascii="Open Sans" w:hAnsi="Open Sans" w:cs="Open Sans"/>
          <w:bCs/>
          <w:color w:val="000000"/>
          <w:sz w:val="24"/>
          <w:szCs w:val="24"/>
        </w:rPr>
        <w:t xml:space="preserve">s Tribunais, 2003. p. 298). 6. </w:t>
      </w:r>
      <w:r w:rsidRPr="00C221F6">
        <w:rPr>
          <w:rFonts w:ascii="Open Sans" w:hAnsi="Open Sans" w:cs="Open Sans"/>
          <w:bCs/>
          <w:color w:val="000000"/>
          <w:sz w:val="24"/>
          <w:szCs w:val="24"/>
        </w:rPr>
        <w:t xml:space="preserve">Processo estrutural. Decisão Estrutural. Contratação de aprendizes. Forma de ingresso no mercado de trabalho. Capacitação. Avanço </w:t>
      </w:r>
      <w:proofErr w:type="spellStart"/>
      <w:r w:rsidRPr="00C221F6">
        <w:rPr>
          <w:rFonts w:ascii="Open Sans" w:hAnsi="Open Sans" w:cs="Open Sans"/>
          <w:bCs/>
          <w:color w:val="000000"/>
          <w:sz w:val="24"/>
          <w:szCs w:val="24"/>
        </w:rPr>
        <w:t>Intergeracional</w:t>
      </w:r>
      <w:proofErr w:type="spellEnd"/>
      <w:r w:rsidRPr="00C221F6">
        <w:rPr>
          <w:rFonts w:ascii="Open Sans" w:hAnsi="Open Sans" w:cs="Open Sans"/>
          <w:bCs/>
          <w:color w:val="000000"/>
          <w:sz w:val="24"/>
          <w:szCs w:val="24"/>
        </w:rPr>
        <w:t>. "</w:t>
      </w:r>
      <w:r w:rsidRPr="005475D2">
        <w:rPr>
          <w:rFonts w:ascii="Open Sans" w:hAnsi="Open Sans" w:cs="Open Sans"/>
          <w:bCs/>
          <w:i/>
          <w:color w:val="000000"/>
          <w:sz w:val="24"/>
          <w:szCs w:val="24"/>
        </w:rPr>
        <w:t>Decisões estruturantes, ou ainda decisões em cascata (</w:t>
      </w:r>
      <w:proofErr w:type="spellStart"/>
      <w:r w:rsidRPr="005475D2">
        <w:rPr>
          <w:rFonts w:ascii="Open Sans" w:hAnsi="Open Sans" w:cs="Open Sans"/>
          <w:bCs/>
          <w:i/>
          <w:color w:val="000000"/>
          <w:sz w:val="24"/>
          <w:szCs w:val="24"/>
        </w:rPr>
        <w:t>structural</w:t>
      </w:r>
      <w:proofErr w:type="spellEnd"/>
      <w:r w:rsidRPr="005475D2">
        <w:rPr>
          <w:rFonts w:ascii="Open Sans" w:hAnsi="Open Sans" w:cs="Open Sans"/>
          <w:bCs/>
          <w:i/>
          <w:color w:val="000000"/>
          <w:sz w:val="24"/>
          <w:szCs w:val="24"/>
        </w:rPr>
        <w:t xml:space="preserve"> </w:t>
      </w:r>
      <w:proofErr w:type="spellStart"/>
      <w:r w:rsidRPr="005475D2">
        <w:rPr>
          <w:rFonts w:ascii="Open Sans" w:hAnsi="Open Sans" w:cs="Open Sans"/>
          <w:bCs/>
          <w:i/>
          <w:color w:val="000000"/>
          <w:sz w:val="24"/>
          <w:szCs w:val="24"/>
        </w:rPr>
        <w:t>injuction</w:t>
      </w:r>
      <w:proofErr w:type="spellEnd"/>
      <w:r w:rsidRPr="005475D2">
        <w:rPr>
          <w:rFonts w:ascii="Open Sans" w:hAnsi="Open Sans" w:cs="Open Sans"/>
          <w:bCs/>
          <w:i/>
          <w:color w:val="000000"/>
          <w:sz w:val="24"/>
          <w:szCs w:val="24"/>
        </w:rPr>
        <w:t>), objetivam efetivar, ou melhor, dar verdadeira concretude a um direito fundamental, através das chamadas reformas estruturais (</w:t>
      </w:r>
      <w:proofErr w:type="spellStart"/>
      <w:r w:rsidRPr="005475D2">
        <w:rPr>
          <w:rFonts w:ascii="Open Sans" w:hAnsi="Open Sans" w:cs="Open Sans"/>
          <w:bCs/>
          <w:i/>
          <w:color w:val="000000"/>
          <w:sz w:val="24"/>
          <w:szCs w:val="24"/>
        </w:rPr>
        <w:t>structural</w:t>
      </w:r>
      <w:proofErr w:type="spellEnd"/>
      <w:r w:rsidRPr="005475D2">
        <w:rPr>
          <w:rFonts w:ascii="Open Sans" w:hAnsi="Open Sans" w:cs="Open Sans"/>
          <w:bCs/>
          <w:i/>
          <w:color w:val="000000"/>
          <w:sz w:val="24"/>
          <w:szCs w:val="24"/>
        </w:rPr>
        <w:t xml:space="preserve"> </w:t>
      </w:r>
      <w:proofErr w:type="spellStart"/>
      <w:r w:rsidRPr="005475D2">
        <w:rPr>
          <w:rFonts w:ascii="Open Sans" w:hAnsi="Open Sans" w:cs="Open Sans"/>
          <w:bCs/>
          <w:i/>
          <w:color w:val="000000"/>
          <w:sz w:val="24"/>
          <w:szCs w:val="24"/>
        </w:rPr>
        <w:t>reform</w:t>
      </w:r>
      <w:proofErr w:type="spellEnd"/>
      <w:r w:rsidRPr="005475D2">
        <w:rPr>
          <w:rFonts w:ascii="Open Sans" w:hAnsi="Open Sans" w:cs="Open Sans"/>
          <w:bCs/>
          <w:i/>
          <w:color w:val="000000"/>
          <w:sz w:val="24"/>
          <w:szCs w:val="24"/>
        </w:rPr>
        <w:t>), seja em entes, organizações ou instituições, com o fito de deslindar litígios que envolvam múltiplos interesses sociais divergentes, ou mesmo para dar cumprimento a uma política pública..</w:t>
      </w:r>
      <w:r w:rsidRPr="00C221F6">
        <w:rPr>
          <w:rFonts w:ascii="Open Sans" w:hAnsi="Open Sans" w:cs="Open Sans"/>
          <w:bCs/>
          <w:color w:val="000000"/>
          <w:sz w:val="24"/>
          <w:szCs w:val="24"/>
        </w:rPr>
        <w:t xml:space="preserve">." </w:t>
      </w:r>
      <w:r w:rsidRPr="005475D2">
        <w:rPr>
          <w:rFonts w:ascii="Open Sans" w:hAnsi="Open Sans" w:cs="Open Sans"/>
          <w:bCs/>
          <w:i/>
          <w:color w:val="000000"/>
          <w:sz w:val="24"/>
          <w:szCs w:val="24"/>
        </w:rPr>
        <w:t xml:space="preserve">(DIDIER JR., </w:t>
      </w:r>
      <w:proofErr w:type="spellStart"/>
      <w:r w:rsidRPr="005475D2">
        <w:rPr>
          <w:rFonts w:ascii="Open Sans" w:hAnsi="Open Sans" w:cs="Open Sans"/>
          <w:bCs/>
          <w:i/>
          <w:color w:val="000000"/>
          <w:sz w:val="24"/>
          <w:szCs w:val="24"/>
        </w:rPr>
        <w:t>Fredie</w:t>
      </w:r>
      <w:proofErr w:type="spellEnd"/>
      <w:r w:rsidRPr="005475D2">
        <w:rPr>
          <w:rFonts w:ascii="Open Sans" w:hAnsi="Open Sans" w:cs="Open Sans"/>
          <w:bCs/>
          <w:i/>
          <w:color w:val="000000"/>
          <w:sz w:val="24"/>
          <w:szCs w:val="24"/>
        </w:rPr>
        <w:t xml:space="preserve">; ZANETI JR., Hermes. Curso de direito processual civil: processo coletivo. 13ª ed. Salvador: </w:t>
      </w:r>
      <w:proofErr w:type="spellStart"/>
      <w:r w:rsidRPr="005475D2">
        <w:rPr>
          <w:rFonts w:ascii="Open Sans" w:hAnsi="Open Sans" w:cs="Open Sans"/>
          <w:bCs/>
          <w:i/>
          <w:color w:val="000000"/>
          <w:sz w:val="24"/>
          <w:szCs w:val="24"/>
        </w:rPr>
        <w:t>Juspodivm</w:t>
      </w:r>
      <w:proofErr w:type="spellEnd"/>
      <w:r w:rsidRPr="005475D2">
        <w:rPr>
          <w:rFonts w:ascii="Open Sans" w:hAnsi="Open Sans" w:cs="Open Sans"/>
          <w:bCs/>
          <w:i/>
          <w:color w:val="000000"/>
          <w:sz w:val="24"/>
          <w:szCs w:val="24"/>
        </w:rPr>
        <w:t xml:space="preserve">, 2019, vol. 4. p.455. </w:t>
      </w:r>
      <w:r w:rsidRPr="0014225E">
        <w:rPr>
          <w:rFonts w:ascii="Open Sans" w:hAnsi="Open Sans" w:cs="Open Sans"/>
          <w:bCs/>
          <w:color w:val="000000"/>
          <w:sz w:val="24"/>
          <w:szCs w:val="24"/>
        </w:rPr>
        <w:t>7</w:t>
      </w:r>
      <w:r w:rsidRPr="005475D2">
        <w:rPr>
          <w:rFonts w:ascii="Open Sans" w:hAnsi="Open Sans" w:cs="Open Sans"/>
          <w:bCs/>
          <w:i/>
          <w:color w:val="000000"/>
          <w:sz w:val="24"/>
          <w:szCs w:val="24"/>
        </w:rPr>
        <w:t>.</w:t>
      </w:r>
      <w:r w:rsidRPr="00C221F6">
        <w:rPr>
          <w:rFonts w:ascii="Open Sans" w:hAnsi="Open Sans" w:cs="Open Sans"/>
          <w:bCs/>
          <w:color w:val="000000"/>
          <w:sz w:val="24"/>
          <w:szCs w:val="24"/>
        </w:rPr>
        <w:tab/>
        <w:t xml:space="preserve"> </w:t>
      </w:r>
      <w:proofErr w:type="spellStart"/>
      <w:r w:rsidRPr="00C221F6">
        <w:rPr>
          <w:rFonts w:ascii="Open Sans" w:hAnsi="Open Sans" w:cs="Open Sans"/>
          <w:bCs/>
          <w:color w:val="000000"/>
          <w:sz w:val="24"/>
          <w:szCs w:val="24"/>
        </w:rPr>
        <w:t>Astreintes</w:t>
      </w:r>
      <w:proofErr w:type="spellEnd"/>
      <w:r w:rsidRPr="00C221F6">
        <w:rPr>
          <w:rFonts w:ascii="Open Sans" w:hAnsi="Open Sans" w:cs="Open Sans"/>
          <w:bCs/>
          <w:color w:val="000000"/>
          <w:sz w:val="24"/>
          <w:szCs w:val="24"/>
        </w:rPr>
        <w:t xml:space="preserve">. Limitação. A jurisprudência do Tribunal Superior do </w:t>
      </w:r>
      <w:r w:rsidRPr="00C221F6">
        <w:rPr>
          <w:rFonts w:ascii="Open Sans" w:hAnsi="Open Sans" w:cs="Open Sans"/>
          <w:bCs/>
          <w:color w:val="000000"/>
          <w:sz w:val="24"/>
          <w:szCs w:val="24"/>
        </w:rPr>
        <w:lastRenderedPageBreak/>
        <w:t xml:space="preserve">Trabalho tem entendido que as </w:t>
      </w:r>
      <w:proofErr w:type="spellStart"/>
      <w:r w:rsidRPr="00C221F6">
        <w:rPr>
          <w:rFonts w:ascii="Open Sans" w:hAnsi="Open Sans" w:cs="Open Sans"/>
          <w:bCs/>
          <w:color w:val="000000"/>
          <w:sz w:val="24"/>
          <w:szCs w:val="24"/>
        </w:rPr>
        <w:t>astreintes</w:t>
      </w:r>
      <w:proofErr w:type="spellEnd"/>
      <w:r w:rsidRPr="00C221F6">
        <w:rPr>
          <w:rFonts w:ascii="Open Sans" w:hAnsi="Open Sans" w:cs="Open Sans"/>
          <w:bCs/>
          <w:color w:val="000000"/>
          <w:sz w:val="24"/>
          <w:szCs w:val="24"/>
        </w:rPr>
        <w:t xml:space="preserve"> têm natureza diversa da cláusula penal não se podendo impor limitação temporal. Precedentes. Recurso de revista de que se conhece e a que se dá provimento." (</w:t>
      </w:r>
      <w:hyperlink r:id="rId11" w:history="1">
        <w:r>
          <w:rPr>
            <w:rFonts w:ascii="Open Sans" w:hAnsi="Open Sans" w:cs="Open Sans"/>
            <w:bCs/>
            <w:color w:val="0000FF" w:themeColor="hyperlink"/>
            <w:sz w:val="24"/>
            <w:szCs w:val="24"/>
            <w:u w:val="single"/>
          </w:rPr>
          <w:t>TST-R</w:t>
        </w:r>
        <w:r w:rsidRPr="00C221F6">
          <w:rPr>
            <w:rFonts w:ascii="Open Sans" w:hAnsi="Open Sans" w:cs="Open Sans"/>
            <w:bCs/>
            <w:color w:val="0000FF" w:themeColor="hyperlink"/>
            <w:sz w:val="24"/>
            <w:szCs w:val="24"/>
            <w:u w:val="single"/>
          </w:rPr>
          <w:t>RAg-100315-38.2017.5.01.0050</w:t>
        </w:r>
      </w:hyperlink>
      <w:r w:rsidRPr="00C221F6">
        <w:rPr>
          <w:rFonts w:ascii="Open Sans" w:hAnsi="Open Sans" w:cs="Open Sans"/>
          <w:bCs/>
          <w:color w:val="000000"/>
          <w:sz w:val="24"/>
          <w:szCs w:val="24"/>
        </w:rPr>
        <w:t xml:space="preserve">, 3ª Turma, </w:t>
      </w:r>
      <w:r>
        <w:rPr>
          <w:rFonts w:ascii="Open Sans" w:hAnsi="Open Sans" w:cs="Open Sans"/>
          <w:bCs/>
          <w:color w:val="000000"/>
          <w:sz w:val="24"/>
          <w:szCs w:val="24"/>
        </w:rPr>
        <w:t>rel.</w:t>
      </w:r>
      <w:r w:rsidRPr="00C221F6">
        <w:rPr>
          <w:rFonts w:ascii="Open Sans" w:hAnsi="Open Sans" w:cs="Open Sans"/>
          <w:bCs/>
          <w:color w:val="000000"/>
          <w:sz w:val="24"/>
          <w:szCs w:val="24"/>
        </w:rPr>
        <w:t xml:space="preserve"> Min</w:t>
      </w:r>
      <w:r>
        <w:rPr>
          <w:rFonts w:ascii="Open Sans" w:hAnsi="Open Sans" w:cs="Open Sans"/>
          <w:bCs/>
          <w:color w:val="000000"/>
          <w:sz w:val="24"/>
          <w:szCs w:val="24"/>
        </w:rPr>
        <w:t>.</w:t>
      </w:r>
      <w:r w:rsidRPr="00C221F6">
        <w:rPr>
          <w:rFonts w:ascii="Open Sans" w:hAnsi="Open Sans" w:cs="Open Sans"/>
          <w:bCs/>
          <w:color w:val="000000"/>
          <w:sz w:val="24"/>
          <w:szCs w:val="24"/>
        </w:rPr>
        <w:t xml:space="preserve"> Alberto Bastos </w:t>
      </w:r>
      <w:proofErr w:type="spellStart"/>
      <w:r w:rsidRPr="00C221F6">
        <w:rPr>
          <w:rFonts w:ascii="Open Sans" w:hAnsi="Open Sans" w:cs="Open Sans"/>
          <w:bCs/>
          <w:color w:val="000000"/>
          <w:sz w:val="24"/>
          <w:szCs w:val="24"/>
        </w:rPr>
        <w:t>Balazeiro</w:t>
      </w:r>
      <w:proofErr w:type="spellEnd"/>
      <w:r w:rsidRPr="00C221F6">
        <w:rPr>
          <w:rFonts w:ascii="Open Sans" w:hAnsi="Open Sans" w:cs="Open Sans"/>
          <w:bCs/>
          <w:color w:val="000000"/>
          <w:sz w:val="24"/>
          <w:szCs w:val="24"/>
        </w:rPr>
        <w:t xml:space="preserve">, </w:t>
      </w:r>
      <w:r w:rsidRPr="00C221F6">
        <w:rPr>
          <w:rFonts w:ascii="Open Sans" w:hAnsi="Open Sans" w:cs="Open Sans"/>
          <w:color w:val="000000"/>
          <w:sz w:val="24"/>
          <w:szCs w:val="24"/>
        </w:rPr>
        <w:t>julgado em 25/5/2022</w:t>
      </w:r>
      <w:r w:rsidRPr="00C4609C">
        <w:rPr>
          <w:rFonts w:ascii="Open Sans" w:hAnsi="Open Sans" w:cs="Open Sans"/>
          <w:color w:val="000000"/>
          <w:sz w:val="24"/>
          <w:szCs w:val="24"/>
        </w:rPr>
        <w:t>)</w:t>
      </w:r>
    </w:p>
    <w:p w:rsidR="004942E9" w:rsidRDefault="004942E9" w:rsidP="000F511B">
      <w:pPr>
        <w:ind w:left="-142" w:right="367"/>
        <w:jc w:val="both"/>
        <w:rPr>
          <w:rFonts w:ascii="Open Sans" w:hAnsi="Open Sans" w:cs="Open Sans"/>
          <w:color w:val="000000"/>
          <w:sz w:val="24"/>
          <w:szCs w:val="24"/>
        </w:rPr>
      </w:pPr>
    </w:p>
    <w:p w:rsidR="000F511B" w:rsidRDefault="004942E9" w:rsidP="000F511B">
      <w:pPr>
        <w:ind w:left="-142" w:right="367"/>
        <w:jc w:val="both"/>
        <w:rPr>
          <w:rFonts w:ascii="Open Sans" w:hAnsi="Open Sans" w:cs="Open Sans"/>
          <w:bCs/>
          <w:sz w:val="24"/>
          <w:szCs w:val="24"/>
        </w:rPr>
      </w:pPr>
      <w:r w:rsidRPr="00853B3E">
        <w:rPr>
          <w:rFonts w:ascii="Open Sans" w:hAnsi="Open Sans" w:cs="Open Sans"/>
          <w:bCs/>
          <w:sz w:val="24"/>
          <w:szCs w:val="24"/>
        </w:rPr>
        <w:t xml:space="preserve">“RECURSO DE REVISTA INTERPOSTO SOB A ÉGIDE DA LEI Nº 13.467/2017 – DANO MORAIS – CONTAMINAÇÃO POR COVID-19 – AMBIENTE DE TRABALHO – FRIGORÍFICO – RESPONSABILIDADE OBJETIVA – AUSÊNCIA DE NEXO DE CAUSALIDADE - TRANSCENDÊNCIA JURÍDICA. I - O reconhecimento do nexo de causalidade entre a COVID-19 e o trabalho desempenhado se dará de forma objetiva justamente em duas hipóteses: a) previsão expressa em lei; ou b) atividade que por natureza apresente exposição habitual a risco especial maior. II - Para tratar da primeira hipótese de aplicação da responsabilidade objetiva (previsão legal), foi editada a Lei nº 14.128, de 26 de março de 2021, para amparar os trabalhadores da área de saúde que atuaram de forma direta no atendimento de pacientes acometidos por COVID-19. III - Quanto à segunda hipótese (natureza da atividade apresentar exposição habitual a risco especial maior), é necessário identificar e comprovar que o tipo de serviço realizado expõe o trabalhador a um perigo acentuado de contaminação pelo novo </w:t>
      </w:r>
      <w:proofErr w:type="spellStart"/>
      <w:r w:rsidRPr="00853B3E">
        <w:rPr>
          <w:rFonts w:ascii="Open Sans" w:hAnsi="Open Sans" w:cs="Open Sans"/>
          <w:bCs/>
          <w:sz w:val="24"/>
          <w:szCs w:val="24"/>
        </w:rPr>
        <w:t>coronavírus</w:t>
      </w:r>
      <w:proofErr w:type="spellEnd"/>
      <w:r w:rsidRPr="00853B3E">
        <w:rPr>
          <w:rFonts w:ascii="Open Sans" w:hAnsi="Open Sans" w:cs="Open Sans"/>
          <w:bCs/>
          <w:sz w:val="24"/>
          <w:szCs w:val="24"/>
        </w:rPr>
        <w:t xml:space="preserve"> a ponto de gerar a responsabilidade objetiva do empregador. IV - Procedendo a uma análise cuidadosa das contingências que envolvem a pandemia de COVID-19, iniciada em 2020, é fundamental constatar que a transmissão comunitária da doença funciona em parte como risco concorrente e até excludente da causalidade entre o desempenho do trabalho e a infecção do empregado. Isso ocorre, pois é difícil aferir de forma exata as circunstâncias da infecção, o que aproxima bastante os conceitos de pandemia e endemia para fins de reconhecimento de doença do trabalho. V - Assim, aplicando a teoria objetiva, inclusive com suas exceções, é possível constatar que o ofício do Reclamante – </w:t>
      </w:r>
      <w:r w:rsidRPr="0070613A">
        <w:rPr>
          <w:rFonts w:ascii="Open Sans" w:hAnsi="Open Sans" w:cs="Open Sans"/>
          <w:bCs/>
          <w:i/>
          <w:sz w:val="24"/>
          <w:szCs w:val="24"/>
        </w:rPr>
        <w:t>auxiliar de produção em frigorífico</w:t>
      </w:r>
      <w:r w:rsidRPr="00853B3E">
        <w:rPr>
          <w:rFonts w:ascii="Open Sans" w:hAnsi="Open Sans" w:cs="Open Sans"/>
          <w:bCs/>
          <w:sz w:val="24"/>
          <w:szCs w:val="24"/>
        </w:rPr>
        <w:t xml:space="preserve"> – não se enquadra na hipótese de caso especificado em lei, tampouco se configura como atividade cuja natureza apresenta exposição habitual a risco especial maior à contaminação pelo novo </w:t>
      </w:r>
      <w:proofErr w:type="spellStart"/>
      <w:r w:rsidRPr="00853B3E">
        <w:rPr>
          <w:rFonts w:ascii="Open Sans" w:hAnsi="Open Sans" w:cs="Open Sans"/>
          <w:bCs/>
          <w:sz w:val="24"/>
          <w:szCs w:val="24"/>
        </w:rPr>
        <w:t>coronavírus</w:t>
      </w:r>
      <w:proofErr w:type="spellEnd"/>
      <w:r w:rsidRPr="00853B3E">
        <w:rPr>
          <w:rFonts w:ascii="Open Sans" w:hAnsi="Open Sans" w:cs="Open Sans"/>
          <w:bCs/>
          <w:sz w:val="24"/>
          <w:szCs w:val="24"/>
        </w:rPr>
        <w:t xml:space="preserve">. Assim, resta ausente o nexo de causalidade, </w:t>
      </w:r>
      <w:proofErr w:type="gramStart"/>
      <w:r w:rsidRPr="00853B3E">
        <w:rPr>
          <w:rFonts w:ascii="Open Sans" w:hAnsi="Open Sans" w:cs="Open Sans"/>
          <w:bCs/>
          <w:sz w:val="24"/>
          <w:szCs w:val="24"/>
        </w:rPr>
        <w:t>elemento</w:t>
      </w:r>
      <w:proofErr w:type="gramEnd"/>
      <w:r w:rsidRPr="00853B3E">
        <w:rPr>
          <w:rFonts w:ascii="Open Sans" w:hAnsi="Open Sans" w:cs="Open Sans"/>
          <w:bCs/>
          <w:sz w:val="24"/>
          <w:szCs w:val="24"/>
        </w:rPr>
        <w:t xml:space="preserve"> </w:t>
      </w:r>
      <w:proofErr w:type="gramStart"/>
      <w:r w:rsidRPr="00853B3E">
        <w:rPr>
          <w:rFonts w:ascii="Open Sans" w:hAnsi="Open Sans" w:cs="Open Sans"/>
          <w:bCs/>
          <w:sz w:val="24"/>
          <w:szCs w:val="24"/>
        </w:rPr>
        <w:t>essencial</w:t>
      </w:r>
      <w:proofErr w:type="gramEnd"/>
      <w:r w:rsidRPr="00853B3E">
        <w:rPr>
          <w:rFonts w:ascii="Open Sans" w:hAnsi="Open Sans" w:cs="Open Sans"/>
          <w:bCs/>
          <w:sz w:val="24"/>
          <w:szCs w:val="24"/>
        </w:rPr>
        <w:t xml:space="preserve"> para a responsabilização da Reclamada. Súmula nº 126 do TST. [</w:t>
      </w:r>
      <w:proofErr w:type="gramStart"/>
      <w:r w:rsidRPr="00853B3E">
        <w:rPr>
          <w:rFonts w:ascii="Open Sans" w:hAnsi="Open Sans" w:cs="Open Sans"/>
          <w:bCs/>
          <w:sz w:val="24"/>
          <w:szCs w:val="24"/>
        </w:rPr>
        <w:t>...]”</w:t>
      </w:r>
      <w:proofErr w:type="gramEnd"/>
      <w:r w:rsidRPr="00853B3E">
        <w:rPr>
          <w:rFonts w:ascii="Open Sans" w:hAnsi="Open Sans" w:cs="Open Sans"/>
          <w:bCs/>
          <w:sz w:val="24"/>
          <w:szCs w:val="24"/>
        </w:rPr>
        <w:t xml:space="preserve"> (</w:t>
      </w:r>
      <w:hyperlink r:id="rId12" w:history="1">
        <w:r w:rsidRPr="00853B3E">
          <w:rPr>
            <w:rFonts w:ascii="Open Sans" w:hAnsi="Open Sans" w:cs="Open Sans"/>
            <w:bCs/>
            <w:color w:val="0000FF" w:themeColor="hyperlink"/>
            <w:sz w:val="24"/>
            <w:szCs w:val="24"/>
            <w:u w:val="single"/>
          </w:rPr>
          <w:t>TST-RR-491-34.2020.5.12.0038</w:t>
        </w:r>
      </w:hyperlink>
      <w:r w:rsidRPr="00853B3E">
        <w:rPr>
          <w:rFonts w:ascii="Open Sans" w:hAnsi="Open Sans" w:cs="Open Sans"/>
          <w:bCs/>
          <w:sz w:val="24"/>
          <w:szCs w:val="24"/>
        </w:rPr>
        <w:t xml:space="preserve">, 4ª Turma, rel. Min. Maria Cristina </w:t>
      </w:r>
      <w:proofErr w:type="spellStart"/>
      <w:r w:rsidRPr="00853B3E">
        <w:rPr>
          <w:rFonts w:ascii="Open Sans" w:hAnsi="Open Sans" w:cs="Open Sans"/>
          <w:bCs/>
          <w:sz w:val="24"/>
          <w:szCs w:val="24"/>
        </w:rPr>
        <w:t>Irigoyen</w:t>
      </w:r>
      <w:proofErr w:type="spellEnd"/>
      <w:r w:rsidRPr="00853B3E">
        <w:rPr>
          <w:rFonts w:ascii="Open Sans" w:hAnsi="Open Sans" w:cs="Open Sans"/>
          <w:bCs/>
          <w:sz w:val="24"/>
          <w:szCs w:val="24"/>
        </w:rPr>
        <w:t xml:space="preserve"> </w:t>
      </w:r>
      <w:proofErr w:type="spellStart"/>
      <w:r w:rsidRPr="00853B3E">
        <w:rPr>
          <w:rFonts w:ascii="Open Sans" w:hAnsi="Open Sans" w:cs="Open Sans"/>
          <w:bCs/>
          <w:sz w:val="24"/>
          <w:szCs w:val="24"/>
        </w:rPr>
        <w:t>Peduzzi</w:t>
      </w:r>
      <w:proofErr w:type="spellEnd"/>
      <w:r w:rsidRPr="00853B3E">
        <w:rPr>
          <w:rFonts w:ascii="Open Sans" w:hAnsi="Open Sans" w:cs="Open Sans"/>
          <w:bCs/>
          <w:sz w:val="24"/>
          <w:szCs w:val="24"/>
        </w:rPr>
        <w:t>, julgado em 31/5/2022)</w:t>
      </w:r>
    </w:p>
    <w:p w:rsidR="004942E9" w:rsidRPr="00C221F6" w:rsidRDefault="004942E9" w:rsidP="000F511B">
      <w:pPr>
        <w:ind w:left="-142" w:right="367"/>
        <w:jc w:val="both"/>
        <w:rPr>
          <w:rFonts w:ascii="Open Sans" w:hAnsi="Open Sans" w:cs="Open Sans"/>
          <w:bCs/>
          <w:color w:val="000000"/>
          <w:sz w:val="24"/>
          <w:szCs w:val="24"/>
        </w:rPr>
      </w:pPr>
    </w:p>
    <w:p w:rsidR="000F511B" w:rsidRDefault="000F511B" w:rsidP="000F511B">
      <w:pPr>
        <w:ind w:left="-142" w:right="367"/>
        <w:jc w:val="both"/>
        <w:rPr>
          <w:rFonts w:ascii="Open Sans" w:eastAsia="Calibri" w:hAnsi="Open Sans" w:cs="Open Sans"/>
          <w:bCs/>
          <w:sz w:val="24"/>
          <w:szCs w:val="24"/>
        </w:rPr>
      </w:pPr>
      <w:r w:rsidRPr="00C221F6">
        <w:rPr>
          <w:rFonts w:ascii="Open Sans" w:eastAsia="Calibri" w:hAnsi="Open Sans" w:cs="Open Sans"/>
          <w:bCs/>
          <w:sz w:val="24"/>
          <w:szCs w:val="24"/>
        </w:rPr>
        <w:t xml:space="preserve">“[...] II. RECURSO DE REVISTA. REGIDO PELA LEI 13.467/2017. COMPETÊNCIA DA JUSTIÇA DO TRABALHO. EXPEDIÇÃO DE ALVARÁ JUDICIAL. SAQUE DOS DEPÓSITOS DE FGTS JUNTO À CAIXA ECONÔMICA FEDERAL - CEF. PANDEMIA. COVID-19. TRANSCENDÊNCIA JURÍDICA RECONHECIDA. </w:t>
      </w:r>
      <w:proofErr w:type="gramStart"/>
      <w:r w:rsidRPr="00C221F6">
        <w:rPr>
          <w:rFonts w:ascii="Open Sans" w:eastAsia="Calibri" w:hAnsi="Open Sans" w:cs="Open Sans"/>
          <w:bCs/>
          <w:sz w:val="24"/>
          <w:szCs w:val="24"/>
        </w:rPr>
        <w:t>1</w:t>
      </w:r>
      <w:proofErr w:type="gramEnd"/>
      <w:r w:rsidRPr="00C221F6">
        <w:rPr>
          <w:rFonts w:ascii="Open Sans" w:eastAsia="Calibri" w:hAnsi="Open Sans" w:cs="Open Sans"/>
          <w:bCs/>
          <w:sz w:val="24"/>
          <w:szCs w:val="24"/>
        </w:rPr>
        <w:t>. A questão jurídica objeto do recurso de revista, relacionada à eventual competência da Justiça do Trabalho para apreciar pedido de concessão de alvará para saque do saldo da conta vinculada ao FGTS, com fundamento na situação de calamidade pública ocasionada pela pandemia de COVID-</w:t>
      </w:r>
      <w:r w:rsidRPr="00C221F6">
        <w:rPr>
          <w:rFonts w:ascii="Open Sans" w:eastAsia="Calibri" w:hAnsi="Open Sans" w:cs="Open Sans"/>
          <w:bCs/>
          <w:sz w:val="24"/>
          <w:szCs w:val="24"/>
        </w:rPr>
        <w:lastRenderedPageBreak/>
        <w:t>19, representa “</w:t>
      </w:r>
      <w:r w:rsidRPr="00AD0FDD">
        <w:rPr>
          <w:rFonts w:ascii="Open Sans" w:eastAsia="Calibri" w:hAnsi="Open Sans" w:cs="Open Sans"/>
          <w:bCs/>
          <w:i/>
          <w:sz w:val="24"/>
          <w:szCs w:val="24"/>
        </w:rPr>
        <w:t>questão nova em torno da interpretação da legislação trabalhista</w:t>
      </w:r>
      <w:r w:rsidRPr="00C221F6">
        <w:rPr>
          <w:rFonts w:ascii="Open Sans" w:eastAsia="Calibri" w:hAnsi="Open Sans" w:cs="Open Sans"/>
          <w:bCs/>
          <w:sz w:val="24"/>
          <w:szCs w:val="24"/>
        </w:rPr>
        <w:t>”, nos termos do art. 896-A, IV, da CLT, o que configura a transcendência jurídica da matéria em debate. 2. O Autor ajuizou a presente ação objetivando a concessão de alvará para saque da integralidade do saldo de sua conta vinculada ao FGTS, com fundamento na situação de calamidade pública ocasionada pela pandemia de COVID-19. O Tribunal Regional, ao julgar o recurso ordinário, manteve a sentença em que reconhecida a incompetência da Justiça do Trabalho para apreciar e julgar a presente demanda, ao fundamento de que “</w:t>
      </w:r>
      <w:r w:rsidRPr="00AD0FDD">
        <w:rPr>
          <w:rFonts w:ascii="Open Sans" w:eastAsia="Calibri" w:hAnsi="Open Sans" w:cs="Open Sans"/>
          <w:bCs/>
          <w:i/>
          <w:sz w:val="24"/>
          <w:szCs w:val="24"/>
        </w:rPr>
        <w:t>embora a Emenda Constitucional n. 45/2004 tenha ampliado de forma significativa a competência da Justiça do Trabalho, verifica-se que a pretensão em análise não é dirigida ao empregador e nem se discute aspectos da relação de emprego ou de trabalho, mas, restritivamente, o reconhecimento ou não pela Caixa Econômica Federal, na condição de Agente Operador do FGTS, do direito do interessado movimentar a conta vinculada</w:t>
      </w:r>
      <w:r w:rsidRPr="00C221F6">
        <w:rPr>
          <w:rFonts w:ascii="Open Sans" w:eastAsia="Calibri" w:hAnsi="Open Sans" w:cs="Open Sans"/>
          <w:bCs/>
          <w:sz w:val="24"/>
          <w:szCs w:val="24"/>
        </w:rPr>
        <w:t xml:space="preserve">”. 3. Essa Corte, por ocasião do julgamento do TST-RR-619872/2000-2, em que foi relator do processo o Exmo. Sr. Ministro João </w:t>
      </w:r>
      <w:proofErr w:type="spellStart"/>
      <w:r w:rsidRPr="00C221F6">
        <w:rPr>
          <w:rFonts w:ascii="Open Sans" w:eastAsia="Calibri" w:hAnsi="Open Sans" w:cs="Open Sans"/>
          <w:bCs/>
          <w:sz w:val="24"/>
          <w:szCs w:val="24"/>
        </w:rPr>
        <w:t>Oreste</w:t>
      </w:r>
      <w:proofErr w:type="spellEnd"/>
      <w:r w:rsidRPr="00C221F6">
        <w:rPr>
          <w:rFonts w:ascii="Open Sans" w:eastAsia="Calibri" w:hAnsi="Open Sans" w:cs="Open Sans"/>
          <w:bCs/>
          <w:sz w:val="24"/>
          <w:szCs w:val="24"/>
        </w:rPr>
        <w:t xml:space="preserve"> </w:t>
      </w:r>
      <w:proofErr w:type="spellStart"/>
      <w:r w:rsidRPr="00C221F6">
        <w:rPr>
          <w:rFonts w:ascii="Open Sans" w:eastAsia="Calibri" w:hAnsi="Open Sans" w:cs="Open Sans"/>
          <w:bCs/>
          <w:sz w:val="24"/>
          <w:szCs w:val="24"/>
        </w:rPr>
        <w:t>Dalazen</w:t>
      </w:r>
      <w:proofErr w:type="spellEnd"/>
      <w:r w:rsidRPr="00C221F6">
        <w:rPr>
          <w:rFonts w:ascii="Open Sans" w:eastAsia="Calibri" w:hAnsi="Open Sans" w:cs="Open Sans"/>
          <w:bCs/>
          <w:sz w:val="24"/>
          <w:szCs w:val="24"/>
        </w:rPr>
        <w:t xml:space="preserve">, em sede de incidente de uniformização jurisprudencial, cancelou a Súmula 176/TST, a qual consagrava a competência da Justiça do Trabalho para autorizar saques de FGTS apenas nas hipóteses de dissídio entre empregado e empregador. A partir de então se consolidou o entendimento nesta Corte Superior </w:t>
      </w:r>
      <w:proofErr w:type="gramStart"/>
      <w:r w:rsidRPr="00C221F6">
        <w:rPr>
          <w:rFonts w:ascii="Open Sans" w:eastAsia="Calibri" w:hAnsi="Open Sans" w:cs="Open Sans"/>
          <w:bCs/>
          <w:sz w:val="24"/>
          <w:szCs w:val="24"/>
        </w:rPr>
        <w:t>no</w:t>
      </w:r>
      <w:proofErr w:type="gramEnd"/>
      <w:r w:rsidRPr="00C221F6">
        <w:rPr>
          <w:rFonts w:ascii="Open Sans" w:eastAsia="Calibri" w:hAnsi="Open Sans" w:cs="Open Sans"/>
          <w:bCs/>
          <w:sz w:val="24"/>
          <w:szCs w:val="24"/>
        </w:rPr>
        <w:t xml:space="preserve"> sentido de que a Justiça do Trabalho é competente para processar e julgar o pedido de expedição de alvará judicial para o saque dos depósitos do FGTS junto à CEF, como órgão gestor do Fundo de Garantia por Tempo de Serviço, mesmo que não haja dissídio entre empregado e empregador. Tal entendimento tem sido reiterado por essa Corte, recentemente, em julgados de diversas Turmas, proferidos em demandas semelhantes, nos quais se buscava liberação do FGTS em decorrência da situação excepcional ocasionada pela pandemia de COVID-19. Precedentes. 4. Destaque-se, ainda, que o Su</w:t>
      </w:r>
      <w:r>
        <w:rPr>
          <w:rFonts w:ascii="Open Sans" w:eastAsia="Calibri" w:hAnsi="Open Sans" w:cs="Open Sans"/>
          <w:bCs/>
          <w:sz w:val="24"/>
          <w:szCs w:val="24"/>
        </w:rPr>
        <w:t xml:space="preserve">perior Tribunal Justiça, órgão </w:t>
      </w:r>
      <w:r w:rsidRPr="00C221F6">
        <w:rPr>
          <w:rFonts w:ascii="Open Sans" w:eastAsia="Calibri" w:hAnsi="Open Sans" w:cs="Open Sans"/>
          <w:bCs/>
          <w:sz w:val="24"/>
          <w:szCs w:val="24"/>
        </w:rPr>
        <w:t xml:space="preserve">responsável por resolver conflitos de competência entre juízos vinculados a Tribunais diversos (art. 105, I, “d”, da Constituição Federal), ao apreciar o </w:t>
      </w:r>
      <w:proofErr w:type="spellStart"/>
      <w:proofErr w:type="gramStart"/>
      <w:r w:rsidRPr="00C221F6">
        <w:rPr>
          <w:rFonts w:ascii="Open Sans" w:eastAsia="Calibri" w:hAnsi="Open Sans" w:cs="Open Sans"/>
          <w:bCs/>
          <w:sz w:val="24"/>
          <w:szCs w:val="24"/>
        </w:rPr>
        <w:t>AgInt</w:t>
      </w:r>
      <w:proofErr w:type="spellEnd"/>
      <w:proofErr w:type="gramEnd"/>
      <w:r w:rsidRPr="00C221F6">
        <w:rPr>
          <w:rFonts w:ascii="Open Sans" w:eastAsia="Calibri" w:hAnsi="Open Sans" w:cs="Open Sans"/>
          <w:bCs/>
          <w:sz w:val="24"/>
          <w:szCs w:val="24"/>
        </w:rPr>
        <w:t xml:space="preserve"> no CC 171.972/AL, em 15/12/2020, decidiu que a Justiça do Trabalho é competente para apreciar e julgar controvérsia relacionada à liberação de FGTS em ação proposta diretamente em face da Caixa Econômica Federal. 5. Nesse cenário, o Tribunal Regional ao declarar a incompetência da Justiça do Trabalho para apreciar e julgar o pedido de liberação do valor do FGTS existente na conta vinculada do Autor</w:t>
      </w:r>
      <w:proofErr w:type="gramStart"/>
      <w:r w:rsidRPr="00C221F6">
        <w:rPr>
          <w:rFonts w:ascii="Open Sans" w:eastAsia="Calibri" w:hAnsi="Open Sans" w:cs="Open Sans"/>
          <w:bCs/>
          <w:sz w:val="24"/>
          <w:szCs w:val="24"/>
        </w:rPr>
        <w:t>, violou</w:t>
      </w:r>
      <w:proofErr w:type="gramEnd"/>
      <w:r w:rsidRPr="00C221F6">
        <w:rPr>
          <w:rFonts w:ascii="Open Sans" w:eastAsia="Calibri" w:hAnsi="Open Sans" w:cs="Open Sans"/>
          <w:bCs/>
          <w:sz w:val="24"/>
          <w:szCs w:val="24"/>
        </w:rPr>
        <w:t xml:space="preserve"> o artigo 114, I, da Constituição Federal. </w:t>
      </w:r>
      <w:proofErr w:type="gramStart"/>
      <w:r w:rsidRPr="00C221F6">
        <w:rPr>
          <w:rFonts w:ascii="Open Sans" w:eastAsia="Calibri" w:hAnsi="Open Sans" w:cs="Open Sans"/>
          <w:bCs/>
          <w:sz w:val="24"/>
          <w:szCs w:val="24"/>
        </w:rPr>
        <w:t>Recurso de revista conhecido e provido.”</w:t>
      </w:r>
      <w:proofErr w:type="gramEnd"/>
      <w:r w:rsidRPr="00C221F6">
        <w:rPr>
          <w:rFonts w:ascii="Open Sans" w:eastAsia="Calibri" w:hAnsi="Open Sans" w:cs="Open Sans"/>
          <w:bCs/>
          <w:sz w:val="24"/>
          <w:szCs w:val="24"/>
        </w:rPr>
        <w:t xml:space="preserve"> (</w:t>
      </w:r>
      <w:hyperlink r:id="rId13" w:history="1">
        <w:r w:rsidRPr="00C221F6">
          <w:rPr>
            <w:rFonts w:ascii="Open Sans" w:eastAsia="Calibri" w:hAnsi="Open Sans" w:cs="Open Sans"/>
            <w:bCs/>
            <w:color w:val="0000FF" w:themeColor="hyperlink"/>
            <w:sz w:val="24"/>
            <w:szCs w:val="24"/>
            <w:u w:val="single"/>
          </w:rPr>
          <w:t>TST-RR-126-49.2021.5.12.0036</w:t>
        </w:r>
      </w:hyperlink>
      <w:r w:rsidRPr="00C221F6">
        <w:rPr>
          <w:rFonts w:ascii="Open Sans" w:eastAsia="Calibri" w:hAnsi="Open Sans" w:cs="Open Sans"/>
          <w:bCs/>
          <w:sz w:val="24"/>
          <w:szCs w:val="24"/>
        </w:rPr>
        <w:t>, 5ª Turma, rel. Min. Douglas Alencar Rodrigues, julgado em 18/5/2022</w:t>
      </w:r>
      <w:r w:rsidRPr="00C4609C">
        <w:rPr>
          <w:rFonts w:ascii="Open Sans" w:eastAsia="Calibri" w:hAnsi="Open Sans" w:cs="Open Sans"/>
          <w:bCs/>
          <w:sz w:val="24"/>
          <w:szCs w:val="24"/>
        </w:rPr>
        <w:t>)</w:t>
      </w:r>
    </w:p>
    <w:p w:rsidR="000F511B" w:rsidRPr="00C221F6" w:rsidRDefault="000F511B" w:rsidP="000F511B">
      <w:pPr>
        <w:ind w:left="-142" w:right="367"/>
        <w:jc w:val="both"/>
        <w:rPr>
          <w:rFonts w:ascii="Open Sans" w:eastAsia="Calibri" w:hAnsi="Open Sans" w:cs="Open Sans"/>
          <w:bCs/>
          <w:sz w:val="24"/>
          <w:szCs w:val="24"/>
        </w:rPr>
      </w:pPr>
    </w:p>
    <w:p w:rsidR="000F511B" w:rsidRDefault="000F511B" w:rsidP="000F511B">
      <w:pPr>
        <w:ind w:left="-142" w:right="367"/>
        <w:jc w:val="both"/>
        <w:rPr>
          <w:rFonts w:ascii="Open Sans" w:eastAsia="Calibri" w:hAnsi="Open Sans" w:cs="Open Sans"/>
          <w:bCs/>
          <w:sz w:val="24"/>
          <w:szCs w:val="24"/>
        </w:rPr>
      </w:pPr>
      <w:proofErr w:type="gramStart"/>
      <w:r w:rsidRPr="00C221F6">
        <w:rPr>
          <w:rFonts w:ascii="Open Sans" w:eastAsia="Calibri" w:hAnsi="Open Sans" w:cs="Open Sans"/>
          <w:bCs/>
          <w:sz w:val="24"/>
          <w:szCs w:val="24"/>
        </w:rPr>
        <w:t>"AGRAVO.</w:t>
      </w:r>
      <w:proofErr w:type="gramEnd"/>
      <w:r w:rsidRPr="00C221F6">
        <w:rPr>
          <w:rFonts w:ascii="Open Sans" w:eastAsia="Calibri" w:hAnsi="Open Sans" w:cs="Open Sans"/>
          <w:bCs/>
          <w:sz w:val="24"/>
          <w:szCs w:val="24"/>
        </w:rPr>
        <w:t xml:space="preserve"> AGRAVO DE INSTRUMENTO EM RECURSO DE REVISTA. ACÓRDÃO PUBLICADO NA VIGÊNCIA DA LEI Nº 13.467/2017. AÇÃO CIVIL COLETIVA. NULIDADE POR AUSÊNCIA DE INTIMAÇÃO DO</w:t>
      </w:r>
      <w:r>
        <w:rPr>
          <w:rFonts w:ascii="Open Sans" w:eastAsia="Calibri" w:hAnsi="Open Sans" w:cs="Open Sans"/>
          <w:bCs/>
          <w:sz w:val="24"/>
          <w:szCs w:val="24"/>
        </w:rPr>
        <w:t xml:space="preserve"> MINISTÉRIO PÚBLICO DO TRABALHO</w:t>
      </w:r>
      <w:r w:rsidRPr="00C221F6">
        <w:rPr>
          <w:rFonts w:ascii="Open Sans" w:eastAsia="Calibri" w:hAnsi="Open Sans" w:cs="Open Sans"/>
          <w:bCs/>
          <w:sz w:val="24"/>
          <w:szCs w:val="24"/>
        </w:rPr>
        <w:t xml:space="preserve">. O e. TRT declarou a nulidade dos atos processuais praticados sem a intervenção do </w:t>
      </w:r>
      <w:r w:rsidRPr="00BC7E59">
        <w:rPr>
          <w:rFonts w:ascii="Open Sans" w:eastAsia="Calibri" w:hAnsi="Open Sans" w:cs="Open Sans"/>
          <w:bCs/>
          <w:i/>
          <w:sz w:val="24"/>
          <w:szCs w:val="24"/>
        </w:rPr>
        <w:t>Parquet</w:t>
      </w:r>
      <w:r w:rsidRPr="00C221F6">
        <w:rPr>
          <w:rFonts w:ascii="Open Sans" w:eastAsia="Calibri" w:hAnsi="Open Sans" w:cs="Open Sans"/>
          <w:bCs/>
          <w:sz w:val="24"/>
          <w:szCs w:val="24"/>
        </w:rPr>
        <w:t xml:space="preserve"> na presente ação coletiva, e determinou o retorno dos autos à origem para o regular </w:t>
      </w:r>
      <w:r w:rsidRPr="00C221F6">
        <w:rPr>
          <w:rFonts w:ascii="Open Sans" w:eastAsia="Calibri" w:hAnsi="Open Sans" w:cs="Open Sans"/>
          <w:bCs/>
          <w:sz w:val="24"/>
          <w:szCs w:val="24"/>
        </w:rPr>
        <w:lastRenderedPageBreak/>
        <w:t>processamento do feito. Conquanto se trate de decisão interlocutória que não desafia recurso de imediato, vê-se que o Regional, ao reputar nulos os atos processuais realizados sem a intervenção do MPT, inobstante a ausência de demonstração de prejuízo, decidiu em dissonância com a jurisprudência que vem se formando acerca da matéria no âmbito desta Corte. Assim, em atenção aos princípios da celeridade e da economia processual, deve ser conferida interpretação evolutiva à Súmula nº 214 desta Corte, a fim de afastar o óbice aplicado na decisão agravada e permitir o exame da revista. Precedentes. Afasta-se, assim, o óbice aplicado na decisão agravada, quanto à incidência da Súmula n° 214 do TST e passa-se ao exame do agravo de instrumento da reclamada. Agravo provido. AGRAVO DE INSTRUMENTO EM RECURSO DE REVISTA. AÇÃO CIVIL COLETIVA. NULIDADE POR AUSÊNCIA DE INTIMAÇÃO DO MINISTÉRIO PÚBLICO DO TRABALHO. TRAN</w:t>
      </w:r>
      <w:r>
        <w:rPr>
          <w:rFonts w:ascii="Open Sans" w:eastAsia="Calibri" w:hAnsi="Open Sans" w:cs="Open Sans"/>
          <w:bCs/>
          <w:sz w:val="24"/>
          <w:szCs w:val="24"/>
        </w:rPr>
        <w:t>SCENDÊNCIA JURÍDICA RECONHECIDA</w:t>
      </w:r>
      <w:r w:rsidRPr="00C221F6">
        <w:rPr>
          <w:rFonts w:ascii="Open Sans" w:eastAsia="Calibri" w:hAnsi="Open Sans" w:cs="Open Sans"/>
          <w:bCs/>
          <w:sz w:val="24"/>
          <w:szCs w:val="24"/>
        </w:rPr>
        <w:t>. Em razão da potencial ofensa ao art. 794 da CLT, dá-se provimento ao agravo de instrumento para determinar o prosseguimento do recurso de revista. Agravo de instrumento provido. RECURSO DE REVISTA. AÇÃO CIVIL COLETIVA. NULIDADE POR AUSÊNCIA DE INTIMAÇÃO DO MINISTÉRIO PÚBLICO DO TRABALHO. TRAN</w:t>
      </w:r>
      <w:r>
        <w:rPr>
          <w:rFonts w:ascii="Open Sans" w:eastAsia="Calibri" w:hAnsi="Open Sans" w:cs="Open Sans"/>
          <w:bCs/>
          <w:sz w:val="24"/>
          <w:szCs w:val="24"/>
        </w:rPr>
        <w:t>SCENDÊNCIA JURÍDICA RECONHECIDA</w:t>
      </w:r>
      <w:r w:rsidRPr="00C221F6">
        <w:rPr>
          <w:rFonts w:ascii="Open Sans" w:eastAsia="Calibri" w:hAnsi="Open Sans" w:cs="Open Sans"/>
          <w:bCs/>
          <w:sz w:val="24"/>
          <w:szCs w:val="24"/>
        </w:rPr>
        <w:t xml:space="preserve">. O tema ostenta transcendência jurídica, uma vez que ainda não fora suficientemente enfrentado no âmbito desta Corte. No âmbito desta Especializada, a decretação de eventual nulidade demanda a comprovação de manifesto prejuízo às partes, na forma do art. 794 da CLT. Ademais a jurisprudência desta Corte tem se manifestado no sentido de que não há </w:t>
      </w:r>
      <w:proofErr w:type="gramStart"/>
      <w:r w:rsidRPr="00C221F6">
        <w:rPr>
          <w:rFonts w:ascii="Open Sans" w:eastAsia="Calibri" w:hAnsi="Open Sans" w:cs="Open Sans"/>
          <w:bCs/>
          <w:sz w:val="24"/>
          <w:szCs w:val="24"/>
        </w:rPr>
        <w:t>nulidade</w:t>
      </w:r>
      <w:proofErr w:type="gramEnd"/>
      <w:r w:rsidRPr="00C221F6">
        <w:rPr>
          <w:rFonts w:ascii="Open Sans" w:eastAsia="Calibri" w:hAnsi="Open Sans" w:cs="Open Sans"/>
          <w:bCs/>
          <w:sz w:val="24"/>
          <w:szCs w:val="24"/>
        </w:rPr>
        <w:t xml:space="preserve"> por ausência de intervenção do Ministério Público do Trabalho nas ações coletivas em que o sindicato figura como substituto processual, notadamente quando não evidenciado qualquer prejuízo, como no caso dos autos . Precedentes da SBDI-II e de Turmas desta Corte. Dessa forma, o Tribunal Regional, ao declarar a nulidade dos atos processuais praticados sem a intervenção do </w:t>
      </w:r>
      <w:r w:rsidRPr="00BC7E59">
        <w:rPr>
          <w:rFonts w:ascii="Open Sans" w:eastAsia="Calibri" w:hAnsi="Open Sans" w:cs="Open Sans"/>
          <w:bCs/>
          <w:i/>
          <w:sz w:val="24"/>
          <w:szCs w:val="24"/>
        </w:rPr>
        <w:t>Parquet</w:t>
      </w:r>
      <w:r w:rsidRPr="00C221F6">
        <w:rPr>
          <w:rFonts w:ascii="Open Sans" w:eastAsia="Calibri" w:hAnsi="Open Sans" w:cs="Open Sans"/>
          <w:bCs/>
          <w:sz w:val="24"/>
          <w:szCs w:val="24"/>
        </w:rPr>
        <w:t xml:space="preserve"> na presente ação coletiva, em que pese </w:t>
      </w:r>
      <w:proofErr w:type="gramStart"/>
      <w:r w:rsidRPr="00C221F6">
        <w:rPr>
          <w:rFonts w:ascii="Open Sans" w:eastAsia="Calibri" w:hAnsi="Open Sans" w:cs="Open Sans"/>
          <w:bCs/>
          <w:sz w:val="24"/>
          <w:szCs w:val="24"/>
        </w:rPr>
        <w:t>a</w:t>
      </w:r>
      <w:proofErr w:type="gramEnd"/>
      <w:r w:rsidRPr="00C221F6">
        <w:rPr>
          <w:rFonts w:ascii="Open Sans" w:eastAsia="Calibri" w:hAnsi="Open Sans" w:cs="Open Sans"/>
          <w:bCs/>
          <w:sz w:val="24"/>
          <w:szCs w:val="24"/>
        </w:rPr>
        <w:t xml:space="preserve"> ausência de demonstração de prejuízo, incorreu em ofensa ao art. 794 da CLT. </w:t>
      </w:r>
      <w:proofErr w:type="gramStart"/>
      <w:r w:rsidRPr="00C221F6">
        <w:rPr>
          <w:rFonts w:ascii="Open Sans" w:eastAsia="Calibri" w:hAnsi="Open Sans" w:cs="Open Sans"/>
          <w:bCs/>
          <w:sz w:val="24"/>
          <w:szCs w:val="24"/>
        </w:rPr>
        <w:t>Recurso de revista conhecido e provido."</w:t>
      </w:r>
      <w:proofErr w:type="gramEnd"/>
      <w:r w:rsidRPr="00C221F6">
        <w:rPr>
          <w:rFonts w:ascii="Open Sans" w:eastAsia="Calibri" w:hAnsi="Open Sans" w:cs="Open Sans"/>
          <w:bCs/>
          <w:sz w:val="24"/>
          <w:szCs w:val="24"/>
        </w:rPr>
        <w:t xml:space="preserve"> (</w:t>
      </w:r>
      <w:hyperlink r:id="rId14" w:history="1">
        <w:r>
          <w:rPr>
            <w:rFonts w:ascii="Open Sans" w:eastAsia="Calibri" w:hAnsi="Open Sans" w:cs="Open Sans"/>
            <w:bCs/>
            <w:color w:val="0000FF" w:themeColor="hyperlink"/>
            <w:sz w:val="24"/>
            <w:szCs w:val="24"/>
            <w:u w:val="single"/>
          </w:rPr>
          <w:t>TST-R</w:t>
        </w:r>
        <w:r w:rsidRPr="00C221F6">
          <w:rPr>
            <w:rFonts w:ascii="Open Sans" w:eastAsia="Calibri" w:hAnsi="Open Sans" w:cs="Open Sans"/>
            <w:bCs/>
            <w:color w:val="0000FF" w:themeColor="hyperlink"/>
            <w:sz w:val="24"/>
            <w:szCs w:val="24"/>
            <w:u w:val="single"/>
          </w:rPr>
          <w:t>R-820-57.2018.5.12.0057</w:t>
        </w:r>
      </w:hyperlink>
      <w:r>
        <w:rPr>
          <w:rFonts w:ascii="Open Sans" w:eastAsia="Calibri" w:hAnsi="Open Sans" w:cs="Open Sans"/>
          <w:bCs/>
          <w:sz w:val="24"/>
          <w:szCs w:val="24"/>
        </w:rPr>
        <w:t>, 5ª Turma, r</w:t>
      </w:r>
      <w:r w:rsidRPr="00C221F6">
        <w:rPr>
          <w:rFonts w:ascii="Open Sans" w:eastAsia="Calibri" w:hAnsi="Open Sans" w:cs="Open Sans"/>
          <w:bCs/>
          <w:sz w:val="24"/>
          <w:szCs w:val="24"/>
        </w:rPr>
        <w:t>el</w:t>
      </w:r>
      <w:r>
        <w:rPr>
          <w:rFonts w:ascii="Open Sans" w:eastAsia="Calibri" w:hAnsi="Open Sans" w:cs="Open Sans"/>
          <w:bCs/>
          <w:sz w:val="24"/>
          <w:szCs w:val="24"/>
        </w:rPr>
        <w:t>.</w:t>
      </w:r>
      <w:r w:rsidRPr="00C221F6">
        <w:rPr>
          <w:rFonts w:ascii="Open Sans" w:eastAsia="Calibri" w:hAnsi="Open Sans" w:cs="Open Sans"/>
          <w:bCs/>
          <w:sz w:val="24"/>
          <w:szCs w:val="24"/>
        </w:rPr>
        <w:t xml:space="preserve"> Min</w:t>
      </w:r>
      <w:r>
        <w:rPr>
          <w:rFonts w:ascii="Open Sans" w:eastAsia="Calibri" w:hAnsi="Open Sans" w:cs="Open Sans"/>
          <w:bCs/>
          <w:sz w:val="24"/>
          <w:szCs w:val="24"/>
        </w:rPr>
        <w:t>.</w:t>
      </w:r>
      <w:r w:rsidRPr="00C221F6">
        <w:rPr>
          <w:rFonts w:ascii="Open Sans" w:eastAsia="Calibri" w:hAnsi="Open Sans" w:cs="Open Sans"/>
          <w:bCs/>
          <w:sz w:val="24"/>
          <w:szCs w:val="24"/>
        </w:rPr>
        <w:t xml:space="preserve"> Breno Medeiros, julgado em 18/5/2022)</w:t>
      </w:r>
    </w:p>
    <w:p w:rsidR="000F511B" w:rsidRPr="00C221F6" w:rsidRDefault="000F511B" w:rsidP="000F511B">
      <w:pPr>
        <w:ind w:left="-142" w:right="367"/>
        <w:jc w:val="both"/>
        <w:rPr>
          <w:rFonts w:ascii="Open Sans" w:hAnsi="Open Sans" w:cs="Open Sans"/>
          <w:sz w:val="24"/>
          <w:szCs w:val="24"/>
        </w:rPr>
      </w:pPr>
    </w:p>
    <w:p w:rsidR="000F511B" w:rsidRDefault="000F511B" w:rsidP="000F511B">
      <w:pPr>
        <w:ind w:left="-142" w:right="367"/>
        <w:jc w:val="both"/>
        <w:rPr>
          <w:rFonts w:ascii="Open Sans" w:hAnsi="Open Sans" w:cs="Open Sans"/>
          <w:sz w:val="24"/>
          <w:szCs w:val="24"/>
        </w:rPr>
      </w:pPr>
      <w:r w:rsidRPr="00C221F6">
        <w:rPr>
          <w:rFonts w:ascii="Open Sans" w:hAnsi="Open Sans" w:cs="Open Sans"/>
          <w:sz w:val="24"/>
          <w:szCs w:val="24"/>
        </w:rPr>
        <w:t>“RECURSO DE REVISTA DAS RECLAMADAS SOB A ÉGIDE DA LEI 13.467/2017. VALOR ARBITRADO A TÍTULO DE INDENIZAÇÃO POR DANOS MORAIS. TRANSCENDÊNCIA ECONÔMICA. No caso em tela, a pretensão recursal vem alicerçada na tese de desproporcionalidade do valor da indenização por dano moral arbitrado pela Corte a quo no valor de R$ 1.000.000,00. Nesse contexto, o fato de o valor da condenação alcançar patamar elevado, sobretudo na perspectiva de pessoas físicas, mostra-se apto a configurar o requisito da transcendência econômica, nos termos do art. 896-A, § 1º, I, da CL</w:t>
      </w:r>
      <w:r>
        <w:rPr>
          <w:rFonts w:ascii="Open Sans" w:hAnsi="Open Sans" w:cs="Open Sans"/>
          <w:sz w:val="24"/>
          <w:szCs w:val="24"/>
        </w:rPr>
        <w:t xml:space="preserve">T. Transcendência reconhecida. </w:t>
      </w:r>
      <w:r w:rsidRPr="00C221F6">
        <w:rPr>
          <w:rFonts w:ascii="Open Sans" w:hAnsi="Open Sans" w:cs="Open Sans"/>
          <w:sz w:val="24"/>
          <w:szCs w:val="24"/>
        </w:rPr>
        <w:t xml:space="preserve">RECURSO DE REVISTA DAS RECLAMADAS SOB A ÉGIDE DA LEI 13.467/2017. VALOR ARBITRADO A TÍTULO DE INDENIZAÇÃO POR DANOS MORAIS. A Corte Regional, soberana na análise da prova, consignou os seguintes dados fáticos: a) a autora não foi retirada de seu âmbito familiar apenas por </w:t>
      </w:r>
      <w:r w:rsidRPr="00C221F6">
        <w:rPr>
          <w:rFonts w:ascii="Open Sans" w:hAnsi="Open Sans" w:cs="Open Sans"/>
          <w:sz w:val="24"/>
          <w:szCs w:val="24"/>
        </w:rPr>
        <w:lastRenderedPageBreak/>
        <w:t xml:space="preserve">um ato altruísta das reclamadas, apenas para propiciar um futuro melhor, como tentaram fazer crer as rés; b) se a autora tivesse sido adotada, ainda que de maneira tácita, teria tratamento ao menos semelhante ao tratamento das demais filhas, o que não ocorria; c) a reclamante pagava por seus utensílios pessoais, participava de seus recolhimentos previdenciários, participava de seu plano de saúde, comprava suas próprias roupas, produtos de beleza e higiene, entre diversos outros gastos arcados por ela própria, como demonstram as anotações de pagamento; d) a reclamante se viu privada de estudos, o que fez com que seu desenvolvimento pessoal fosse sobremaneira privado; e) a vizinha da ré conheceu a autora aos 14 ou 15 anos e desde então já era tratada como empregada da casa, sendo possível concluir que a serventia começou até antes; f) a ré empregou menor de idade sem oportunizar tempo para estudo e para o desenvolvimento psicológico; g) hoje a autora depende de faxinas nas casas dos parentes da reclamada com os quais conviveu durante sua vida, recebendo de maneira aleatória e informal; h) desde os </w:t>
      </w:r>
      <w:proofErr w:type="gramStart"/>
      <w:r w:rsidRPr="00C221F6">
        <w:rPr>
          <w:rFonts w:ascii="Open Sans" w:hAnsi="Open Sans" w:cs="Open Sans"/>
          <w:sz w:val="24"/>
          <w:szCs w:val="24"/>
        </w:rPr>
        <w:t>7</w:t>
      </w:r>
      <w:proofErr w:type="gramEnd"/>
      <w:r w:rsidRPr="00C221F6">
        <w:rPr>
          <w:rFonts w:ascii="Open Sans" w:hAnsi="Open Sans" w:cs="Open Sans"/>
          <w:sz w:val="24"/>
          <w:szCs w:val="24"/>
        </w:rPr>
        <w:t xml:space="preserve"> anos de idade a </w:t>
      </w:r>
      <w:proofErr w:type="gramStart"/>
      <w:r w:rsidRPr="00C221F6">
        <w:rPr>
          <w:rFonts w:ascii="Open Sans" w:hAnsi="Open Sans" w:cs="Open Sans"/>
          <w:sz w:val="24"/>
          <w:szCs w:val="24"/>
        </w:rPr>
        <w:t>reclamante</w:t>
      </w:r>
      <w:proofErr w:type="gramEnd"/>
      <w:r w:rsidRPr="00C221F6">
        <w:rPr>
          <w:rFonts w:ascii="Open Sans" w:hAnsi="Open Sans" w:cs="Open Sans"/>
          <w:sz w:val="24"/>
          <w:szCs w:val="24"/>
        </w:rPr>
        <w:t xml:space="preserve"> se viu sem convivência além da residência, sem conhecimento dos fatos além dos portões da casa, e sem perspectiva de construir um futuro estranho àquele em que foi emergida após a falsa adoção; i) o pagamento de um salário mais plano de saúde e recolhimentos previdenciários não servem para livrar o ato ilícito culposo praticado pelas rés, pois o dano pior já havia sido praticado e dificilmente poderá ser reparado - impedir o acesso à educação; j) a demandante foi privada de educação, direito de voto e, para além, de verdadeira participação na sociedade em que está precariamente inserida; k) não há controvérsia em relação aos fatos de que a reclamante foi trazida para a casa das reclamadas com 7 anos de idade (em 1987, aproximadamente) e lá ficou até 2016, quando, segundo depoimento da reclamante, em audiência, desentendeu-se com uma pessoa da família e deixou o trabalho; l) nos quase trinta anos de convivência, a reclamante permaneceu sem frequentar escolas, sem receber, ao menos em certa parte desse período, dinheiro pelos serviços que realizava, e trabalhando desde muito jovem em serviços domésticos que favoreciam as rés; m) a prova dos autos deixou patente que a prática das reclamadas era mesmo a utilização da mão de obra infantil; n) incontroverso que dos 7 aos 18 anos de idade a autora não recebeu qualquer salário; a CTPS foi anotada em 1998, quando a autora completou 18 anos e a prova documental dos autos demonstrou que de agosto de 2001 a outubro desse mesmo ano, a reclamante não recebeu nenhum valor em dinheiro, trabalhando para pagar a contribuição do INSS da empregadora e algumas outras necessidades básicas, numa espécie de </w:t>
      </w:r>
      <w:proofErr w:type="spellStart"/>
      <w:r w:rsidRPr="001F5FCB">
        <w:rPr>
          <w:rFonts w:ascii="Open Sans" w:hAnsi="Open Sans" w:cs="Open Sans"/>
          <w:i/>
          <w:sz w:val="24"/>
          <w:szCs w:val="24"/>
        </w:rPr>
        <w:t>truck</w:t>
      </w:r>
      <w:proofErr w:type="spellEnd"/>
      <w:r w:rsidRPr="001F5FCB">
        <w:rPr>
          <w:rFonts w:ascii="Open Sans" w:hAnsi="Open Sans" w:cs="Open Sans"/>
          <w:i/>
          <w:sz w:val="24"/>
          <w:szCs w:val="24"/>
        </w:rPr>
        <w:t xml:space="preserve"> system</w:t>
      </w:r>
      <w:r w:rsidRPr="00C221F6">
        <w:rPr>
          <w:rFonts w:ascii="Open Sans" w:hAnsi="Open Sans" w:cs="Open Sans"/>
          <w:sz w:val="24"/>
          <w:szCs w:val="24"/>
        </w:rPr>
        <w:t xml:space="preserve"> domiciliar, engendrado pelas reclamadas; o) a ausência do pagamento de qualquer parcela do salário em moeda, acrescido da completa privação de instrução formal (não há indicação de que a reclamante tenha frequentado escola, em qualquer momento de sua vida), além da utilização da mão de obra da autora, desde tenra </w:t>
      </w:r>
      <w:proofErr w:type="gramStart"/>
      <w:r w:rsidRPr="00C221F6">
        <w:rPr>
          <w:rFonts w:ascii="Open Sans" w:hAnsi="Open Sans" w:cs="Open Sans"/>
          <w:sz w:val="24"/>
          <w:szCs w:val="24"/>
        </w:rPr>
        <w:t>idade</w:t>
      </w:r>
      <w:proofErr w:type="gramEnd"/>
      <w:r w:rsidRPr="00C221F6">
        <w:rPr>
          <w:rFonts w:ascii="Open Sans" w:hAnsi="Open Sans" w:cs="Open Sans"/>
          <w:sz w:val="24"/>
          <w:szCs w:val="24"/>
        </w:rPr>
        <w:t xml:space="preserve">, em serviços reconhecidamente inadequados para menores (realização de trabalho em idade onde a Constituição Federal proíbe que este ocorra) leva à conclusão de que a reclamante </w:t>
      </w:r>
      <w:r w:rsidRPr="00C221F6">
        <w:rPr>
          <w:rFonts w:ascii="Open Sans" w:hAnsi="Open Sans" w:cs="Open Sans"/>
          <w:sz w:val="24"/>
          <w:szCs w:val="24"/>
        </w:rPr>
        <w:lastRenderedPageBreak/>
        <w:t xml:space="preserve">esteve submetida a condições degradantes de trabalho, configurando-se, por isso mesmo, a hipótese do trabalho em condições análogas à de escravo. Em sequência, o Tribunal </w:t>
      </w:r>
      <w:r w:rsidRPr="001F5FCB">
        <w:rPr>
          <w:rFonts w:ascii="Open Sans" w:hAnsi="Open Sans" w:cs="Open Sans"/>
          <w:i/>
          <w:sz w:val="24"/>
          <w:szCs w:val="24"/>
        </w:rPr>
        <w:t>a quo</w:t>
      </w:r>
      <w:r w:rsidRPr="00C221F6">
        <w:rPr>
          <w:rFonts w:ascii="Open Sans" w:hAnsi="Open Sans" w:cs="Open Sans"/>
          <w:sz w:val="24"/>
          <w:szCs w:val="24"/>
        </w:rPr>
        <w:t xml:space="preserve"> concluiu: "</w:t>
      </w:r>
      <w:r w:rsidRPr="001F5FCB">
        <w:rPr>
          <w:rFonts w:ascii="Open Sans" w:hAnsi="Open Sans" w:cs="Open Sans"/>
          <w:i/>
          <w:sz w:val="24"/>
          <w:szCs w:val="24"/>
        </w:rPr>
        <w:t xml:space="preserve">o que se percebe é que as privações a que a reclamante foi submetida, especialmente aquelas relacionadas à educação formal e salário, submeteram-na a uma espécie tão aguda de prejuízo intelectual, que é difícil afirmar se a autora, desligando-se das rés com 36 anos de idade, conseguirá, de alguma forma, adquirir condições de desenvolver qualquer tipo de atividade legal que venha a garantir a ela condições de, com independência, sobreviver na nossa sociedade contemporânea, conseguindo recursos para residir, alimentar-se, vestir-se, medicar-se, </w:t>
      </w:r>
      <w:proofErr w:type="spellStart"/>
      <w:r w:rsidRPr="001F5FCB">
        <w:rPr>
          <w:rFonts w:ascii="Open Sans" w:hAnsi="Open Sans" w:cs="Open Sans"/>
          <w:i/>
          <w:sz w:val="24"/>
          <w:szCs w:val="24"/>
        </w:rPr>
        <w:t>etc</w:t>
      </w:r>
      <w:proofErr w:type="spellEnd"/>
      <w:r w:rsidRPr="00C221F6">
        <w:rPr>
          <w:rFonts w:ascii="Open Sans" w:hAnsi="Open Sans" w:cs="Open Sans"/>
          <w:sz w:val="24"/>
          <w:szCs w:val="24"/>
        </w:rPr>
        <w:t xml:space="preserve">". Nesse contexto, destacando que o valor de R$ 150.000,00 arbitrado pela origem não se mostra o mais adequado para a solução do conflito, o TRT decidiu no sentido de que o montante de R$ 1.000.000,00 (um milhão de reais) é, efetivamente, o valor a ser deferido e que, por conta do quadro narrado, pode servir como paliativo para as privações e sofrimento que marcarão a vida da autora, como sequelas que não se sabe se algum dia </w:t>
      </w:r>
      <w:proofErr w:type="gramStart"/>
      <w:r w:rsidRPr="00C221F6">
        <w:rPr>
          <w:rFonts w:ascii="Open Sans" w:hAnsi="Open Sans" w:cs="Open Sans"/>
          <w:sz w:val="24"/>
          <w:szCs w:val="24"/>
        </w:rPr>
        <w:t>serão resolvidas</w:t>
      </w:r>
      <w:proofErr w:type="gramEnd"/>
      <w:r w:rsidRPr="00C221F6">
        <w:rPr>
          <w:rFonts w:ascii="Open Sans" w:hAnsi="Open Sans" w:cs="Open Sans"/>
          <w:sz w:val="24"/>
          <w:szCs w:val="24"/>
        </w:rPr>
        <w:t>. Ante a gravidade da situação da reclamante descrita pelo Regional e considerando que a condenação em 254 meses de forma escalonada entre as três reclamadas, não houve violação direta e literal do art. 944 do CC. Os arestos de fls. 768-770 são inespecíficos, pois não retratam a mesma situação fática dos autos. Incidência da Súmula 296 I, do TST. Recurso de revista não conhecido. [</w:t>
      </w:r>
      <w:proofErr w:type="gramStart"/>
      <w:r w:rsidRPr="00C221F6">
        <w:rPr>
          <w:rFonts w:ascii="Open Sans" w:hAnsi="Open Sans" w:cs="Open Sans"/>
          <w:sz w:val="24"/>
          <w:szCs w:val="24"/>
        </w:rPr>
        <w:t>...].”</w:t>
      </w:r>
      <w:proofErr w:type="gramEnd"/>
      <w:r w:rsidRPr="00C221F6">
        <w:rPr>
          <w:rFonts w:ascii="Open Sans" w:hAnsi="Open Sans" w:cs="Open Sans"/>
          <w:sz w:val="24"/>
          <w:szCs w:val="24"/>
        </w:rPr>
        <w:t xml:space="preserve"> (</w:t>
      </w:r>
      <w:hyperlink r:id="rId15" w:history="1">
        <w:r w:rsidRPr="00C221F6">
          <w:rPr>
            <w:rFonts w:ascii="Open Sans" w:hAnsi="Open Sans" w:cs="Open Sans"/>
            <w:color w:val="0000FF" w:themeColor="hyperlink"/>
            <w:sz w:val="24"/>
            <w:szCs w:val="24"/>
            <w:u w:val="single"/>
          </w:rPr>
          <w:t>TST-RR-1002309-66.2016.5.02.0088</w:t>
        </w:r>
      </w:hyperlink>
      <w:r w:rsidRPr="00C221F6">
        <w:rPr>
          <w:rFonts w:ascii="Open Sans" w:hAnsi="Open Sans" w:cs="Open Sans"/>
          <w:sz w:val="24"/>
          <w:szCs w:val="24"/>
        </w:rPr>
        <w:t>, 6ª Turma, rel. Min. Augusto César Leite de Carvalho, julgado em 25/5/2022)</w:t>
      </w:r>
    </w:p>
    <w:p w:rsidR="000F511B" w:rsidRPr="00F76147" w:rsidRDefault="000F511B" w:rsidP="000F511B">
      <w:pPr>
        <w:ind w:left="-142" w:right="367"/>
        <w:jc w:val="both"/>
        <w:rPr>
          <w:rFonts w:ascii="Open Sans" w:eastAsia="Calibri" w:hAnsi="Open Sans" w:cs="Open Sans"/>
          <w:bCs/>
          <w:sz w:val="24"/>
          <w:szCs w:val="24"/>
        </w:rPr>
      </w:pPr>
    </w:p>
    <w:p w:rsidR="000F511B" w:rsidRPr="00C221F6" w:rsidRDefault="000F511B" w:rsidP="000F511B">
      <w:pPr>
        <w:ind w:left="-142" w:right="367"/>
        <w:jc w:val="both"/>
        <w:rPr>
          <w:rFonts w:ascii="Open Sans" w:eastAsia="Calibri" w:hAnsi="Open Sans" w:cs="Open Sans"/>
          <w:bCs/>
          <w:sz w:val="24"/>
          <w:szCs w:val="24"/>
        </w:rPr>
      </w:pPr>
      <w:r w:rsidRPr="00C221F6">
        <w:rPr>
          <w:rFonts w:ascii="Open Sans" w:eastAsia="Calibri" w:hAnsi="Open Sans" w:cs="Open Sans"/>
          <w:bCs/>
          <w:sz w:val="24"/>
          <w:szCs w:val="24"/>
        </w:rPr>
        <w:t>"[...]</w:t>
      </w:r>
      <w:r w:rsidRPr="00C221F6">
        <w:rPr>
          <w:rFonts w:ascii="Open Sans" w:eastAsia="Calibri" w:hAnsi="Open Sans" w:cs="Open Sans"/>
          <w:sz w:val="24"/>
          <w:szCs w:val="24"/>
        </w:rPr>
        <w:t xml:space="preserve"> NULIDADE DE DISPENSA. REINTEGRAÇÃO. CONVENÇÃO 158 DA OIT. O caso concreto demonstra que o reclamante foi dispensado após a denúncia da Convenção 158 da OIT pelo Presidente da República. Enquanto a denúncia da norma ocorreu em 20/12/1996, por meio do Decreto n° 2.100/1996, o reclamante foi dispensado apenas em 13/4/2016. A Ação Direta de Inconstitucionalidade (ADI) n° 1.480-DF, em que se discutia a aplicabilidade e a eficácia da Convenção 158 da OIT, perdeu seu objeto em decorrência da denúncia dessa norma internacional. Por certo, o ato do Presidente da República que deu forma à denúncia da Convenção 158 da OIT não pode ter eficácia negada até que o Supremo Tribunal Federal decida em sentido diverso. Como a validade do Decreto n° 2.100/1996 não é questão sob análise, há de se confrontar a data da dispensa do reclamante (prática do ato questionado) com o período de vigência da Convenção 158 da OIT no ordenamento jurídico brasileiro. De tal confronto, conclui-se que a pretensão do reclamante baseia-se em norma jurídica que não mais vigorava ao tempo da prática do ato de dispensa pela reclamada. Agravo de instrumento não provido.</w:t>
      </w:r>
      <w:r w:rsidRPr="00C221F6">
        <w:rPr>
          <w:rFonts w:ascii="Open Sans" w:eastAsia="Calibri" w:hAnsi="Open Sans" w:cs="Open Sans"/>
          <w:bCs/>
          <w:sz w:val="24"/>
          <w:szCs w:val="24"/>
        </w:rPr>
        <w:t>" (</w:t>
      </w:r>
      <w:hyperlink r:id="rId16" w:history="1">
        <w:r w:rsidRPr="00C221F6">
          <w:rPr>
            <w:rFonts w:ascii="Open Sans" w:eastAsia="Calibri" w:hAnsi="Open Sans" w:cs="Open Sans"/>
            <w:bCs/>
            <w:color w:val="0000FF" w:themeColor="hyperlink"/>
            <w:sz w:val="24"/>
            <w:szCs w:val="24"/>
            <w:u w:val="single"/>
          </w:rPr>
          <w:t>TST-AIRR-445-53.2018.5.17.00</w:t>
        </w:r>
        <w:r w:rsidRPr="00C221F6">
          <w:rPr>
            <w:rFonts w:ascii="Open Sans" w:eastAsia="Calibri" w:hAnsi="Open Sans" w:cs="Open Sans"/>
            <w:bCs/>
            <w:color w:val="0000FF" w:themeColor="hyperlink"/>
            <w:sz w:val="24"/>
            <w:szCs w:val="24"/>
            <w:u w:val="single"/>
          </w:rPr>
          <w:t>1</w:t>
        </w:r>
        <w:r w:rsidRPr="00C221F6">
          <w:rPr>
            <w:rFonts w:ascii="Open Sans" w:eastAsia="Calibri" w:hAnsi="Open Sans" w:cs="Open Sans"/>
            <w:bCs/>
            <w:color w:val="0000FF" w:themeColor="hyperlink"/>
            <w:sz w:val="24"/>
            <w:szCs w:val="24"/>
            <w:u w:val="single"/>
          </w:rPr>
          <w:t>3</w:t>
        </w:r>
      </w:hyperlink>
      <w:r w:rsidRPr="00C221F6">
        <w:rPr>
          <w:rFonts w:ascii="Open Sans" w:eastAsia="Calibri" w:hAnsi="Open Sans" w:cs="Open Sans"/>
          <w:bCs/>
          <w:sz w:val="24"/>
          <w:szCs w:val="24"/>
        </w:rPr>
        <w:t xml:space="preserve">, 6ª Turma, </w:t>
      </w:r>
      <w:r>
        <w:rPr>
          <w:rFonts w:ascii="Open Sans" w:eastAsia="Calibri" w:hAnsi="Open Sans" w:cs="Open Sans"/>
          <w:bCs/>
          <w:sz w:val="24"/>
          <w:szCs w:val="24"/>
        </w:rPr>
        <w:t>r</w:t>
      </w:r>
      <w:r w:rsidRPr="00C221F6">
        <w:rPr>
          <w:rFonts w:ascii="Open Sans" w:eastAsia="Calibri" w:hAnsi="Open Sans" w:cs="Open Sans"/>
          <w:bCs/>
          <w:sz w:val="24"/>
          <w:szCs w:val="24"/>
        </w:rPr>
        <w:t>el</w:t>
      </w:r>
      <w:r>
        <w:rPr>
          <w:rFonts w:ascii="Open Sans" w:eastAsia="Calibri" w:hAnsi="Open Sans" w:cs="Open Sans"/>
          <w:bCs/>
          <w:sz w:val="24"/>
          <w:szCs w:val="24"/>
        </w:rPr>
        <w:t>.</w:t>
      </w:r>
      <w:r w:rsidRPr="00C221F6">
        <w:rPr>
          <w:rFonts w:ascii="Open Sans" w:eastAsia="Calibri" w:hAnsi="Open Sans" w:cs="Open Sans"/>
          <w:bCs/>
          <w:sz w:val="24"/>
          <w:szCs w:val="24"/>
        </w:rPr>
        <w:t xml:space="preserve"> Min</w:t>
      </w:r>
      <w:r>
        <w:rPr>
          <w:rFonts w:ascii="Open Sans" w:eastAsia="Calibri" w:hAnsi="Open Sans" w:cs="Open Sans"/>
          <w:bCs/>
          <w:sz w:val="24"/>
          <w:szCs w:val="24"/>
        </w:rPr>
        <w:t>.</w:t>
      </w:r>
      <w:r w:rsidRPr="00C221F6">
        <w:rPr>
          <w:rFonts w:ascii="Open Sans" w:eastAsia="Calibri" w:hAnsi="Open Sans" w:cs="Open Sans"/>
          <w:bCs/>
          <w:sz w:val="24"/>
          <w:szCs w:val="24"/>
        </w:rPr>
        <w:t xml:space="preserve"> </w:t>
      </w:r>
      <w:r w:rsidRPr="00C221F6">
        <w:rPr>
          <w:rFonts w:ascii="Open Sans" w:eastAsia="Calibri" w:hAnsi="Open Sans" w:cs="Open Sans"/>
          <w:bCs/>
          <w:color w:val="000000"/>
          <w:sz w:val="24"/>
          <w:szCs w:val="24"/>
        </w:rPr>
        <w:t>Augusto César Leite de Carvalho</w:t>
      </w:r>
      <w:r w:rsidRPr="00C221F6">
        <w:rPr>
          <w:rFonts w:ascii="Open Sans" w:eastAsia="Calibri" w:hAnsi="Open Sans" w:cs="Open Sans"/>
          <w:bCs/>
          <w:sz w:val="24"/>
          <w:szCs w:val="24"/>
        </w:rPr>
        <w:t>, julgado em 1</w:t>
      </w:r>
      <w:r>
        <w:rPr>
          <w:rFonts w:ascii="Open Sans" w:eastAsia="Calibri" w:hAnsi="Open Sans" w:cs="Open Sans"/>
          <w:bCs/>
          <w:sz w:val="24"/>
          <w:szCs w:val="24"/>
        </w:rPr>
        <w:t>º</w:t>
      </w:r>
      <w:r w:rsidRPr="00C221F6">
        <w:rPr>
          <w:rFonts w:ascii="Open Sans" w:eastAsia="Calibri" w:hAnsi="Open Sans" w:cs="Open Sans"/>
          <w:bCs/>
          <w:sz w:val="24"/>
          <w:szCs w:val="24"/>
        </w:rPr>
        <w:t>/6/2022</w:t>
      </w:r>
      <w:proofErr w:type="gramStart"/>
      <w:r w:rsidRPr="00C221F6">
        <w:rPr>
          <w:rFonts w:ascii="Open Sans" w:eastAsia="Calibri" w:hAnsi="Open Sans" w:cs="Open Sans"/>
          <w:bCs/>
          <w:sz w:val="24"/>
          <w:szCs w:val="24"/>
          <w:u w:val="single"/>
        </w:rPr>
        <w:t>)</w:t>
      </w:r>
      <w:proofErr w:type="gramEnd"/>
    </w:p>
    <w:p w:rsidR="000F511B" w:rsidRPr="00C221F6" w:rsidRDefault="000F511B" w:rsidP="000F511B">
      <w:pPr>
        <w:ind w:left="-142" w:right="367"/>
        <w:jc w:val="both"/>
        <w:rPr>
          <w:rFonts w:ascii="Open Sans" w:hAnsi="Open Sans" w:cs="Open Sans"/>
          <w:sz w:val="24"/>
          <w:szCs w:val="24"/>
        </w:rPr>
      </w:pPr>
    </w:p>
    <w:p w:rsidR="000F511B" w:rsidRPr="00C221F6" w:rsidRDefault="000F511B" w:rsidP="00F76147">
      <w:pPr>
        <w:ind w:left="-142" w:right="367"/>
        <w:jc w:val="both"/>
        <w:rPr>
          <w:rFonts w:ascii="Open Sans" w:hAnsi="Open Sans" w:cs="Open Sans"/>
          <w:bCs/>
          <w:color w:val="000000"/>
          <w:sz w:val="24"/>
          <w:szCs w:val="24"/>
        </w:rPr>
      </w:pPr>
      <w:r w:rsidRPr="00C221F6">
        <w:rPr>
          <w:rFonts w:ascii="Open Sans" w:hAnsi="Open Sans" w:cs="Open Sans"/>
          <w:bCs/>
          <w:color w:val="000000"/>
          <w:sz w:val="24"/>
          <w:szCs w:val="24"/>
        </w:rPr>
        <w:t xml:space="preserve">"[...] </w:t>
      </w:r>
      <w:r w:rsidRPr="00C221F6">
        <w:rPr>
          <w:rFonts w:ascii="Open Sans" w:hAnsi="Open Sans" w:cs="Open Sans"/>
          <w:bCs/>
          <w:sz w:val="24"/>
          <w:szCs w:val="24"/>
        </w:rPr>
        <w:t xml:space="preserve">INDENIZAÇÃO POR DANO MORAL E MATERIAL. ACIDENTE DE TRABALHO. </w:t>
      </w:r>
      <w:r w:rsidRPr="00C221F6">
        <w:rPr>
          <w:rFonts w:ascii="Open Sans" w:hAnsi="Open Sans" w:cs="Open Sans"/>
          <w:sz w:val="24"/>
          <w:szCs w:val="24"/>
          <w:shd w:val="clear" w:color="auto" w:fill="FFFFFF"/>
        </w:rPr>
        <w:t xml:space="preserve">A pretensão indenizatória foi deduzida pelos pais do trabalhador Danilo que, aos vinte e </w:t>
      </w:r>
      <w:r w:rsidRPr="00C221F6">
        <w:rPr>
          <w:rFonts w:ascii="Open Sans" w:hAnsi="Open Sans" w:cs="Open Sans"/>
          <w:sz w:val="24"/>
          <w:szCs w:val="24"/>
          <w:shd w:val="clear" w:color="auto" w:fill="FFFFFF"/>
        </w:rPr>
        <w:lastRenderedPageBreak/>
        <w:t xml:space="preserve">dois anos e, segundo os fragmentos do acórdão regional que indicam os aspectos factuais incontroversos da demanda, exercia para a reclamada a função de supervisor de vendas. </w:t>
      </w:r>
      <w:r w:rsidRPr="00C221F6">
        <w:rPr>
          <w:rFonts w:ascii="Open Sans" w:hAnsi="Open Sans" w:cs="Open Sans"/>
          <w:color w:val="000000"/>
          <w:sz w:val="24"/>
          <w:szCs w:val="24"/>
          <w:shd w:val="clear" w:color="auto" w:fill="FFFFFF"/>
        </w:rPr>
        <w:t xml:space="preserve">Conforme consignado pelo TRT, após trocar mensagens até às 23h36 com três outras trabalhadoras "agradecendo informações sobre vendas, solicitando outras, comentando as ações concorrentes (locuções, pipocas, etc.) e as ocorrências (faltas, problemas no PD)" - em atividade que, estranho embora, o TRT entendeu não importarem cumprimento de jornada, pois "poderiam ser passadas pelo telefone, se necessário, para qualquer pessoa" -, além de trocar mensagens outras em que Danilo e seus interlocutores, nesse mesmo dia e desde </w:t>
      </w:r>
      <w:proofErr w:type="gramStart"/>
      <w:r w:rsidRPr="00C221F6">
        <w:rPr>
          <w:rFonts w:ascii="Open Sans" w:hAnsi="Open Sans" w:cs="Open Sans"/>
          <w:color w:val="000000"/>
          <w:sz w:val="24"/>
          <w:szCs w:val="24"/>
          <w:shd w:val="clear" w:color="auto" w:fill="FFFFFF"/>
        </w:rPr>
        <w:t>às</w:t>
      </w:r>
      <w:proofErr w:type="gramEnd"/>
      <w:r w:rsidRPr="00C221F6">
        <w:rPr>
          <w:rFonts w:ascii="Open Sans" w:hAnsi="Open Sans" w:cs="Open Sans"/>
          <w:color w:val="000000"/>
          <w:sz w:val="24"/>
          <w:szCs w:val="24"/>
          <w:shd w:val="clear" w:color="auto" w:fill="FFFFFF"/>
        </w:rPr>
        <w:t xml:space="preserve"> 11h09, interagiam sobre vendas, mas que ao TRT pareceram não ser pertinentes ou relevantes (dado que, afinal, "não se identificaram as pessoas com quem Danilo trocou mensagens eletrônicas, não se decifraram seus conteúdos, os documentos de fls. 56/68, são apócrifos, sem sentido, enfim, a prova documental, inclusive, impugnada pela empregadora, é imprestável para comprovar jornada, salário, funções, atividades, relações entre empregados da empresa, ou será fornecedores, contatos, clientes, etc."), iniciou Danilo em São José do Rio Preto, às 2h da madrugada, viagem para reunião institucional em São Paulo, capital a 450km de distância, em companhia de colega (Gilson) com o qual revezava então a direção do veículo, sucedendo enfim, às 6h45, o acidente de trânsito que vitimou, fatalmente, Danilo e Gilson. No momento do acidente, o veículo era conduzido por Gilson. Desses fatos incontroversos, e sem embargo de o TRT haver afastado a incidência de responsabilidade objetiva ao afirmar, em sua decisão e para sempre (Súmula n. 126 do TST), que os autos não revelariam cumprimento de jornada excessiva ou demanda frequente de viagens por rodovias perigosas, extrai-se que Danilo, filho dos autores, estava em viagem de trabalho e atendia a condições laborais que, em seu contexto, revelam estar claramente a empresa a negligenciar cuidados medianamente exigíveis para que observasse a obrigação de oferecer trabalho seguro a seu empregado, o suficiente para que se configure a responsabilidade da empregadora por culpa, ou seja, por ausência do cuidado objetivo necessário. </w:t>
      </w:r>
      <w:r w:rsidRPr="00C221F6">
        <w:rPr>
          <w:rFonts w:ascii="Open Sans" w:hAnsi="Open Sans" w:cs="Open Sans"/>
          <w:color w:val="000000"/>
          <w:sz w:val="24"/>
          <w:szCs w:val="24"/>
        </w:rPr>
        <w:t xml:space="preserve">Caracterizada a culpa, incorreu o TRT em violação direta e literal do art. 7º, XXVIII, da Constituição Federal. </w:t>
      </w:r>
      <w:proofErr w:type="gramStart"/>
      <w:r w:rsidRPr="00C221F6">
        <w:rPr>
          <w:rFonts w:ascii="Open Sans" w:hAnsi="Open Sans" w:cs="Open Sans"/>
          <w:color w:val="000000"/>
          <w:sz w:val="24"/>
          <w:szCs w:val="24"/>
        </w:rPr>
        <w:t>Recurso de revista conhecido e provido.</w:t>
      </w:r>
      <w:r>
        <w:rPr>
          <w:rFonts w:ascii="Open Sans" w:hAnsi="Open Sans" w:cs="Open Sans"/>
          <w:color w:val="000000"/>
          <w:sz w:val="24"/>
          <w:szCs w:val="24"/>
        </w:rPr>
        <w:t>”</w:t>
      </w:r>
      <w:proofErr w:type="gramEnd"/>
      <w:r w:rsidRPr="00C221F6">
        <w:rPr>
          <w:rFonts w:ascii="Open Sans" w:hAnsi="Open Sans" w:cs="Open Sans"/>
          <w:bCs/>
          <w:color w:val="000000"/>
          <w:sz w:val="24"/>
          <w:szCs w:val="24"/>
        </w:rPr>
        <w:t xml:space="preserve"> (</w:t>
      </w:r>
      <w:hyperlink r:id="rId17" w:history="1">
        <w:r w:rsidRPr="00C4609C">
          <w:rPr>
            <w:rFonts w:ascii="Open Sans" w:hAnsi="Open Sans" w:cs="Open Sans"/>
            <w:bCs/>
            <w:color w:val="0000FF" w:themeColor="hyperlink"/>
            <w:sz w:val="24"/>
            <w:szCs w:val="24"/>
            <w:u w:val="single"/>
          </w:rPr>
          <w:t>TST-RR-1239-28.2012.5.15.0082</w:t>
        </w:r>
      </w:hyperlink>
      <w:r w:rsidRPr="00C4609C">
        <w:rPr>
          <w:rFonts w:ascii="Open Sans" w:hAnsi="Open Sans" w:cs="Open Sans"/>
          <w:bCs/>
          <w:color w:val="000000"/>
          <w:sz w:val="24"/>
          <w:szCs w:val="24"/>
        </w:rPr>
        <w:t>, 6ª Turma, rel. Min. Augusto César Leite de Carvalho, julgado em 1</w:t>
      </w:r>
      <w:r>
        <w:rPr>
          <w:rFonts w:ascii="Open Sans" w:hAnsi="Open Sans" w:cs="Open Sans"/>
          <w:bCs/>
          <w:color w:val="000000"/>
          <w:sz w:val="24"/>
          <w:szCs w:val="24"/>
        </w:rPr>
        <w:t>º</w:t>
      </w:r>
      <w:r w:rsidRPr="00C4609C">
        <w:rPr>
          <w:rFonts w:ascii="Open Sans" w:hAnsi="Open Sans" w:cs="Open Sans"/>
          <w:bCs/>
          <w:color w:val="000000"/>
          <w:sz w:val="24"/>
          <w:szCs w:val="24"/>
        </w:rPr>
        <w:t>/6/2022)</w:t>
      </w:r>
    </w:p>
    <w:p w:rsidR="00F76147" w:rsidRPr="00F76147" w:rsidRDefault="00F76147" w:rsidP="00F76147">
      <w:pPr>
        <w:autoSpaceDE/>
        <w:autoSpaceDN/>
        <w:ind w:left="-142" w:right="367"/>
        <w:jc w:val="both"/>
        <w:rPr>
          <w:rFonts w:ascii="Open Sans" w:eastAsiaTheme="minorHAnsi" w:hAnsi="Open Sans" w:cs="Open Sans"/>
          <w:sz w:val="24"/>
          <w:szCs w:val="24"/>
          <w:lang w:eastAsia="en-US"/>
        </w:rPr>
      </w:pPr>
    </w:p>
    <w:p w:rsidR="00F76147" w:rsidRPr="00F76147" w:rsidRDefault="00F76147" w:rsidP="00F76147">
      <w:pPr>
        <w:autoSpaceDE/>
        <w:autoSpaceDN/>
        <w:ind w:left="-142" w:right="367"/>
        <w:jc w:val="both"/>
        <w:rPr>
          <w:rFonts w:ascii="Open Sans" w:eastAsiaTheme="minorHAnsi" w:hAnsi="Open Sans" w:cs="Open Sans"/>
          <w:bCs/>
          <w:sz w:val="24"/>
          <w:szCs w:val="24"/>
          <w:lang w:eastAsia="en-US"/>
        </w:rPr>
      </w:pPr>
      <w:r w:rsidRPr="00F76147">
        <w:rPr>
          <w:rFonts w:ascii="Open Sans" w:eastAsiaTheme="minorHAnsi" w:hAnsi="Open Sans" w:cs="Open Sans"/>
          <w:bCs/>
          <w:sz w:val="24"/>
          <w:szCs w:val="24"/>
          <w:lang w:eastAsia="en-US"/>
        </w:rPr>
        <w:t xml:space="preserve">“RECURSO DE REVISTA. ACÓRDÃO REGIONAL PUBLICADO NA VIGÊNCIA DA LEI Nº 13.467/2017. </w:t>
      </w:r>
      <w:proofErr w:type="gramStart"/>
      <w:r w:rsidRPr="00F76147">
        <w:rPr>
          <w:rFonts w:ascii="Open Sans" w:eastAsiaTheme="minorHAnsi" w:hAnsi="Open Sans" w:cs="Open Sans"/>
          <w:bCs/>
          <w:sz w:val="24"/>
          <w:szCs w:val="24"/>
          <w:lang w:eastAsia="en-US"/>
        </w:rPr>
        <w:t>1</w:t>
      </w:r>
      <w:proofErr w:type="gramEnd"/>
      <w:r w:rsidRPr="00F76147">
        <w:rPr>
          <w:rFonts w:ascii="Open Sans" w:eastAsiaTheme="minorHAnsi" w:hAnsi="Open Sans" w:cs="Open Sans"/>
          <w:bCs/>
          <w:sz w:val="24"/>
          <w:szCs w:val="24"/>
          <w:lang w:eastAsia="en-US"/>
        </w:rPr>
        <w:t xml:space="preserve">. AUXÍLIO-ALIMENTAÇÃO. NATUREZA JURÍDICA E INTEGRAÇÃO. DIREITO INTERTEMPORAL. IRRETROATIVIDADE DA LEI Nº 13.467/2017. TRANSCENDÊNCIA JURÍDICA RECONHECIMENTO. I. Cabe a esta Corte Superior examinar, previamente, se a causa oferece transcendência, sob o prisma de quatro vetores taxativos (econômico, político, social e jurídico), que se desdobram em um rol de indicadores meramente exemplificativo, referidos nos incisos I a IV do art. 896-A da CLT. O vocábulo “causa”, a que se refere o art. 896-A, caput, da CLT, não tem o significado estrito de lide, mas de </w:t>
      </w:r>
      <w:r w:rsidRPr="00F76147">
        <w:rPr>
          <w:rFonts w:ascii="Open Sans" w:eastAsiaTheme="minorHAnsi" w:hAnsi="Open Sans" w:cs="Open Sans"/>
          <w:bCs/>
          <w:sz w:val="24"/>
          <w:szCs w:val="24"/>
          <w:lang w:eastAsia="en-US"/>
        </w:rPr>
        <w:lastRenderedPageBreak/>
        <w:t>qualquer questão federal ou constitucional passível de apreciação em recurso de revista. O termo “causa”, portanto, na acepção em referência, diz respeito a uma questão jurídica, que é a síntese normativo-material ou o arcabouço legal de que se vale, em um certo caso concreto, como instrumento de resolução satisfatória do problema jurídico. É síntese, porque resultado de um processo silogístico. É normativo, por se valer do sistema jurídico para a captura e criação da norma. II. Observa-se que o tema “</w:t>
      </w:r>
      <w:r w:rsidRPr="00AE36C1">
        <w:rPr>
          <w:rFonts w:ascii="Open Sans" w:eastAsiaTheme="minorHAnsi" w:hAnsi="Open Sans" w:cs="Open Sans"/>
          <w:bCs/>
          <w:i/>
          <w:sz w:val="24"/>
          <w:szCs w:val="24"/>
          <w:lang w:eastAsia="en-US"/>
        </w:rPr>
        <w:t xml:space="preserve">Auxílio-alimentação. Natureza jurídica e integração. </w:t>
      </w:r>
      <w:proofErr w:type="gramStart"/>
      <w:r w:rsidRPr="00AE36C1">
        <w:rPr>
          <w:rFonts w:ascii="Open Sans" w:eastAsiaTheme="minorHAnsi" w:hAnsi="Open Sans" w:cs="Open Sans"/>
          <w:bCs/>
          <w:i/>
          <w:sz w:val="24"/>
          <w:szCs w:val="24"/>
          <w:lang w:eastAsia="en-US"/>
        </w:rPr>
        <w:t>Direito intertemporal</w:t>
      </w:r>
      <w:r w:rsidRPr="00F76147">
        <w:rPr>
          <w:rFonts w:ascii="Open Sans" w:eastAsiaTheme="minorHAnsi" w:hAnsi="Open Sans" w:cs="Open Sans"/>
          <w:bCs/>
          <w:sz w:val="24"/>
          <w:szCs w:val="24"/>
          <w:lang w:eastAsia="en-US"/>
        </w:rPr>
        <w:t>”</w:t>
      </w:r>
      <w:proofErr w:type="gramEnd"/>
      <w:r w:rsidRPr="00F76147">
        <w:rPr>
          <w:rFonts w:ascii="Open Sans" w:eastAsiaTheme="minorHAnsi" w:hAnsi="Open Sans" w:cs="Open Sans"/>
          <w:bCs/>
          <w:sz w:val="24"/>
          <w:szCs w:val="24"/>
          <w:lang w:eastAsia="en-US"/>
        </w:rPr>
        <w:t xml:space="preserve"> oferece transcendência jurídica, pois este vetor da transcendência estará presente nas situações em que a síntese normativo-material devolvida a esta Corte versar sobre a existência de questão nova em torno da interpretação da legislação trabalhista, ou, ainda, sobre questões antigas, ainda não definitivamente solucionadas pela manifestação jurisprudencial. III. Tratando-se de recurso de revista interposto em face de decisão regional que analisou questão nova em torno da interpretação da legislação trabalhista, revela-se presente a transcendência jurídica da causa, a justificar o prosseguimento do exame do apelo. IV. In </w:t>
      </w:r>
      <w:proofErr w:type="spellStart"/>
      <w:r w:rsidRPr="00F76147">
        <w:rPr>
          <w:rFonts w:ascii="Open Sans" w:eastAsiaTheme="minorHAnsi" w:hAnsi="Open Sans" w:cs="Open Sans"/>
          <w:bCs/>
          <w:sz w:val="24"/>
          <w:szCs w:val="24"/>
          <w:lang w:eastAsia="en-US"/>
        </w:rPr>
        <w:t>casu</w:t>
      </w:r>
      <w:proofErr w:type="spellEnd"/>
      <w:r w:rsidRPr="00F76147">
        <w:rPr>
          <w:rFonts w:ascii="Open Sans" w:eastAsiaTheme="minorHAnsi" w:hAnsi="Open Sans" w:cs="Open Sans"/>
          <w:bCs/>
          <w:sz w:val="24"/>
          <w:szCs w:val="24"/>
          <w:lang w:eastAsia="en-US"/>
        </w:rPr>
        <w:t>, foi reconhecido o caráter salarial do auxílio-alimentação e consequentemente foi determinada sua integração e consectários ao salário da parte reclamante . A condenação foi limitada à 10-11-2017, tendo em vista a entrada em vigor da Lei nº 13.467/2017. V. A controvérsia cinge-se à possibilidade de percepção da parcela a partir da vigência da Lei nº 13.467/2017. A problemática envolve, portanto, aplicação de direito intertemporal. VI. No presente caso, a causa se reporta à situação constituída anteriormente à vigência da Lei nº 13.467/2017 cujo direito se constituiu antes da vigência da referida Lei. Logo, não há que se falar em limitação da integração do auxílio-alimentação, sob pena de violação à garantia constitucional da irretroatividade prevista no artigo 5º, inciso XXXVI, da Constituição da República. VII. Recurso de revista de que se conhece e a que se dá provimento.” (</w:t>
      </w:r>
      <w:hyperlink r:id="rId18" w:history="1">
        <w:r w:rsidRPr="00F76147">
          <w:rPr>
            <w:rFonts w:ascii="Open Sans" w:eastAsiaTheme="minorHAnsi" w:hAnsi="Open Sans" w:cs="Open Sans"/>
            <w:bCs/>
            <w:color w:val="0000FF" w:themeColor="hyperlink"/>
            <w:sz w:val="24"/>
            <w:szCs w:val="24"/>
            <w:u w:val="single"/>
            <w:lang w:eastAsia="en-US"/>
          </w:rPr>
          <w:t>TST-RR-846-83.2020.5.14.0007</w:t>
        </w:r>
      </w:hyperlink>
      <w:r w:rsidRPr="00F76147">
        <w:rPr>
          <w:rFonts w:ascii="Open Sans" w:eastAsiaTheme="minorHAnsi" w:hAnsi="Open Sans" w:cs="Open Sans"/>
          <w:bCs/>
          <w:sz w:val="24"/>
          <w:szCs w:val="24"/>
          <w:lang w:eastAsia="en-US"/>
        </w:rPr>
        <w:t xml:space="preserve">, 7ª Turma, rel. Min. Evandro Pereira Valadão Lopes, julgado em 1º/6/2022) </w:t>
      </w:r>
    </w:p>
    <w:p w:rsidR="00F76147" w:rsidRPr="00F76147" w:rsidRDefault="00F76147" w:rsidP="00F76147">
      <w:pPr>
        <w:autoSpaceDE/>
        <w:autoSpaceDN/>
        <w:ind w:left="-142" w:right="367"/>
        <w:jc w:val="both"/>
        <w:rPr>
          <w:rFonts w:ascii="Open Sans" w:eastAsiaTheme="minorHAnsi" w:hAnsi="Open Sans" w:cs="Open Sans"/>
          <w:i/>
          <w:sz w:val="24"/>
          <w:szCs w:val="24"/>
          <w:lang w:eastAsia="en-US"/>
        </w:rPr>
      </w:pPr>
    </w:p>
    <w:p w:rsidR="00F76147" w:rsidRPr="00F76147" w:rsidRDefault="00F76147" w:rsidP="00F76147">
      <w:pPr>
        <w:autoSpaceDE/>
        <w:autoSpaceDN/>
        <w:ind w:left="-142" w:right="367"/>
        <w:jc w:val="both"/>
        <w:rPr>
          <w:rFonts w:ascii="Open Sans" w:eastAsiaTheme="minorHAnsi" w:hAnsi="Open Sans" w:cs="Open Sans"/>
          <w:bCs/>
          <w:sz w:val="24"/>
          <w:szCs w:val="24"/>
          <w:lang w:eastAsia="en-US"/>
        </w:rPr>
      </w:pPr>
      <w:r w:rsidRPr="00F76147">
        <w:rPr>
          <w:rFonts w:ascii="Open Sans" w:eastAsiaTheme="minorHAnsi" w:hAnsi="Open Sans" w:cs="Open Sans"/>
          <w:bCs/>
          <w:sz w:val="24"/>
          <w:szCs w:val="24"/>
          <w:lang w:eastAsia="en-US"/>
        </w:rPr>
        <w:t xml:space="preserve">“RECURSO DE REVISTA. ACÓRDÃO REGIONAL. PUBLICAÇÃO NA VIGÊNCIA DA LEI Nº 13.467/2017. </w:t>
      </w:r>
      <w:proofErr w:type="gramStart"/>
      <w:r w:rsidRPr="00F76147">
        <w:rPr>
          <w:rFonts w:ascii="Open Sans" w:eastAsiaTheme="minorHAnsi" w:hAnsi="Open Sans" w:cs="Open Sans"/>
          <w:bCs/>
          <w:sz w:val="24"/>
          <w:szCs w:val="24"/>
          <w:lang w:eastAsia="en-US"/>
        </w:rPr>
        <w:t>1</w:t>
      </w:r>
      <w:proofErr w:type="gramEnd"/>
      <w:r w:rsidRPr="00F76147">
        <w:rPr>
          <w:rFonts w:ascii="Open Sans" w:eastAsiaTheme="minorHAnsi" w:hAnsi="Open Sans" w:cs="Open Sans"/>
          <w:bCs/>
          <w:sz w:val="24"/>
          <w:szCs w:val="24"/>
          <w:lang w:eastAsia="en-US"/>
        </w:rPr>
        <w:t xml:space="preserve">. ANULAÇÃO DO TERMO DE AJUSTAMENTO DE CONDUTA. TERCEIRIZAÇÃO LÍCITA. MINISTÉRIO PÚBLICO DO TRABALHO. CONDENAÇÃO EM HONORÁRIOS ADVOCATÍCIOS SUCUMBENCIAIS. TRANSCENDÊNCIA POLÍTICA. RECONHECIMENTO. I. Nos termos do art. 896-A da CLT, no recurso de revista, cabe a esta Corte Superior examinar, previamente, se a causa oferece transcendência sob o prisma de quatro vetores taxativos (econômico, político, social e jurídico), que se desdobram em um rol de indicadores meramente exemplificativo, referidos nos incisos I a IV do dispositivo em apreço. Cumpre destacar que o vocábulo “causa”, a que se refere o art. 896-A, caput, da CLT, não tem o significado estrito de lide, mas de qualquer questão federal ou constitucional passível de apreciação em recurso de revista. O termo “causa”, portanto, na acepção em referência, diz respeito à questão </w:t>
      </w:r>
      <w:r w:rsidRPr="00F76147">
        <w:rPr>
          <w:rFonts w:ascii="Open Sans" w:eastAsiaTheme="minorHAnsi" w:hAnsi="Open Sans" w:cs="Open Sans"/>
          <w:bCs/>
          <w:sz w:val="24"/>
          <w:szCs w:val="24"/>
          <w:lang w:eastAsia="en-US"/>
        </w:rPr>
        <w:lastRenderedPageBreak/>
        <w:t xml:space="preserve">jurídica, que é a síntese normativo-material ou o arcabouço legal de que se vale, em um certo caso concreto, como instrumento de resolução satisfatória do problema jurídico. É síntese, porque resultado de um processo silogístico. É normativo, por se valer do sistema jurídico para a captura e criação da norma. É material, em razão de se conformar e de se identificar a um dado caso concreto. Enfim, a questão jurídica deve ser apta a individualizar uma categoria jurídica ou um problema de aplicação normativa como posta, deduzida ou apresentada. II. A questão devolvida a esta Corte Superior versa sobre o exame da possibilidade de o Ministério Público do Trabalho ser condenado ao pagamento de honorários advocatícios sucumbenciais, em razão da declaração de nulidade de Termo de Ajuste de Conduta – TAC, diante das alterações do estado de direito que regia as relações jurídicas à época de sua celebração. Observa-se, de plano, que o tema em apreço oferece transcendência política, pois este vetor da transcendência mostra-se presente quanto a questão jurídica </w:t>
      </w:r>
      <w:proofErr w:type="gramStart"/>
      <w:r w:rsidRPr="00F76147">
        <w:rPr>
          <w:rFonts w:ascii="Open Sans" w:eastAsiaTheme="minorHAnsi" w:hAnsi="Open Sans" w:cs="Open Sans"/>
          <w:bCs/>
          <w:sz w:val="24"/>
          <w:szCs w:val="24"/>
          <w:lang w:eastAsia="en-US"/>
        </w:rPr>
        <w:t>devolvida</w:t>
      </w:r>
      <w:proofErr w:type="gramEnd"/>
      <w:r w:rsidRPr="00F76147">
        <w:rPr>
          <w:rFonts w:ascii="Open Sans" w:eastAsiaTheme="minorHAnsi" w:hAnsi="Open Sans" w:cs="Open Sans"/>
          <w:bCs/>
          <w:sz w:val="24"/>
          <w:szCs w:val="24"/>
          <w:lang w:eastAsia="en-US"/>
        </w:rPr>
        <w:t xml:space="preserve"> a esta Corte Superior revela a contrariedade, pelo Tribunal Regional, a súmula ou orientação jurisprudencial do TST, a súmula do STF ou a decisões que, pelos microssistemas de formação de precedentes, de recursos repetitivos ou de repercussão geral, possuam efeito vinculante ou sejam de observância obrigatória. III. No caso dos autos, o Tribunal Regional condenou a União (que detém a personalidade jurídica do Ministério Público do Trabalho) ao pagamento de honorários advocatícios de sucumbência em favor dos patronos do autor (art. 791-A, caput, da CLT), em decorrência do provimento do recurso ordinário interposto pelo SENAI, em que foi declarado nulo o TAC nº 604/2010, diante das alterações do estado de direito que regia as relações jurídicas à época de sua celebração. Verifica-se possível contrariedade à jurisprudência pacífica do TST, que firmou o entendimento de que o Ministério Público somente pode ser condenado ao pagamento de honorários advocatícios quando comprovada a má-fé, tendo em vista a sua natureza de “instituição permanente, essencial à função jurisdicional do Estado”, com a atribuição de promover a defesa da ordem jurídica, do regime democrático e dos interesses sociais e individuais indisponíveis. IV. Reconheço a transcendência política do tema “honorários advocatícios – Ministério Público do Trabalho”. 2. ANULAÇÃO DO TERMO DE AJUSTAMENTO DE CONDUTA. TERCEIRIZAÇÃO LÍCITA. MINISTÉRIO PÚBLICO DO TRABALHO. CONDENAÇÃO EM HONORÁRIOS ADVOCATÍCIOS SUCUMBENCIAIS. I. Esta Corte Superior, por meio da Seção Especializada em Dissídios Coletivos, reconheceu a impossibilidade de o Ministério Público ser condenado ao pagamento de honorários advocatícios, salvo se comprovada a má-fé, na medida em que se trata, a teor do art. 127 da Constituição da República, de “</w:t>
      </w:r>
      <w:r w:rsidRPr="00677A33">
        <w:rPr>
          <w:rFonts w:ascii="Open Sans" w:eastAsiaTheme="minorHAnsi" w:hAnsi="Open Sans" w:cs="Open Sans"/>
          <w:bCs/>
          <w:i/>
          <w:sz w:val="24"/>
          <w:szCs w:val="24"/>
          <w:lang w:eastAsia="en-US"/>
        </w:rPr>
        <w:t>instituição permanente, essencial à função jurisdicional do Estado</w:t>
      </w:r>
      <w:r w:rsidRPr="00F76147">
        <w:rPr>
          <w:rFonts w:ascii="Open Sans" w:eastAsiaTheme="minorHAnsi" w:hAnsi="Open Sans" w:cs="Open Sans"/>
          <w:bCs/>
          <w:sz w:val="24"/>
          <w:szCs w:val="24"/>
          <w:lang w:eastAsia="en-US"/>
        </w:rPr>
        <w:t xml:space="preserve">”, incumbida da defesa da ordem jurídica, do regime democrático e dos interesses sociais e individuais indisponíveis. Entendeu-se pela aplicação analógica do art. 18 da Lei nº 7.347/1985, que disciplina a ação civil pública, in </w:t>
      </w:r>
      <w:proofErr w:type="spellStart"/>
      <w:r w:rsidRPr="00F76147">
        <w:rPr>
          <w:rFonts w:ascii="Open Sans" w:eastAsiaTheme="minorHAnsi" w:hAnsi="Open Sans" w:cs="Open Sans"/>
          <w:bCs/>
          <w:sz w:val="24"/>
          <w:szCs w:val="24"/>
          <w:lang w:eastAsia="en-US"/>
        </w:rPr>
        <w:t>verbis</w:t>
      </w:r>
      <w:proofErr w:type="spellEnd"/>
      <w:r w:rsidRPr="00F76147">
        <w:rPr>
          <w:rFonts w:ascii="Open Sans" w:eastAsiaTheme="minorHAnsi" w:hAnsi="Open Sans" w:cs="Open Sans"/>
          <w:bCs/>
          <w:sz w:val="24"/>
          <w:szCs w:val="24"/>
          <w:lang w:eastAsia="en-US"/>
        </w:rPr>
        <w:t xml:space="preserve">: “Art. 18. Nas ações de que trata esta lei, não haverá adiantamento de custas, emolumentos, honorários periciais e quaisquer outras </w:t>
      </w:r>
      <w:r w:rsidRPr="00F76147">
        <w:rPr>
          <w:rFonts w:ascii="Open Sans" w:eastAsiaTheme="minorHAnsi" w:hAnsi="Open Sans" w:cs="Open Sans"/>
          <w:bCs/>
          <w:sz w:val="24"/>
          <w:szCs w:val="24"/>
          <w:lang w:eastAsia="en-US"/>
        </w:rPr>
        <w:lastRenderedPageBreak/>
        <w:t>despesas, nem condenação da associação autora, salvo comprovada má-fé, em honorários de advogado, custas e despesas processuais”. II. No caso, o Tribunal Regional, considerando o disposto no art. 791-A, caput, da CLT, conforme Lei nº 13.467/2017</w:t>
      </w:r>
      <w:proofErr w:type="gramStart"/>
      <w:r w:rsidRPr="00F76147">
        <w:rPr>
          <w:rFonts w:ascii="Open Sans" w:eastAsiaTheme="minorHAnsi" w:hAnsi="Open Sans" w:cs="Open Sans"/>
          <w:bCs/>
          <w:sz w:val="24"/>
          <w:szCs w:val="24"/>
          <w:lang w:eastAsia="en-US"/>
        </w:rPr>
        <w:t>, condenou</w:t>
      </w:r>
      <w:proofErr w:type="gramEnd"/>
      <w:r w:rsidRPr="00F76147">
        <w:rPr>
          <w:rFonts w:ascii="Open Sans" w:eastAsiaTheme="minorHAnsi" w:hAnsi="Open Sans" w:cs="Open Sans"/>
          <w:bCs/>
          <w:sz w:val="24"/>
          <w:szCs w:val="24"/>
          <w:lang w:eastAsia="en-US"/>
        </w:rPr>
        <w:t xml:space="preserve"> a União (que detém a personalidade jurídica do MPT) ao pagamento de honorários advocatícios, arbitrados em R$3.000,00, em favor dos patronos do autor, por equidade, tendo em vista o valor irrisório da causa (art. 85, § 8º, do CPC de 2015), e em observância aos critérios dispostos nos incisos do § 2º do art. 85 do CPC de 2015. Entretanto, não foi constatada a má-fé do Ministério Público do Trabalho, a justificar a aplicação da hipótese excetiva prevista no citado dispositivo. III. Diante desse panorama, a decisão regional, ao condenar o Ministério Público do Trabalho em honorários advocatícios sucumbenciais, contrariou a jurisprudência atual, iterativa e notória desta Corte Superior, quanto à aplicação, por analogia, do art. 18 da Lei nº 7.347/1985, aos casos envolvendo o MPT. IV. </w:t>
      </w:r>
      <w:proofErr w:type="gramStart"/>
      <w:r w:rsidRPr="00F76147">
        <w:rPr>
          <w:rFonts w:ascii="Open Sans" w:eastAsiaTheme="minorHAnsi" w:hAnsi="Open Sans" w:cs="Open Sans"/>
          <w:bCs/>
          <w:sz w:val="24"/>
          <w:szCs w:val="24"/>
          <w:lang w:eastAsia="en-US"/>
        </w:rPr>
        <w:t>Recurso de revista de que se conhece e a que se dá provimento.”</w:t>
      </w:r>
      <w:proofErr w:type="gramEnd"/>
      <w:r w:rsidRPr="00F76147">
        <w:rPr>
          <w:rFonts w:ascii="Open Sans" w:eastAsiaTheme="minorHAnsi" w:hAnsi="Open Sans" w:cs="Open Sans"/>
          <w:bCs/>
          <w:sz w:val="24"/>
          <w:szCs w:val="24"/>
          <w:lang w:eastAsia="en-US"/>
        </w:rPr>
        <w:t xml:space="preserve"> (</w:t>
      </w:r>
      <w:hyperlink r:id="rId19" w:history="1">
        <w:r w:rsidRPr="00F76147">
          <w:rPr>
            <w:rFonts w:ascii="Open Sans" w:eastAsiaTheme="minorHAnsi" w:hAnsi="Open Sans" w:cs="Open Sans"/>
            <w:bCs/>
            <w:color w:val="0000FF" w:themeColor="hyperlink"/>
            <w:sz w:val="24"/>
            <w:szCs w:val="24"/>
            <w:u w:val="single"/>
            <w:lang w:eastAsia="en-US"/>
          </w:rPr>
          <w:t>TST-RR-10730-74.2018.5.03.0020</w:t>
        </w:r>
      </w:hyperlink>
      <w:r w:rsidRPr="00F76147">
        <w:rPr>
          <w:rFonts w:ascii="Open Sans" w:eastAsiaTheme="minorHAnsi" w:hAnsi="Open Sans" w:cs="Open Sans"/>
          <w:bCs/>
          <w:sz w:val="24"/>
          <w:szCs w:val="24"/>
          <w:lang w:eastAsia="en-US"/>
        </w:rPr>
        <w:t>, 7ª Turma, rel. Min. Evandro Pereira Valadão Lopes, julgado em 1º/6/2022)</w:t>
      </w:r>
    </w:p>
    <w:p w:rsidR="00F76147" w:rsidRPr="00F76147" w:rsidRDefault="00F76147" w:rsidP="00F76147">
      <w:pPr>
        <w:ind w:right="-285"/>
        <w:jc w:val="both"/>
        <w:rPr>
          <w:rFonts w:ascii="Open Sans" w:hAnsi="Open Sans" w:cs="Open Sans"/>
          <w:sz w:val="24"/>
          <w:szCs w:val="24"/>
        </w:rPr>
      </w:pPr>
    </w:p>
    <w:p w:rsidR="000F511B" w:rsidRPr="00C221F6" w:rsidRDefault="000F511B" w:rsidP="000F511B">
      <w:pPr>
        <w:ind w:left="-142" w:right="367"/>
        <w:jc w:val="both"/>
        <w:rPr>
          <w:rFonts w:ascii="Open Sans" w:eastAsia="Calibri" w:hAnsi="Open Sans" w:cs="Open Sans"/>
          <w:sz w:val="24"/>
          <w:szCs w:val="24"/>
        </w:rPr>
      </w:pPr>
      <w:r w:rsidRPr="00C221F6">
        <w:rPr>
          <w:rFonts w:ascii="Open Sans" w:eastAsia="Calibri" w:hAnsi="Open Sans" w:cs="Open Sans"/>
          <w:sz w:val="24"/>
          <w:szCs w:val="24"/>
        </w:rPr>
        <w:t xml:space="preserve">“[...] III - RECURSO DE REVISTA. ACÓRDÃO REGIONAL NA VIGÊNCIA DA LEI 13.467/2017. DIRETOR DE COOPERATIVA DE TRABALHO. ESTABILIDADE PROVISÓRIA. TRANSCENDÊNCIA JURÍDICA. </w:t>
      </w:r>
      <w:proofErr w:type="gramStart"/>
      <w:r w:rsidRPr="00C221F6">
        <w:rPr>
          <w:rFonts w:ascii="Open Sans" w:eastAsia="Calibri" w:hAnsi="Open Sans" w:cs="Open Sans"/>
          <w:sz w:val="24"/>
          <w:szCs w:val="24"/>
        </w:rPr>
        <w:t>1</w:t>
      </w:r>
      <w:proofErr w:type="gramEnd"/>
      <w:r w:rsidRPr="00C221F6">
        <w:rPr>
          <w:rFonts w:ascii="Open Sans" w:eastAsia="Calibri" w:hAnsi="Open Sans" w:cs="Open Sans"/>
          <w:sz w:val="24"/>
          <w:szCs w:val="24"/>
        </w:rPr>
        <w:t>. A causa versa sobre o alcance da estabilidade conferida aos diretores de cooperativa de empregados (art. 55 da Lei nº 5.764/71). Discute-se se o benefício alcançaria o diretor de cooperativa de trabalho (Lei nº 12.690/2012). 2. O reclamante, empregado de empresa que fabrica medicamento, fora eleito diretor da COOPREVEND - Cooperativa de Organização dos Propagandistas, Propagandistas Vendedores, Vendedores de Consultores de Produtos Farmacêuticos do Estado do Ceará. Trata-se de cooperativa de trabalho que, nos termos do artigo 2º da Lei nº 12.690/12 - que dispõe sobre a organização e o funcionamento das Cooperativas de Trabalho - é definida como “</w:t>
      </w:r>
      <w:r w:rsidRPr="00A54900">
        <w:rPr>
          <w:rFonts w:ascii="Open Sans" w:eastAsia="Calibri" w:hAnsi="Open Sans" w:cs="Open Sans"/>
          <w:i/>
          <w:sz w:val="24"/>
          <w:szCs w:val="24"/>
        </w:rPr>
        <w:t>a sociedade constituída por trabalhadores para o exercício de suas atividades laborativas ou profissionais com proveito comum, autonomia e autogestão para obterem melhor qualificação, renda, situação socioeconômica e condições gerais de trabalho</w:t>
      </w:r>
      <w:r w:rsidRPr="00C221F6">
        <w:rPr>
          <w:rFonts w:ascii="Open Sans" w:eastAsia="Calibri" w:hAnsi="Open Sans" w:cs="Open Sans"/>
          <w:sz w:val="24"/>
          <w:szCs w:val="24"/>
        </w:rPr>
        <w:t>”. E que, diferentemente das cooperativas de empregados, permite que seja constituída não apenas por empregados, mas também por profissionais autônomos, podendo, ainda, ser classificada como de “produção” ou “serviços” (art. 4º, I e II). 3. Nos termos da referida lei, é vedada expressamente a utilização da cooperativa para a intermediação de mão de obra subordinada (art. 5º), sendo que “</w:t>
      </w:r>
      <w:r w:rsidRPr="00A54900">
        <w:rPr>
          <w:rFonts w:ascii="Open Sans" w:eastAsia="Calibri" w:hAnsi="Open Sans" w:cs="Open Sans"/>
          <w:i/>
          <w:sz w:val="24"/>
          <w:szCs w:val="24"/>
        </w:rPr>
        <w:t>a cooperativa de trabalho poderá adotar por objeto social qualquer gênero de serviço, operação ou atividade, desde que previsto no seu Estatuto Social</w:t>
      </w:r>
      <w:r w:rsidRPr="00C221F6">
        <w:rPr>
          <w:rFonts w:ascii="Open Sans" w:eastAsia="Calibri" w:hAnsi="Open Sans" w:cs="Open Sans"/>
          <w:sz w:val="24"/>
          <w:szCs w:val="24"/>
        </w:rPr>
        <w:t xml:space="preserve">” (art. 10). 4. Fixadas essas características, impõe-se destacar a expressa disposição na referida lei de que a cooperativa de trabalho também será regulada, naquilo que não a conflite, pela lei nº 5.764/91 e pelo Código Civil de 2002, circunstância que evidencia a possibilidade de ser aplicado, no contexto </w:t>
      </w:r>
      <w:r w:rsidRPr="00C221F6">
        <w:rPr>
          <w:rFonts w:ascii="Open Sans" w:eastAsia="Calibri" w:hAnsi="Open Sans" w:cs="Open Sans"/>
          <w:sz w:val="24"/>
          <w:szCs w:val="24"/>
        </w:rPr>
        <w:lastRenderedPageBreak/>
        <w:t xml:space="preserve">da administração das referidas cooperativas, tanto o art. 55 da Lei 5.764/91 - </w:t>
      </w:r>
      <w:proofErr w:type="gramStart"/>
      <w:r w:rsidRPr="00F975D1">
        <w:rPr>
          <w:rFonts w:ascii="Open Sans" w:eastAsia="Calibri" w:hAnsi="Open Sans" w:cs="Open Sans"/>
          <w:i/>
          <w:sz w:val="24"/>
          <w:szCs w:val="24"/>
        </w:rPr>
        <w:t>que</w:t>
      </w:r>
      <w:proofErr w:type="gramEnd"/>
      <w:r w:rsidRPr="00F975D1">
        <w:rPr>
          <w:rFonts w:ascii="Open Sans" w:eastAsia="Calibri" w:hAnsi="Open Sans" w:cs="Open Sans"/>
          <w:i/>
          <w:sz w:val="24"/>
          <w:szCs w:val="24"/>
        </w:rPr>
        <w:t xml:space="preserve"> rege as cooperativas de emprego, e confere estabilidade provisória ao diretor de cooperativa, quando empregado de empresa, de forma equiparada aos dirigentes sindicais</w:t>
      </w:r>
      <w:r w:rsidRPr="00C221F6">
        <w:rPr>
          <w:rFonts w:ascii="Open Sans" w:eastAsia="Calibri" w:hAnsi="Open Sans" w:cs="Open Sans"/>
          <w:sz w:val="24"/>
          <w:szCs w:val="24"/>
        </w:rPr>
        <w:t xml:space="preserve"> - quanto a Orientação Jurisprudencial 253 da SBDI-1 desta Corte. 5. Trata-se de garantia que tem por finalidade proteger o empregado que representa a sua categoria econômica e que, em face das prerrogativas que são inerentes a essa representatividade, pode acarretar algum confronto com os interesses e atividades do empregador. Significa dizer que, se não há conflito entre o objeto da cooperativa com os interesses e/ou atividade principal dos empregadores, não subsiste razão para o deferimento da estabilidade provisória, </w:t>
      </w:r>
      <w:proofErr w:type="gramStart"/>
      <w:r w:rsidRPr="00C221F6">
        <w:rPr>
          <w:rFonts w:ascii="Open Sans" w:eastAsia="Calibri" w:hAnsi="Open Sans" w:cs="Open Sans"/>
          <w:sz w:val="24"/>
          <w:szCs w:val="24"/>
        </w:rPr>
        <w:t>sob pena</w:t>
      </w:r>
      <w:proofErr w:type="gramEnd"/>
      <w:r w:rsidRPr="00C221F6">
        <w:rPr>
          <w:rFonts w:ascii="Open Sans" w:eastAsia="Calibri" w:hAnsi="Open Sans" w:cs="Open Sans"/>
          <w:sz w:val="24"/>
          <w:szCs w:val="24"/>
        </w:rPr>
        <w:t xml:space="preserve"> de não se atender à </w:t>
      </w:r>
      <w:r w:rsidRPr="00F975D1">
        <w:rPr>
          <w:rFonts w:ascii="Open Sans" w:eastAsia="Calibri" w:hAnsi="Open Sans" w:cs="Open Sans"/>
          <w:i/>
          <w:sz w:val="24"/>
          <w:szCs w:val="24"/>
        </w:rPr>
        <w:t>mens legis</w:t>
      </w:r>
      <w:r w:rsidRPr="00C221F6">
        <w:rPr>
          <w:rFonts w:ascii="Open Sans" w:eastAsia="Calibri" w:hAnsi="Open Sans" w:cs="Open Sans"/>
          <w:sz w:val="24"/>
          <w:szCs w:val="24"/>
        </w:rPr>
        <w:t xml:space="preserve"> que rege o instituto. 6. No caso, o col. Tribunal Regional, ao afastar o direito do reclamante à estabilidade provisória, o fez com base nas seguintes premissas: a) que, embora o estatuto da COOPROVEND previsse que seu objeto social é “</w:t>
      </w:r>
      <w:r w:rsidRPr="00F975D1">
        <w:rPr>
          <w:rFonts w:ascii="Open Sans" w:eastAsia="Calibri" w:hAnsi="Open Sans" w:cs="Open Sans"/>
          <w:i/>
          <w:sz w:val="24"/>
          <w:szCs w:val="24"/>
        </w:rPr>
        <w:t>a organização da carreira de propagandista vendedor, vendedor e consultor de produtos farmacêuticos</w:t>
      </w:r>
      <w:r w:rsidRPr="00C221F6">
        <w:rPr>
          <w:rFonts w:ascii="Open Sans" w:eastAsia="Calibri" w:hAnsi="Open Sans" w:cs="Open Sans"/>
          <w:sz w:val="24"/>
          <w:szCs w:val="24"/>
        </w:rPr>
        <w:t xml:space="preserve">” </w:t>
      </w:r>
      <w:r w:rsidRPr="00F975D1">
        <w:rPr>
          <w:rFonts w:ascii="Open Sans" w:eastAsia="Calibri" w:hAnsi="Open Sans" w:cs="Open Sans"/>
          <w:i/>
          <w:sz w:val="24"/>
          <w:szCs w:val="24"/>
        </w:rPr>
        <w:t>e que “suas atividades não têm a finalidade de lucro”</w:t>
      </w:r>
      <w:r w:rsidRPr="00C221F6">
        <w:rPr>
          <w:rFonts w:ascii="Open Sans" w:eastAsia="Calibri" w:hAnsi="Open Sans" w:cs="Open Sans"/>
          <w:sz w:val="24"/>
          <w:szCs w:val="24"/>
        </w:rPr>
        <w:t>, o fato de ter constado no CNPJ, como atividade econômica principal, o “</w:t>
      </w:r>
      <w:r w:rsidRPr="00F975D1">
        <w:rPr>
          <w:rFonts w:ascii="Open Sans" w:eastAsia="Calibri" w:hAnsi="Open Sans" w:cs="Open Sans"/>
          <w:i/>
          <w:sz w:val="24"/>
          <w:szCs w:val="24"/>
        </w:rPr>
        <w:t>fornecimento e gestão de recursos humanos para terceiros</w:t>
      </w:r>
      <w:r w:rsidRPr="00C221F6">
        <w:rPr>
          <w:rFonts w:ascii="Open Sans" w:eastAsia="Calibri" w:hAnsi="Open Sans" w:cs="Open Sans"/>
          <w:sz w:val="24"/>
          <w:szCs w:val="24"/>
        </w:rPr>
        <w:t xml:space="preserve">” evidenciaria a finalidade de obtenção de lucro e descaracterizaria a cooperativa de trabalho; b) que o fato de a sociedade cooperativa não ser </w:t>
      </w:r>
      <w:proofErr w:type="gramStart"/>
      <w:r w:rsidRPr="00C221F6">
        <w:rPr>
          <w:rFonts w:ascii="Open Sans" w:eastAsia="Calibri" w:hAnsi="Open Sans" w:cs="Open Sans"/>
          <w:sz w:val="24"/>
          <w:szCs w:val="24"/>
        </w:rPr>
        <w:t>constituída</w:t>
      </w:r>
      <w:proofErr w:type="gramEnd"/>
      <w:r w:rsidRPr="00C221F6">
        <w:rPr>
          <w:rFonts w:ascii="Open Sans" w:eastAsia="Calibri" w:hAnsi="Open Sans" w:cs="Open Sans"/>
          <w:sz w:val="24"/>
          <w:szCs w:val="24"/>
        </w:rPr>
        <w:t xml:space="preserve"> apenas por empregados, mas também por profissionais autônomos, com estabelecimento de deveres e de responsabilidade aos cooperados, também evidenciaria a finalidade de obtenção de lucro. 7. </w:t>
      </w:r>
      <w:r w:rsidRPr="00F640EF">
        <w:rPr>
          <w:rFonts w:ascii="Open Sans" w:eastAsia="Calibri" w:hAnsi="Open Sans" w:cs="Open Sans"/>
          <w:i/>
          <w:sz w:val="24"/>
          <w:szCs w:val="24"/>
        </w:rPr>
        <w:t xml:space="preserve">Data </w:t>
      </w:r>
      <w:proofErr w:type="spellStart"/>
      <w:r w:rsidRPr="00F640EF">
        <w:rPr>
          <w:rFonts w:ascii="Open Sans" w:eastAsia="Calibri" w:hAnsi="Open Sans" w:cs="Open Sans"/>
          <w:i/>
          <w:sz w:val="24"/>
          <w:szCs w:val="24"/>
        </w:rPr>
        <w:t>venia</w:t>
      </w:r>
      <w:proofErr w:type="spellEnd"/>
      <w:r w:rsidRPr="00C221F6">
        <w:rPr>
          <w:rFonts w:ascii="Open Sans" w:eastAsia="Calibri" w:hAnsi="Open Sans" w:cs="Open Sans"/>
          <w:sz w:val="24"/>
          <w:szCs w:val="24"/>
        </w:rPr>
        <w:t xml:space="preserve"> ao entendimento do Tribunal Regional, nenhuma dessas premissas desnatura a sociedade cooperativa em exame. Em relação ao fato de a COOPROVEND ter sido constituída também por profissionais autônomos, a própria Lei 12.690/2012, ao definir as cooperativas de trabalho como as sociedades constituídas “por trabalhadores” (art. 2º), em sentido </w:t>
      </w:r>
      <w:bookmarkStart w:id="0" w:name="_GoBack"/>
      <w:r w:rsidRPr="00CB10AA">
        <w:rPr>
          <w:rFonts w:ascii="Open Sans" w:eastAsia="Calibri" w:hAnsi="Open Sans" w:cs="Open Sans"/>
          <w:i/>
          <w:sz w:val="24"/>
          <w:szCs w:val="24"/>
        </w:rPr>
        <w:t>lato sensu</w:t>
      </w:r>
      <w:bookmarkEnd w:id="0"/>
      <w:r w:rsidRPr="00C221F6">
        <w:rPr>
          <w:rFonts w:ascii="Open Sans" w:eastAsia="Calibri" w:hAnsi="Open Sans" w:cs="Open Sans"/>
          <w:sz w:val="24"/>
          <w:szCs w:val="24"/>
        </w:rPr>
        <w:t>, já evidencia a possibilidade de ser constituída tanto por empregados como profissionais autônomos. Quanto ao CNPJ da cooperativa trazer como atividade principal “</w:t>
      </w:r>
      <w:r w:rsidRPr="006828CD">
        <w:rPr>
          <w:rFonts w:ascii="Open Sans" w:eastAsia="Calibri" w:hAnsi="Open Sans" w:cs="Open Sans"/>
          <w:i/>
          <w:sz w:val="24"/>
          <w:szCs w:val="24"/>
        </w:rPr>
        <w:t>o fornecimento e gestão de recursos humanos para terceiros</w:t>
      </w:r>
      <w:r w:rsidRPr="00C221F6">
        <w:rPr>
          <w:rFonts w:ascii="Open Sans" w:eastAsia="Calibri" w:hAnsi="Open Sans" w:cs="Open Sans"/>
          <w:sz w:val="24"/>
          <w:szCs w:val="24"/>
        </w:rPr>
        <w:t>”, isso resulta do fato de que a COOPROVEND se qualifica como cooperativa de serviços (</w:t>
      </w:r>
      <w:proofErr w:type="spellStart"/>
      <w:r w:rsidRPr="00C221F6">
        <w:rPr>
          <w:rFonts w:ascii="Open Sans" w:eastAsia="Calibri" w:hAnsi="Open Sans" w:cs="Open Sans"/>
          <w:sz w:val="24"/>
          <w:szCs w:val="24"/>
        </w:rPr>
        <w:t>arts</w:t>
      </w:r>
      <w:proofErr w:type="spellEnd"/>
      <w:r w:rsidRPr="00C221F6">
        <w:rPr>
          <w:rFonts w:ascii="Open Sans" w:eastAsia="Calibri" w:hAnsi="Open Sans" w:cs="Open Sans"/>
          <w:sz w:val="24"/>
          <w:szCs w:val="24"/>
        </w:rPr>
        <w:t>. 4º, II e 7º, § 2º), de forma que, não havendo nenhuma delimitação fática quanto a eventual atuação como intermediadora de mão de obra (fraude), referida premissa não constituiria óbice à pretensão do reclamante. E nem se diga que o estabelecimento de deveres e responsabilidade aos cooperados poderia respaldar a conclusão do TRT, eis que regularmente previstos na lei, no Capítulo II – Do funcionamento das Cooperativas de Trabalho (art. 11). 8. Dessa forma, subsistiria como óbice ao reconhecimento do direito à estabilidade provisória apenas o fato de o reclamante ser diretor de uma cooperativa de trabalho, cujo objeto não refletisse nem concorresse com as atividades do empregador e, por conseguinte, não pudesse ensejar uma possível dispensa arbitrária. 9. Porém, no caso, resulta como fato incontroverso que o reclamante, propagandista vendedor, era empregado de empresa (</w:t>
      </w:r>
      <w:proofErr w:type="spellStart"/>
      <w:r w:rsidRPr="00C221F6">
        <w:rPr>
          <w:rFonts w:ascii="Open Sans" w:eastAsia="Calibri" w:hAnsi="Open Sans" w:cs="Open Sans"/>
          <w:sz w:val="24"/>
          <w:szCs w:val="24"/>
        </w:rPr>
        <w:t>Biolab</w:t>
      </w:r>
      <w:proofErr w:type="spellEnd"/>
      <w:r w:rsidRPr="00C221F6">
        <w:rPr>
          <w:rFonts w:ascii="Open Sans" w:eastAsia="Calibri" w:hAnsi="Open Sans" w:cs="Open Sans"/>
          <w:sz w:val="24"/>
          <w:szCs w:val="24"/>
        </w:rPr>
        <w:t xml:space="preserve"> </w:t>
      </w:r>
      <w:proofErr w:type="spellStart"/>
      <w:r w:rsidRPr="00C221F6">
        <w:rPr>
          <w:rFonts w:ascii="Open Sans" w:eastAsia="Calibri" w:hAnsi="Open Sans" w:cs="Open Sans"/>
          <w:sz w:val="24"/>
          <w:szCs w:val="24"/>
        </w:rPr>
        <w:t>Sanus</w:t>
      </w:r>
      <w:proofErr w:type="spellEnd"/>
      <w:r w:rsidRPr="00C221F6">
        <w:rPr>
          <w:rFonts w:ascii="Open Sans" w:eastAsia="Calibri" w:hAnsi="Open Sans" w:cs="Open Sans"/>
          <w:sz w:val="24"/>
          <w:szCs w:val="24"/>
        </w:rPr>
        <w:t xml:space="preserve"> Farmacêutica </w:t>
      </w:r>
      <w:proofErr w:type="spellStart"/>
      <w:r w:rsidRPr="00C221F6">
        <w:rPr>
          <w:rFonts w:ascii="Open Sans" w:eastAsia="Calibri" w:hAnsi="Open Sans" w:cs="Open Sans"/>
          <w:sz w:val="24"/>
          <w:szCs w:val="24"/>
        </w:rPr>
        <w:t>Ltda</w:t>
      </w:r>
      <w:proofErr w:type="spellEnd"/>
      <w:r w:rsidRPr="00C221F6">
        <w:rPr>
          <w:rFonts w:ascii="Open Sans" w:eastAsia="Calibri" w:hAnsi="Open Sans" w:cs="Open Sans"/>
          <w:sz w:val="24"/>
          <w:szCs w:val="24"/>
        </w:rPr>
        <w:t xml:space="preserve">), que tem como atividade principal a </w:t>
      </w:r>
      <w:r w:rsidRPr="00C221F6">
        <w:rPr>
          <w:rFonts w:ascii="Open Sans" w:eastAsia="Calibri" w:hAnsi="Open Sans" w:cs="Open Sans"/>
          <w:sz w:val="24"/>
          <w:szCs w:val="24"/>
        </w:rPr>
        <w:lastRenderedPageBreak/>
        <w:t>fabricação de medicamentos, e que fora eleito diretor da COOPROVEND, cujo objeto social é “</w:t>
      </w:r>
      <w:r w:rsidRPr="006828CD">
        <w:rPr>
          <w:rFonts w:ascii="Open Sans" w:eastAsia="Calibri" w:hAnsi="Open Sans" w:cs="Open Sans"/>
          <w:i/>
          <w:sz w:val="24"/>
          <w:szCs w:val="24"/>
        </w:rPr>
        <w:t>a organização da carreira de propagandista vendedor, vendedor e consultor de produtos farmacêuticos”</w:t>
      </w:r>
      <w:r w:rsidRPr="00822ED2">
        <w:rPr>
          <w:rFonts w:ascii="Open Sans" w:eastAsia="Calibri" w:hAnsi="Open Sans" w:cs="Open Sans"/>
          <w:sz w:val="24"/>
          <w:szCs w:val="24"/>
        </w:rPr>
        <w:t>,</w:t>
      </w:r>
      <w:r w:rsidRPr="006828CD">
        <w:rPr>
          <w:rFonts w:ascii="Open Sans" w:eastAsia="Calibri" w:hAnsi="Open Sans" w:cs="Open Sans"/>
          <w:i/>
          <w:sz w:val="24"/>
          <w:szCs w:val="24"/>
        </w:rPr>
        <w:t xml:space="preserve"> </w:t>
      </w:r>
      <w:r w:rsidRPr="00822ED2">
        <w:rPr>
          <w:rFonts w:ascii="Open Sans" w:eastAsia="Calibri" w:hAnsi="Open Sans" w:cs="Open Sans"/>
          <w:sz w:val="24"/>
          <w:szCs w:val="24"/>
        </w:rPr>
        <w:t>com</w:t>
      </w:r>
      <w:r w:rsidRPr="006828CD">
        <w:rPr>
          <w:rFonts w:ascii="Open Sans" w:eastAsia="Calibri" w:hAnsi="Open Sans" w:cs="Open Sans"/>
          <w:i/>
          <w:sz w:val="24"/>
          <w:szCs w:val="24"/>
        </w:rPr>
        <w:t xml:space="preserve"> “fornecimento e gestão de recursos humanos para terceiros</w:t>
      </w:r>
      <w:r w:rsidRPr="00C221F6">
        <w:rPr>
          <w:rFonts w:ascii="Open Sans" w:eastAsia="Calibri" w:hAnsi="Open Sans" w:cs="Open Sans"/>
          <w:sz w:val="24"/>
          <w:szCs w:val="24"/>
        </w:rPr>
        <w:t>”. 10. Considerando a estreita ligação entre as atividades de fabricação de medicamentos e as de venda e consultoria de produtos farmacêuticos, é nítida a possibilidade de haver contraposição à atividade do empregador e, por conseguinte, eventual dispensa arbitrária, para justificar a concessão do benefício ao reclamante. 11. Nesse contexto e não havendo nenhuma delimitação no v. acórdão regional que permita afastar a referida assertiva, conclui-se que o afastamento do direito à estabilidade provisória do reclamante resultou em ofensa ao art. 55 da Lei nº 5.764/71. Recurso de revista conhecido por violação do art. 55 da Lei 5.764/71 e provido. [</w:t>
      </w:r>
      <w:proofErr w:type="gramStart"/>
      <w:r w:rsidRPr="00C221F6">
        <w:rPr>
          <w:rFonts w:ascii="Open Sans" w:eastAsia="Calibri" w:hAnsi="Open Sans" w:cs="Open Sans"/>
          <w:sz w:val="24"/>
          <w:szCs w:val="24"/>
        </w:rPr>
        <w:t>...]”</w:t>
      </w:r>
      <w:proofErr w:type="gramEnd"/>
      <w:r w:rsidRPr="00C221F6">
        <w:rPr>
          <w:rFonts w:ascii="Open Sans" w:eastAsia="Calibri" w:hAnsi="Open Sans" w:cs="Open Sans"/>
          <w:sz w:val="24"/>
          <w:szCs w:val="24"/>
        </w:rPr>
        <w:t xml:space="preserve"> (</w:t>
      </w:r>
      <w:hyperlink r:id="rId20" w:history="1">
        <w:r w:rsidRPr="00C221F6">
          <w:rPr>
            <w:rFonts w:ascii="Open Sans" w:eastAsia="Calibri" w:hAnsi="Open Sans" w:cs="Open Sans"/>
            <w:color w:val="0000FF" w:themeColor="hyperlink"/>
            <w:sz w:val="24"/>
            <w:szCs w:val="24"/>
            <w:u w:val="single"/>
          </w:rPr>
          <w:t>TST-RR-993-78.2018.5.07.0006</w:t>
        </w:r>
      </w:hyperlink>
      <w:r w:rsidRPr="00C221F6">
        <w:rPr>
          <w:rFonts w:ascii="Open Sans" w:eastAsia="Calibri" w:hAnsi="Open Sans" w:cs="Open Sans"/>
          <w:sz w:val="24"/>
          <w:szCs w:val="24"/>
        </w:rPr>
        <w:t xml:space="preserve">, 8ª Turma, rel. Min. Alexandre </w:t>
      </w:r>
      <w:r>
        <w:rPr>
          <w:rFonts w:ascii="Open Sans" w:eastAsia="Calibri" w:hAnsi="Open Sans" w:cs="Open Sans"/>
          <w:sz w:val="24"/>
          <w:szCs w:val="24"/>
        </w:rPr>
        <w:t xml:space="preserve">de Souza </w:t>
      </w:r>
      <w:r w:rsidRPr="00C221F6">
        <w:rPr>
          <w:rFonts w:ascii="Open Sans" w:eastAsia="Calibri" w:hAnsi="Open Sans" w:cs="Open Sans"/>
          <w:sz w:val="24"/>
          <w:szCs w:val="24"/>
        </w:rPr>
        <w:t>Agra Belmonte, julgado em 25/5/2022</w:t>
      </w:r>
      <w:r w:rsidRPr="00774A7C">
        <w:rPr>
          <w:rFonts w:ascii="Open Sans" w:eastAsia="Calibri" w:hAnsi="Open Sans" w:cs="Open Sans"/>
          <w:sz w:val="24"/>
          <w:szCs w:val="24"/>
        </w:rPr>
        <w:t>)</w:t>
      </w:r>
    </w:p>
    <w:p w:rsidR="000F511B" w:rsidRPr="00C221F6" w:rsidRDefault="000F511B" w:rsidP="000F511B">
      <w:pPr>
        <w:rPr>
          <w:rFonts w:ascii="Open Sans" w:eastAsia="Calibri" w:hAnsi="Open Sans" w:cs="Open Sans"/>
          <w:sz w:val="24"/>
          <w:szCs w:val="24"/>
        </w:rPr>
      </w:pPr>
    </w:p>
    <w:p w:rsidR="007C1D4F" w:rsidRDefault="007C1D4F" w:rsidP="001A7589">
      <w:pPr>
        <w:pStyle w:val="Cabealho"/>
        <w:tabs>
          <w:tab w:val="clear" w:pos="4419"/>
          <w:tab w:val="clear" w:pos="8838"/>
        </w:tabs>
        <w:ind w:left="-142" w:right="368" w:firstLine="142"/>
        <w:jc w:val="center"/>
        <w:rPr>
          <w:rFonts w:ascii="Open Sans" w:hAnsi="Open Sans" w:cs="Open Sans"/>
          <w:i/>
        </w:rPr>
      </w:pPr>
    </w:p>
    <w:p w:rsidR="000F511B" w:rsidRDefault="000F511B" w:rsidP="001A7589">
      <w:pPr>
        <w:pStyle w:val="Cabealho"/>
        <w:tabs>
          <w:tab w:val="clear" w:pos="4419"/>
          <w:tab w:val="clear" w:pos="8838"/>
        </w:tabs>
        <w:ind w:left="-142" w:right="368" w:firstLine="142"/>
        <w:jc w:val="center"/>
        <w:rPr>
          <w:rFonts w:ascii="Open Sans" w:hAnsi="Open Sans" w:cs="Open Sans"/>
          <w:i/>
        </w:rPr>
      </w:pPr>
    </w:p>
    <w:p w:rsidR="000F511B" w:rsidRDefault="000F511B" w:rsidP="001A7589">
      <w:pPr>
        <w:pStyle w:val="Cabealho"/>
        <w:tabs>
          <w:tab w:val="clear" w:pos="4419"/>
          <w:tab w:val="clear" w:pos="8838"/>
        </w:tabs>
        <w:ind w:left="-142" w:right="368" w:firstLine="142"/>
        <w:jc w:val="center"/>
        <w:rPr>
          <w:rFonts w:ascii="Open Sans" w:hAnsi="Open Sans" w:cs="Open Sans"/>
          <w:i/>
        </w:rPr>
      </w:pPr>
    </w:p>
    <w:p w:rsidR="007C1D4F" w:rsidRPr="003509A3" w:rsidRDefault="007C1D4F" w:rsidP="001A7589">
      <w:pPr>
        <w:pStyle w:val="Cabealho"/>
        <w:tabs>
          <w:tab w:val="clear" w:pos="4419"/>
          <w:tab w:val="clear" w:pos="8838"/>
        </w:tabs>
        <w:ind w:left="-142" w:right="368" w:firstLine="142"/>
        <w:jc w:val="center"/>
        <w:rPr>
          <w:rFonts w:ascii="Open Sans" w:hAnsi="Open Sans" w:cs="Open Sans"/>
          <w:i/>
        </w:rPr>
      </w:pP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21" w:history="1">
        <w:r w:rsidRPr="003509A3">
          <w:rPr>
            <w:rStyle w:val="Hyperlink"/>
            <w:rFonts w:ascii="Open Sans" w:hAnsi="Open Sans" w:cs="Open Sans"/>
            <w:snapToGrid w:val="0"/>
            <w:sz w:val="24"/>
            <w:szCs w:val="24"/>
          </w:rPr>
          <w:t>cjur@tst.jus.br</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2"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3" w:history="1">
        <w:r w:rsidRPr="003509A3">
          <w:rPr>
            <w:rStyle w:val="Hyperlink"/>
            <w:rFonts w:ascii="Open Sans" w:hAnsi="Open Sans" w:cs="Open Sans"/>
            <w:snapToGrid w:val="0"/>
            <w:sz w:val="24"/>
            <w:szCs w:val="24"/>
          </w:rPr>
          <w:t>http://www.tst.jus.br/push</w:t>
        </w:r>
      </w:hyperlink>
    </w:p>
    <w:p w:rsidR="00ED73E7" w:rsidRPr="00ED73E7" w:rsidRDefault="00ED73E7" w:rsidP="00ED73E7">
      <w:pPr>
        <w:tabs>
          <w:tab w:val="left" w:pos="8955"/>
        </w:tabs>
      </w:pPr>
    </w:p>
    <w:sectPr w:rsidR="00ED73E7" w:rsidRPr="00ED73E7" w:rsidSect="001A7589">
      <w:headerReference w:type="default" r:id="rId24"/>
      <w:footerReference w:type="default" r:id="rId25"/>
      <w:headerReference w:type="first" r:id="rId26"/>
      <w:footerReference w:type="first" r:id="rId27"/>
      <w:pgSz w:w="11906" w:h="16838"/>
      <w:pgMar w:top="1701"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AB076D">
            <w:pPr>
              <w:pStyle w:val="Rodap"/>
              <w:pBdr>
                <w:top w:val="single" w:sz="4" w:space="1" w:color="auto"/>
              </w:pBdr>
              <w:ind w:left="-142" w:right="367"/>
              <w:jc w:val="right"/>
            </w:pPr>
            <w:r>
              <w:fldChar w:fldCharType="begin"/>
            </w:r>
            <w:r>
              <w:instrText>PAGE   \* MERGEFORMAT</w:instrText>
            </w:r>
            <w:r>
              <w:fldChar w:fldCharType="separate"/>
            </w:r>
            <w:r w:rsidR="00CB10AA">
              <w:rPr>
                <w:noProof/>
              </w:rPr>
              <w:t>13</w:t>
            </w:r>
            <w:r>
              <w:fldChar w:fldCharType="end"/>
            </w:r>
          </w:p>
        </w:sdtContent>
      </w:sdt>
      <w:p w:rsidR="00ED73E7" w:rsidRDefault="00CB10AA"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297624">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ED73E7" w:rsidP="00ED73E7">
    <w:pPr>
      <w:pStyle w:val="Corpodetexto"/>
      <w:ind w:right="510"/>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0F511B">
      <w:rPr>
        <w:rFonts w:ascii="Open Sans" w:hAnsi="Open Sans" w:cs="Open Sans"/>
        <w:color w:val="006699"/>
        <w:sz w:val="28"/>
        <w:szCs w:val="28"/>
      </w:rPr>
      <w:t>255</w:t>
    </w:r>
  </w:p>
  <w:p w:rsidR="00B91DD6" w:rsidRDefault="00B91DD6" w:rsidP="00B91DD6">
    <w:pPr>
      <w:pStyle w:val="Cabealho"/>
      <w:pBdr>
        <w:bottom w:val="single" w:sz="4" w:space="1" w:color="auto"/>
      </w:pBdr>
      <w:ind w:left="-284" w:right="367"/>
      <w:jc w:val="right"/>
    </w:pPr>
    <w:r w:rsidRPr="00AF45B3">
      <w:rPr>
        <w:rFonts w:ascii="Open Sans" w:hAnsi="Open Sans" w:cs="Open Sans"/>
        <w:i/>
        <w:iCs/>
        <w:color w:val="005DA2"/>
        <w:sz w:val="22"/>
        <w:szCs w:val="22"/>
      </w:rPr>
      <w:t xml:space="preserve">Período: </w:t>
    </w:r>
    <w:r w:rsidR="000F511B">
      <w:rPr>
        <w:rFonts w:ascii="Open Sans" w:hAnsi="Open Sans" w:cs="Open Sans"/>
        <w:i/>
        <w:iCs/>
        <w:color w:val="005DA2"/>
        <w:sz w:val="22"/>
        <w:szCs w:val="22"/>
      </w:rPr>
      <w:t xml:space="preserve">18 de maio a </w:t>
    </w:r>
    <w:proofErr w:type="gramStart"/>
    <w:r w:rsidR="000F511B">
      <w:rPr>
        <w:rFonts w:ascii="Open Sans" w:hAnsi="Open Sans" w:cs="Open Sans"/>
        <w:i/>
        <w:iCs/>
        <w:color w:val="005DA2"/>
        <w:sz w:val="22"/>
        <w:szCs w:val="22"/>
      </w:rPr>
      <w:t>3</w:t>
    </w:r>
    <w:proofErr w:type="gramEnd"/>
    <w:r w:rsidR="000F511B">
      <w:rPr>
        <w:rFonts w:ascii="Open Sans" w:hAnsi="Open Sans" w:cs="Open Sans"/>
        <w:i/>
        <w:iCs/>
        <w:color w:val="005DA2"/>
        <w:sz w:val="22"/>
        <w:szCs w:val="22"/>
      </w:rPr>
      <w:t xml:space="preserve"> de junho de 2022.</w:t>
    </w:r>
  </w:p>
  <w:p w:rsidR="00ED73E7" w:rsidRPr="00ED73E7" w:rsidRDefault="00ED73E7" w:rsidP="00ED73E7">
    <w:pPr>
      <w:pStyle w:val="Corpodetexto"/>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1A7589" w:rsidP="001A7589">
    <w:pPr>
      <w:pStyle w:val="Cabealho"/>
    </w:pPr>
    <w:r>
      <w:rPr>
        <w:noProof/>
      </w:rPr>
      <mc:AlternateContent>
        <mc:Choice Requires="wps">
          <w:drawing>
            <wp:anchor distT="0" distB="0" distL="114300" distR="114300" simplePos="0" relativeHeight="251661312" behindDoc="0" locked="0" layoutInCell="0" allowOverlap="1" wp14:anchorId="01C129EE" wp14:editId="6A724555">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3CDABEB9" wp14:editId="2ED39ED1">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Pr>
        <w:rFonts w:ascii="Bebas Neue Regular" w:hAnsi="Bebas Neue Regular"/>
        <w:noProof/>
        <w:color w:val="006699"/>
        <w:sz w:val="30"/>
      </w:rPr>
      <w:drawing>
        <wp:inline distT="0" distB="0" distL="0" distR="0" wp14:anchorId="07808914" wp14:editId="69176CE0">
          <wp:extent cx="6124575" cy="8953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0F511B">
      <w:rPr>
        <w:rFonts w:ascii="Open Sans" w:hAnsi="Open Sans" w:cs="Open Sans"/>
        <w:b/>
        <w:color w:val="005DA2"/>
        <w:sz w:val="32"/>
        <w:szCs w:val="32"/>
      </w:rPr>
      <w:t>255</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280F6F">
      <w:rPr>
        <w:rFonts w:ascii="Open Sans" w:hAnsi="Open Sans" w:cs="Open Sans"/>
        <w:i/>
        <w:iCs/>
        <w:color w:val="005DA2"/>
        <w:sz w:val="22"/>
        <w:szCs w:val="22"/>
      </w:rPr>
      <w:t>1</w:t>
    </w:r>
    <w:r w:rsidR="000F511B">
      <w:rPr>
        <w:rFonts w:ascii="Open Sans" w:hAnsi="Open Sans" w:cs="Open Sans"/>
        <w:i/>
        <w:iCs/>
        <w:color w:val="005DA2"/>
        <w:sz w:val="22"/>
        <w:szCs w:val="22"/>
      </w:rPr>
      <w:t>8</w:t>
    </w:r>
    <w:r>
      <w:rPr>
        <w:rFonts w:ascii="Open Sans" w:hAnsi="Open Sans" w:cs="Open Sans"/>
        <w:i/>
        <w:iCs/>
        <w:color w:val="005DA2"/>
        <w:sz w:val="22"/>
        <w:szCs w:val="22"/>
      </w:rPr>
      <w:t xml:space="preserve"> de </w:t>
    </w:r>
    <w:r w:rsidR="00B91DD6">
      <w:rPr>
        <w:rFonts w:ascii="Open Sans" w:hAnsi="Open Sans" w:cs="Open Sans"/>
        <w:i/>
        <w:iCs/>
        <w:color w:val="005DA2"/>
        <w:sz w:val="22"/>
        <w:szCs w:val="22"/>
      </w:rPr>
      <w:t>maio</w:t>
    </w:r>
    <w:r w:rsidR="000F511B">
      <w:rPr>
        <w:rFonts w:ascii="Open Sans" w:hAnsi="Open Sans" w:cs="Open Sans"/>
        <w:i/>
        <w:iCs/>
        <w:color w:val="005DA2"/>
        <w:sz w:val="22"/>
        <w:szCs w:val="22"/>
      </w:rPr>
      <w:t xml:space="preserve"> a </w:t>
    </w:r>
    <w:proofErr w:type="gramStart"/>
    <w:r w:rsidR="000F511B">
      <w:rPr>
        <w:rFonts w:ascii="Open Sans" w:hAnsi="Open Sans" w:cs="Open Sans"/>
        <w:i/>
        <w:iCs/>
        <w:color w:val="005DA2"/>
        <w:sz w:val="22"/>
        <w:szCs w:val="22"/>
      </w:rPr>
      <w:t>3</w:t>
    </w:r>
    <w:proofErr w:type="gramEnd"/>
    <w:r w:rsidR="000F511B">
      <w:rPr>
        <w:rFonts w:ascii="Open Sans" w:hAnsi="Open Sans" w:cs="Open Sans"/>
        <w:i/>
        <w:iCs/>
        <w:color w:val="005DA2"/>
        <w:sz w:val="22"/>
        <w:szCs w:val="22"/>
      </w:rPr>
      <w:t xml:space="preserve"> de junho</w:t>
    </w:r>
    <w:r>
      <w:rPr>
        <w:rFonts w:ascii="Open Sans" w:hAnsi="Open Sans" w:cs="Open Sans"/>
        <w:i/>
        <w:iCs/>
        <w:color w:val="005DA2"/>
        <w:sz w:val="22"/>
        <w:szCs w:val="22"/>
      </w:rPr>
      <w:t xml:space="preserve"> de 2022</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F511B"/>
    <w:rsid w:val="001134A7"/>
    <w:rsid w:val="0014225E"/>
    <w:rsid w:val="00155CB1"/>
    <w:rsid w:val="001A7589"/>
    <w:rsid w:val="001F5FCB"/>
    <w:rsid w:val="002644D3"/>
    <w:rsid w:val="00280F6F"/>
    <w:rsid w:val="00297624"/>
    <w:rsid w:val="004942E9"/>
    <w:rsid w:val="005475D2"/>
    <w:rsid w:val="0057542C"/>
    <w:rsid w:val="00577BB7"/>
    <w:rsid w:val="00585786"/>
    <w:rsid w:val="00653481"/>
    <w:rsid w:val="00677A33"/>
    <w:rsid w:val="006828CD"/>
    <w:rsid w:val="006B5C5F"/>
    <w:rsid w:val="0070613A"/>
    <w:rsid w:val="007C1D4F"/>
    <w:rsid w:val="007E2D43"/>
    <w:rsid w:val="00822ED2"/>
    <w:rsid w:val="00993A65"/>
    <w:rsid w:val="00A54900"/>
    <w:rsid w:val="00A72962"/>
    <w:rsid w:val="00AA28BD"/>
    <w:rsid w:val="00AB076D"/>
    <w:rsid w:val="00AD0FDD"/>
    <w:rsid w:val="00AE36C1"/>
    <w:rsid w:val="00B26D41"/>
    <w:rsid w:val="00B91DD6"/>
    <w:rsid w:val="00BC7E59"/>
    <w:rsid w:val="00CB10AA"/>
    <w:rsid w:val="00D45432"/>
    <w:rsid w:val="00E26AAD"/>
    <w:rsid w:val="00E91314"/>
    <w:rsid w:val="00ED73E7"/>
    <w:rsid w:val="00F17D49"/>
    <w:rsid w:val="00F640EF"/>
    <w:rsid w:val="00F76147"/>
    <w:rsid w:val="00F975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CorpoChar1">
    <w:name w:val="Corpo Char1"/>
    <w:uiPriority w:val="99"/>
    <w:locked/>
    <w:rsid w:val="000F511B"/>
    <w:rPr>
      <w:rFonts w:ascii="Courier New" w:eastAsiaTheme="minorEastAsia" w:hAnsi="Courier New" w:cs="Courier New"/>
      <w:color w:val="000000"/>
      <w:sz w:val="24"/>
      <w:szCs w:val="24"/>
      <w:lang w:val="en-US" w:eastAsia="pt-BR"/>
    </w:rPr>
  </w:style>
  <w:style w:type="character" w:styleId="HiperlinkVisitado">
    <w:name w:val="FollowedHyperlink"/>
    <w:basedOn w:val="Fontepargpadro"/>
    <w:uiPriority w:val="99"/>
    <w:semiHidden/>
    <w:unhideWhenUsed/>
    <w:rsid w:val="001422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CorpoChar1">
    <w:name w:val="Corpo Char1"/>
    <w:uiPriority w:val="99"/>
    <w:locked/>
    <w:rsid w:val="000F511B"/>
    <w:rPr>
      <w:rFonts w:ascii="Courier New" w:eastAsiaTheme="minorEastAsia" w:hAnsi="Courier New" w:cs="Courier New"/>
      <w:color w:val="000000"/>
      <w:sz w:val="24"/>
      <w:szCs w:val="24"/>
      <w:lang w:val="en-US" w:eastAsia="pt-BR"/>
    </w:rPr>
  </w:style>
  <w:style w:type="character" w:styleId="HiperlinkVisitado">
    <w:name w:val="FollowedHyperlink"/>
    <w:basedOn w:val="Fontepargpadro"/>
    <w:uiPriority w:val="99"/>
    <w:semiHidden/>
    <w:unhideWhenUsed/>
    <w:rsid w:val="00142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18&amp;digitoTst=04&amp;anoTst=2021&amp;orgaoTst=5&amp;tribunalTst=13&amp;varaTst=0000&amp;submit=Consultar" TargetMode="External"/><Relationship Id="rId13" Type="http://schemas.openxmlformats.org/officeDocument/2006/relationships/hyperlink" Target="https://consultaprocessual.tst.jus.br/consultaProcessual/consultaTstNumUnica.do?consulta=Consultar&amp;conscsjt=&amp;numeroTst=126&amp;digitoTst=49&amp;anoTst=2021&amp;orgaoTst=5&amp;tribunalTst=12&amp;varaTst=0036&amp;submit=Consultar" TargetMode="External"/><Relationship Id="rId18" Type="http://schemas.openxmlformats.org/officeDocument/2006/relationships/hyperlink" Target="https://consultaprocessual.tst.jus.br/consultaProcessual/consultaTstNumUnica.do?consulta=Consultar&amp;conscsjt=&amp;numeroTst=846&amp;digitoTst=83&amp;anoTst=2020&amp;orgaoTst=5&amp;tribunalTst=14&amp;varaTst=0007&amp;submit=Consultar"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mailto:cjur@tst.jus.br"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491&amp;digitoTst=34&amp;anoTst=2020&amp;orgaoTst=5&amp;tribunalTst=12&amp;varaTst=0038&amp;submit=Consultar" TargetMode="External"/><Relationship Id="rId17" Type="http://schemas.openxmlformats.org/officeDocument/2006/relationships/hyperlink" Target="https://consultaprocessual.tst.jus.br/consultaProcessual/consultaTstNumUnica.do?consulta=Consultar&amp;conscsjt=&amp;numeroTst=1239&amp;digitoTst=28&amp;anoTst=2012&amp;orgaoTst=5&amp;tribunalTst=15&amp;varaTst=0082&amp;submit=Consulta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445&amp;digitoTst=53&amp;anoTst=2018&amp;orgaoTst=5&amp;tribunalTst=17&amp;varaTst=0013&amp;submit=Consultar" TargetMode="External"/><Relationship Id="rId20" Type="http://schemas.openxmlformats.org/officeDocument/2006/relationships/hyperlink" Target="https://consultaprocessual.tst.jus.br/consultaProcessual/consultaTstNumUnica.do?consulta=Consultar&amp;conscsjt=&amp;numeroTst=993&amp;digitoTst=78&amp;anoTst=2018&amp;orgaoTst=5&amp;tribunalTst=07&amp;varaTst=0006&amp;submit=Consult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00315&amp;digitoTst=38&amp;anoTst=2017&amp;orgaoTst=5&amp;tribunalTst=01&amp;varaTst=0050&amp;submit=Consulta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1002309&amp;digitoTst=66&amp;anoTst=2016&amp;orgaoTst=5&amp;tribunalTst=02&amp;varaTst=0088&amp;submit=Consultar" TargetMode="External"/><Relationship Id="rId23" Type="http://schemas.openxmlformats.org/officeDocument/2006/relationships/hyperlink" Target="http://www.tst.jus.br/push" TargetMode="External"/><Relationship Id="rId28" Type="http://schemas.openxmlformats.org/officeDocument/2006/relationships/fontTable" Target="fontTable.xml"/><Relationship Id="rId10" Type="http://schemas.openxmlformats.org/officeDocument/2006/relationships/hyperlink" Target="https://consultaprocessual.tst.jus.br/consultaProcessual/consultaTstNumUnica.do?consulta=Consultar&amp;conscsjt=&amp;numeroTst=1000580&amp;digitoTst=48&amp;anoTst=2017&amp;orgaoTst=5&amp;tribunalTst=02&amp;varaTst=0321&amp;submit=Consultar" TargetMode="External"/><Relationship Id="rId19" Type="http://schemas.openxmlformats.org/officeDocument/2006/relationships/hyperlink" Target="https://consultaprocessual.tst.jus.br/consultaProcessual/consultaTstNumUnica.do?consulta=Consultar&amp;conscsjt=&amp;numeroTst=10730&amp;digitoTst=74&amp;anoTst=2018&amp;orgaoTst=5&amp;tribunalTst=03&amp;varaTst=0020&amp;submit=Consultar" TargetMode="Externa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0879&amp;digitoTst=28&amp;anoTst=2021&amp;orgaoTst=5&amp;tribunalTst=03&amp;varaTst=0000&amp;submit=Consultar" TargetMode="External"/><Relationship Id="rId14" Type="http://schemas.openxmlformats.org/officeDocument/2006/relationships/hyperlink" Target="https://consultaprocessual.tst.jus.br/consultaProcessual/resumoForm.do?consulta=1&amp;numeroInt=354049&amp;anoInt=2020" TargetMode="External"/><Relationship Id="rId22" Type="http://schemas.openxmlformats.org/officeDocument/2006/relationships/hyperlink" Target="http://www.tst.jus.br/web/guest/informativo-tst"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B7E9-EF96-4764-BC7D-4DD14CED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7006</Words>
  <Characters>37834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Rodrigo Milan Yamaguti</cp:lastModifiedBy>
  <cp:revision>39</cp:revision>
  <dcterms:created xsi:type="dcterms:W3CDTF">2022-05-02T22:13:00Z</dcterms:created>
  <dcterms:modified xsi:type="dcterms:W3CDTF">2022-06-08T19:43:00Z</dcterms:modified>
</cp:coreProperties>
</file>