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276468" w:rsidRDefault="00730CC7" w:rsidP="00DC50EB">
            <w:pPr>
              <w:pStyle w:val="Cabealho"/>
              <w:tabs>
                <w:tab w:val="clear" w:pos="4419"/>
                <w:tab w:val="clear" w:pos="8838"/>
              </w:tabs>
              <w:jc w:val="both"/>
            </w:pPr>
          </w:p>
        </w:tc>
      </w:tr>
    </w:tbl>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rsidR="00654B75" w:rsidRPr="00654B75" w:rsidRDefault="00654B75" w:rsidP="00654B75">
      <w:pPr>
        <w:pStyle w:val="Identificao"/>
        <w:rPr>
          <w:rFonts w:ascii="Times New Roman" w:eastAsiaTheme="minorHAnsi" w:hAnsi="Times New Roman" w:cs="Times New Roman"/>
          <w:b/>
          <w:i/>
          <w:color w:val="auto"/>
          <w:sz w:val="20"/>
          <w:szCs w:val="20"/>
          <w:lang w:val="pt-BR" w:eastAsia="en-US"/>
        </w:rPr>
      </w:pPr>
    </w:p>
    <w:p w:rsidR="00365738" w:rsidRDefault="00365738" w:rsidP="00365738">
      <w:pPr>
        <w:jc w:val="both"/>
        <w:rPr>
          <w:b/>
          <w:i/>
          <w:sz w:val="24"/>
          <w:szCs w:val="24"/>
        </w:rPr>
      </w:pPr>
      <w:r>
        <w:rPr>
          <w:b/>
          <w:i/>
          <w:sz w:val="24"/>
          <w:szCs w:val="24"/>
        </w:rPr>
        <w:t>Ação civil pública. Município. Implementação de políticas públicas para prevenção e erradicação do trabalho infantil. Omissão do administrador público.</w:t>
      </w:r>
      <w:r w:rsidRPr="00DF75F5">
        <w:t xml:space="preserve"> </w:t>
      </w:r>
      <w:r w:rsidRPr="00DF75F5">
        <w:rPr>
          <w:b/>
          <w:i/>
          <w:sz w:val="24"/>
          <w:szCs w:val="24"/>
        </w:rPr>
        <w:t>Competência material da Justiça do Trabalho.</w:t>
      </w:r>
      <w:r>
        <w:rPr>
          <w:b/>
          <w:i/>
          <w:sz w:val="24"/>
          <w:szCs w:val="24"/>
        </w:rPr>
        <w:t xml:space="preserve"> </w:t>
      </w:r>
    </w:p>
    <w:p w:rsidR="00365738" w:rsidRPr="00922E7F" w:rsidRDefault="00365738" w:rsidP="00365738">
      <w:pPr>
        <w:jc w:val="both"/>
        <w:rPr>
          <w:b/>
          <w:i/>
          <w:sz w:val="24"/>
          <w:szCs w:val="24"/>
        </w:rPr>
      </w:pPr>
      <w:r>
        <w:rPr>
          <w:sz w:val="24"/>
          <w:szCs w:val="24"/>
        </w:rPr>
        <w:t xml:space="preserve">A Justiça do Trabalho é competente para apreciar e julgar </w:t>
      </w:r>
      <w:r w:rsidRPr="00E24863">
        <w:rPr>
          <w:sz w:val="24"/>
          <w:szCs w:val="24"/>
        </w:rPr>
        <w:t>ação civil pública objetivando que o município implemente políticas públicas</w:t>
      </w:r>
      <w:r>
        <w:rPr>
          <w:sz w:val="24"/>
          <w:szCs w:val="24"/>
        </w:rPr>
        <w:t xml:space="preserve"> constitucionalmente previstas</w:t>
      </w:r>
      <w:r w:rsidRPr="00E24863">
        <w:rPr>
          <w:sz w:val="24"/>
          <w:szCs w:val="24"/>
        </w:rPr>
        <w:t xml:space="preserve"> </w:t>
      </w:r>
      <w:r>
        <w:rPr>
          <w:sz w:val="24"/>
          <w:szCs w:val="24"/>
        </w:rPr>
        <w:t>para prevenir e</w:t>
      </w:r>
      <w:r w:rsidRPr="00922E7F">
        <w:rPr>
          <w:sz w:val="24"/>
          <w:szCs w:val="24"/>
        </w:rPr>
        <w:t xml:space="preserve"> erradicar o trabalho infantil</w:t>
      </w:r>
      <w:r>
        <w:rPr>
          <w:sz w:val="24"/>
          <w:szCs w:val="24"/>
        </w:rPr>
        <w:t xml:space="preserve">. </w:t>
      </w:r>
      <w:r w:rsidRPr="009B296C">
        <w:rPr>
          <w:sz w:val="24"/>
          <w:szCs w:val="24"/>
        </w:rPr>
        <w:t>Prevaleceu o entendimento de que a competência inscrita no art. 114 da Constituição da República não se limita aos casos de relação de em</w:t>
      </w:r>
      <w:r w:rsidR="00207106">
        <w:rPr>
          <w:sz w:val="24"/>
          <w:szCs w:val="24"/>
        </w:rPr>
        <w:t>prego existente,</w:t>
      </w:r>
      <w:r w:rsidRPr="009B296C">
        <w:rPr>
          <w:sz w:val="24"/>
          <w:szCs w:val="24"/>
        </w:rPr>
        <w:t xml:space="preserve"> </w:t>
      </w:r>
      <w:r w:rsidR="000363AF">
        <w:rPr>
          <w:sz w:val="24"/>
          <w:szCs w:val="24"/>
        </w:rPr>
        <w:t>abrangendo, também,</w:t>
      </w:r>
      <w:r w:rsidR="000363AF" w:rsidRPr="009B296C">
        <w:rPr>
          <w:sz w:val="24"/>
          <w:szCs w:val="24"/>
        </w:rPr>
        <w:t xml:space="preserve"> o exame d</w:t>
      </w:r>
      <w:r w:rsidR="000363AF">
        <w:rPr>
          <w:sz w:val="24"/>
          <w:szCs w:val="24"/>
        </w:rPr>
        <w:t xml:space="preserve">e questões relativas ao direito subjetivo das crianças ao não trabalho, </w:t>
      </w:r>
      <w:r w:rsidR="000363AF" w:rsidRPr="009B296C">
        <w:rPr>
          <w:sz w:val="24"/>
          <w:szCs w:val="24"/>
        </w:rPr>
        <w:t>tutela</w:t>
      </w:r>
      <w:r w:rsidR="000363AF">
        <w:rPr>
          <w:sz w:val="24"/>
          <w:szCs w:val="24"/>
        </w:rPr>
        <w:t xml:space="preserve"> ora</w:t>
      </w:r>
      <w:r w:rsidR="000363AF" w:rsidRPr="009B296C">
        <w:rPr>
          <w:sz w:val="24"/>
          <w:szCs w:val="24"/>
        </w:rPr>
        <w:t xml:space="preserve"> pretendida</w:t>
      </w:r>
      <w:r w:rsidR="000363AF">
        <w:rPr>
          <w:sz w:val="24"/>
          <w:szCs w:val="24"/>
        </w:rPr>
        <w:t xml:space="preserve"> pelo Ministério Pú</w:t>
      </w:r>
      <w:r w:rsidR="00D923CB">
        <w:rPr>
          <w:sz w:val="24"/>
          <w:szCs w:val="24"/>
        </w:rPr>
        <w:t>blico do Trabalho.</w:t>
      </w:r>
      <w:r w:rsidR="009C075A">
        <w:rPr>
          <w:sz w:val="24"/>
          <w:szCs w:val="24"/>
        </w:rPr>
        <w:t xml:space="preserve"> </w:t>
      </w:r>
      <w:r>
        <w:rPr>
          <w:sz w:val="24"/>
          <w:szCs w:val="24"/>
        </w:rPr>
        <w:t>Destacou</w:t>
      </w:r>
      <w:r w:rsidRPr="00B86EC5">
        <w:rPr>
          <w:sz w:val="24"/>
          <w:szCs w:val="24"/>
        </w:rPr>
        <w:t>-se</w:t>
      </w:r>
      <w:r>
        <w:rPr>
          <w:sz w:val="24"/>
          <w:szCs w:val="24"/>
        </w:rPr>
        <w:t>, ainda,</w:t>
      </w:r>
      <w:r w:rsidRPr="00B86EC5">
        <w:rPr>
          <w:sz w:val="24"/>
          <w:szCs w:val="24"/>
        </w:rPr>
        <w:t xml:space="preserve"> que as omissões inconstitucionais do administrador público inserem-se na função típica do Poder Judiciário</w:t>
      </w:r>
      <w:r>
        <w:rPr>
          <w:sz w:val="24"/>
          <w:szCs w:val="24"/>
        </w:rPr>
        <w:t>, que poderá intervir na implantação de políticas públicas direcionadas à concretização de direitos fundamentais</w:t>
      </w:r>
      <w:r w:rsidRPr="00B86EC5">
        <w:rPr>
          <w:sz w:val="24"/>
          <w:szCs w:val="24"/>
        </w:rPr>
        <w:t>.</w:t>
      </w:r>
      <w:r>
        <w:rPr>
          <w:sz w:val="24"/>
          <w:szCs w:val="24"/>
        </w:rPr>
        <w:t xml:space="preserve"> </w:t>
      </w:r>
      <w:r w:rsidRPr="00466539">
        <w:rPr>
          <w:sz w:val="24"/>
          <w:szCs w:val="24"/>
        </w:rPr>
        <w:t>Sob esse</w:t>
      </w:r>
      <w:r>
        <w:rPr>
          <w:sz w:val="24"/>
          <w:szCs w:val="24"/>
        </w:rPr>
        <w:t>s</w:t>
      </w:r>
      <w:r w:rsidRPr="00466539">
        <w:rPr>
          <w:sz w:val="24"/>
          <w:szCs w:val="24"/>
        </w:rPr>
        <w:t xml:space="preserve"> fun</w:t>
      </w:r>
      <w:r>
        <w:rPr>
          <w:sz w:val="24"/>
          <w:szCs w:val="24"/>
        </w:rPr>
        <w:t xml:space="preserve">damentos, a SBDI-I, por unanimidade, conheceu </w:t>
      </w:r>
      <w:r w:rsidRPr="00940241">
        <w:rPr>
          <w:sz w:val="24"/>
          <w:szCs w:val="24"/>
        </w:rPr>
        <w:t>dos embargos por divergência jurisprudencial</w:t>
      </w:r>
      <w:r>
        <w:rPr>
          <w:sz w:val="24"/>
          <w:szCs w:val="24"/>
        </w:rPr>
        <w:t xml:space="preserve"> e, no mérito, por maioria, deu-</w:t>
      </w:r>
      <w:r w:rsidRPr="00940241">
        <w:rPr>
          <w:sz w:val="24"/>
          <w:szCs w:val="24"/>
        </w:rPr>
        <w:t>lhe</w:t>
      </w:r>
      <w:r>
        <w:rPr>
          <w:sz w:val="24"/>
          <w:szCs w:val="24"/>
        </w:rPr>
        <w:t>s</w:t>
      </w:r>
      <w:r w:rsidRPr="00940241">
        <w:rPr>
          <w:sz w:val="24"/>
          <w:szCs w:val="24"/>
        </w:rPr>
        <w:t xml:space="preserve"> parcial provimento para afastar a declaração de incompetência da Justiça do Trabalho apenas quanto aos pedidos relativos à elaboração e implementação de políticas públicas pelo Município</w:t>
      </w:r>
      <w:r>
        <w:rPr>
          <w:sz w:val="24"/>
          <w:szCs w:val="24"/>
        </w:rPr>
        <w:t xml:space="preserve"> de Campo Largo</w:t>
      </w:r>
      <w:r w:rsidRPr="00940241">
        <w:rPr>
          <w:sz w:val="24"/>
          <w:szCs w:val="24"/>
        </w:rPr>
        <w:t xml:space="preserve"> para combate e e</w:t>
      </w:r>
      <w:r>
        <w:rPr>
          <w:sz w:val="24"/>
          <w:szCs w:val="24"/>
        </w:rPr>
        <w:t>rradicação do trabalho infantil, mantida a declaração de incompetência quanto aos pedidos relativos à elaboração e implementação de políticas públicas para educação e profissionalização de crianças e adolescentes. V</w:t>
      </w:r>
      <w:r w:rsidRPr="00940241">
        <w:rPr>
          <w:sz w:val="24"/>
          <w:szCs w:val="24"/>
        </w:rPr>
        <w:t>encidos, totalmente, os Ministros Maria Cristina Irigoyen Peduzzi, relatora, Márcio Eurico Vitral Amaro, Walmir Oliveira da Costa, Alexandre Luiz Ramos e João Batista Brito Pereira, que negavam provimento aos embargos, e, parcialmente, o Ministro Lelio Bentes Corrê</w:t>
      </w:r>
      <w:r>
        <w:rPr>
          <w:sz w:val="24"/>
          <w:szCs w:val="24"/>
        </w:rPr>
        <w:t>a, que dava total provimento ao</w:t>
      </w:r>
      <w:r w:rsidRPr="00940241">
        <w:rPr>
          <w:sz w:val="24"/>
          <w:szCs w:val="24"/>
        </w:rPr>
        <w:t xml:space="preserve"> </w:t>
      </w:r>
      <w:r>
        <w:rPr>
          <w:sz w:val="24"/>
          <w:szCs w:val="24"/>
        </w:rPr>
        <w:t>recurso</w:t>
      </w:r>
      <w:r w:rsidRPr="00033DFA">
        <w:rPr>
          <w:sz w:val="24"/>
          <w:szCs w:val="24"/>
        </w:rPr>
        <w:t xml:space="preserve">. </w:t>
      </w:r>
      <w:hyperlink r:id="rId9" w:history="1">
        <w:r w:rsidRPr="00033DFA">
          <w:rPr>
            <w:rStyle w:val="Hyperlink"/>
            <w:sz w:val="24"/>
            <w:szCs w:val="24"/>
          </w:rPr>
          <w:t>TST-E-RR-44-64.2013</w:t>
        </w:r>
        <w:r w:rsidRPr="00033DFA">
          <w:rPr>
            <w:rStyle w:val="Hyperlink"/>
            <w:sz w:val="24"/>
            <w:szCs w:val="24"/>
          </w:rPr>
          <w:t>.</w:t>
        </w:r>
        <w:r w:rsidRPr="00033DFA">
          <w:rPr>
            <w:rStyle w:val="Hyperlink"/>
            <w:sz w:val="24"/>
            <w:szCs w:val="24"/>
          </w:rPr>
          <w:t>5.0</w:t>
        </w:r>
        <w:r w:rsidRPr="00033DFA">
          <w:rPr>
            <w:rStyle w:val="Hyperlink"/>
            <w:sz w:val="24"/>
            <w:szCs w:val="24"/>
          </w:rPr>
          <w:t>9</w:t>
        </w:r>
        <w:r w:rsidRPr="00033DFA">
          <w:rPr>
            <w:rStyle w:val="Hyperlink"/>
            <w:sz w:val="24"/>
            <w:szCs w:val="24"/>
          </w:rPr>
          <w:t>.0009</w:t>
        </w:r>
      </w:hyperlink>
      <w:r w:rsidRPr="00370369">
        <w:rPr>
          <w:sz w:val="24"/>
          <w:szCs w:val="24"/>
          <w:u w:val="single"/>
        </w:rPr>
        <w:t xml:space="preserve">, SBDI-I, red. p/ acórdão Min. Alberto Luiz Bresciani de Fontan Pereira, </w:t>
      </w:r>
      <w:r>
        <w:rPr>
          <w:sz w:val="24"/>
          <w:szCs w:val="24"/>
          <w:u w:val="single"/>
        </w:rPr>
        <w:t>6/8/2020</w:t>
      </w:r>
      <w:r w:rsidRPr="00370369">
        <w:rPr>
          <w:sz w:val="24"/>
          <w:szCs w:val="24"/>
          <w:u w:val="single"/>
        </w:rPr>
        <w:t>.</w:t>
      </w:r>
    </w:p>
    <w:p w:rsidR="00365738" w:rsidRPr="00D14A65" w:rsidRDefault="00365738" w:rsidP="00365738">
      <w:pPr>
        <w:jc w:val="both"/>
        <w:outlineLvl w:val="0"/>
        <w:rPr>
          <w:rFonts w:eastAsiaTheme="minorEastAsia"/>
          <w:b/>
          <w:i/>
          <w:color w:val="000000"/>
        </w:rPr>
      </w:pPr>
    </w:p>
    <w:p w:rsidR="00365738" w:rsidRPr="00033DFA" w:rsidRDefault="00365738" w:rsidP="00365738">
      <w:pPr>
        <w:ind w:right="-74"/>
        <w:jc w:val="both"/>
        <w:rPr>
          <w:b/>
          <w:i/>
          <w:sz w:val="24"/>
          <w:szCs w:val="24"/>
        </w:rPr>
      </w:pPr>
      <w:r w:rsidRPr="00033DFA">
        <w:rPr>
          <w:b/>
          <w:i/>
          <w:sz w:val="24"/>
          <w:szCs w:val="24"/>
        </w:rPr>
        <w:t xml:space="preserve">Comércio varejista de supermercados e hipermercados. Fixação de jornada de trabalho aos feriados. Autorização em convenção coletiva. Imprescindibilidade. </w:t>
      </w:r>
    </w:p>
    <w:p w:rsidR="00365738" w:rsidRDefault="00365738" w:rsidP="00365738">
      <w:pPr>
        <w:ind w:right="-74"/>
        <w:jc w:val="both"/>
        <w:rPr>
          <w:sz w:val="24"/>
          <w:szCs w:val="24"/>
          <w:u w:val="single"/>
        </w:rPr>
      </w:pPr>
      <w:r w:rsidRPr="00033DFA">
        <w:rPr>
          <w:sz w:val="24"/>
          <w:szCs w:val="24"/>
        </w:rPr>
        <w:t>É permitida a fixação de jornada de trabalho aos feriados no comércio varejista de supermercados e hipermercados, desde que haja prévia aut</w:t>
      </w:r>
      <w:r w:rsidR="009F481B">
        <w:rPr>
          <w:sz w:val="24"/>
          <w:szCs w:val="24"/>
        </w:rPr>
        <w:t xml:space="preserve">orização em convenção coletiva e seja </w:t>
      </w:r>
      <w:r w:rsidRPr="00033DFA">
        <w:rPr>
          <w:sz w:val="24"/>
          <w:szCs w:val="24"/>
        </w:rPr>
        <w:t xml:space="preserve">observada a legislação municipal, conforme preconiza o artigo 6º-A da Lei nº 10.101/2000. Nesse sentido, ainda que o Decreto nº 9.127/2017 tenha inserido o comércio varejista de supermercados e hipermercados no rol de atividades autorizadas a funcionar continuadamente, permanece a exigência de negociação coletiva por se tratar de regra prevista em lei, cuja regulamentação, materializada no decreto, não pode inovar no ordenamento jurídico, sob pena de ofensa ao princípio da separação de Poderes e quebra da coerência do sistema normativo brasileiro. Com esses fundamentos, a SBDI-I, por unanimidade, conheceu do recurso de embargos por divergência jurisprudencial e, no mérito, por maioria, negou-lhe provimento, vencidos os Exmos. Ministros Renato de Lacerda Paiva, Hugo Carlos Scheuermann, Aloysio Corrêa da Veiga, Alexandre Luiz Ramos e Maria Cristina Irigoyen </w:t>
      </w:r>
      <w:r w:rsidRPr="00033DFA">
        <w:rPr>
          <w:sz w:val="24"/>
          <w:szCs w:val="24"/>
        </w:rPr>
        <w:lastRenderedPageBreak/>
        <w:t xml:space="preserve">Peduzzi. </w:t>
      </w:r>
      <w:hyperlink r:id="rId10" w:history="1">
        <w:r w:rsidRPr="00033DFA">
          <w:rPr>
            <w:rStyle w:val="Hyperlink"/>
            <w:sz w:val="24"/>
            <w:szCs w:val="24"/>
          </w:rPr>
          <w:t>TST-E-ED-ED-RR-266-67.2012.5.04.0571</w:t>
        </w:r>
      </w:hyperlink>
      <w:r w:rsidRPr="00033DFA">
        <w:rPr>
          <w:sz w:val="24"/>
          <w:szCs w:val="24"/>
          <w:u w:val="single"/>
        </w:rPr>
        <w:t>, SBDI-I, rel. Min. José Roberto Freire Pimenta, 6/8/2020.</w:t>
      </w:r>
    </w:p>
    <w:p w:rsidR="005848D7" w:rsidRPr="00512D1B" w:rsidRDefault="005848D7" w:rsidP="001144F9">
      <w:pPr>
        <w:spacing w:line="360" w:lineRule="auto"/>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512D1B" w:rsidRDefault="004B3120" w:rsidP="001144F9">
      <w:pPr>
        <w:jc w:val="both"/>
        <w:outlineLvl w:val="0"/>
        <w:rPr>
          <w:rFonts w:eastAsiaTheme="minorEastAsia"/>
          <w:color w:val="000000"/>
        </w:rPr>
      </w:pPr>
      <w:bookmarkStart w:id="0" w:name="Ementa"/>
      <w:bookmarkStart w:id="1" w:name="tempEmenta"/>
    </w:p>
    <w:p w:rsidR="00365738" w:rsidRPr="00033DFA" w:rsidRDefault="00365738" w:rsidP="00365738">
      <w:pPr>
        <w:jc w:val="both"/>
        <w:outlineLvl w:val="0"/>
        <w:rPr>
          <w:rFonts w:eastAsiaTheme="minorEastAsia"/>
          <w:b/>
          <w:color w:val="000000"/>
          <w:sz w:val="24"/>
          <w:szCs w:val="24"/>
        </w:rPr>
      </w:pPr>
      <w:r w:rsidRPr="00033DFA">
        <w:rPr>
          <w:sz w:val="24"/>
          <w:szCs w:val="24"/>
        </w:rPr>
        <w:t>“[...] ACORDO COLETIVO. PARTICIPAÇÃO NOS LUCROS E RESULTADOS COM BASE NO LUCRO LÍQUIDO DO ANO DE 2012. ALTERAÇÃO NOS CRITÉRIOS CONTÁBEIS DE APURAÇÃO DO LUCRO LÍQUIDO. MAJORAÇÃO. DIFERENÇAS DEVIDAS. Discute-se nos autos se é devida diferença de PLR do ano de 2012 aos empregados do banco reclamado, pelo fato de ter sido constatada a majoração do lucro líquido em face da alteração nos critérios contábeis de sua apuração. Conforme se observa na decisão recorrida, a Corte regional rejeitou o pedido de pagamento das diferenças de PLR do ano de 2012, sob o fundamento de que, "tendo a PLR 2012 como critério de cálculo o lucro líquido da reclamada no exercício de 2012, entendo que as diferenças do lucro líquido de 2012 apuradas pela aplicação da Deliberação CVM nº 695/12 não merecem integrar a base de cálculo da PLR 2012 paga, uma vez que os critérios da mencionada Deliberação somente atingiram os exercícios iniciados em 01/01/13, ou seja, não atingiram o exercício de 2012". Ressalta-se que consta do próprio acórdão regional que “é incontroverso nos autos o pagamento da parcela PLR aos empregados do Reclamado. Igualmente incontroverso que, por determinação da Comissão de Valores Mobiliários, decorrentes da Deliberação n. 695, as demonstrações financeiras de 2012 tiveram que ser reapresentadas, juntamente com as demonstrações de 2013, para fins de comparação, espelhando um lucro líquido acrescido de R$ 312.129.000,00, em razão do ajuste com base na modificação da política contábil de apuração dos benefícios pós-emprego”. Além disso, o voto vencido, que integra o acórdão regional para efeito de prequestionamento, nos termos do § 3º do artigo 941 do CPC/2015, registrou que tal apuração de diferenças de lucros líquidos do ano de 2012 gerou o pagamento de dividendos aos acionistas. Destaca-se que a mudança na forma de apuração contábil, por si só, não é suficiente para afastar a premissa de acréscimo na quantia identificada como lucro líquido, na medida em que a reapresentação dos balanços financeiros decorreu de deliberação da Comissão de Valores Mobiliários, para fins de adequação à política contábil obrigatória. Ou seja, infere-se que o valor anteriormente identificado como lucro líquido pelo empregador estava em desconformidade com a política contábil obrigatória e, ao se adequar à determinação da CVM, revelou-se quantia superior, motivo pelo qual se impõem os reflexos sobre a parcela de participação nos lucros e resultados devidos aos empregados. Assim, pautando-se na premissa fática de que efetivamente houve majoração do lucro líquido do empregador, em face da reapresentação de balanços financeiros, o deferimento aos empregados de diferenças decorrentes de reflexos sobre a parcela de participação nos lucros e resultados é medida que se impõe (precedentes). Recurso de revista conhecido e provido.” (</w:t>
      </w:r>
      <w:hyperlink r:id="rId11" w:history="1">
        <w:r w:rsidRPr="00EB541E">
          <w:rPr>
            <w:rStyle w:val="Hyperlink"/>
            <w:sz w:val="24"/>
            <w:szCs w:val="24"/>
          </w:rPr>
          <w:t>ARR 1973-54.2014.5.03.0013</w:t>
        </w:r>
      </w:hyperlink>
      <w:r w:rsidRPr="00EB541E">
        <w:rPr>
          <w:bCs/>
          <w:sz w:val="24"/>
          <w:szCs w:val="24"/>
        </w:rPr>
        <w:t>,</w:t>
      </w:r>
      <w:r w:rsidRPr="00EB541E">
        <w:rPr>
          <w:sz w:val="24"/>
          <w:szCs w:val="24"/>
        </w:rPr>
        <w:t xml:space="preserve"> 2ª Turma, rel. Min. José Roberto Freire Pimenta, julgado em 5/8/2020.)</w:t>
      </w:r>
    </w:p>
    <w:p w:rsidR="00365738" w:rsidRPr="00D14A65" w:rsidRDefault="00365738" w:rsidP="00365738">
      <w:pPr>
        <w:jc w:val="both"/>
        <w:outlineLvl w:val="0"/>
      </w:pPr>
    </w:p>
    <w:p w:rsidR="00365738" w:rsidRPr="00033DFA" w:rsidRDefault="00365738" w:rsidP="00365738">
      <w:pPr>
        <w:jc w:val="both"/>
        <w:outlineLvl w:val="0"/>
        <w:rPr>
          <w:rFonts w:eastAsiaTheme="minorEastAsia"/>
          <w:b/>
          <w:color w:val="000000"/>
          <w:sz w:val="24"/>
          <w:szCs w:val="24"/>
        </w:rPr>
      </w:pPr>
      <w:r w:rsidRPr="00033DFA">
        <w:rPr>
          <w:sz w:val="24"/>
          <w:szCs w:val="24"/>
        </w:rPr>
        <w:t xml:space="preserve">“[...] 1. ESTABILIDADE PROVISÓRIA. CONTRATO POR PRAZO DETERMINADO. GRAVIDEZ NO CURSO DO CONTRATO POR PRAZO DETERMINADO. SÚMULA Nº 244, III, DO TST. TEMA 497 DA REPERCUSSÃO GERAL DO STF. EFEITO VINCULANTE E EFICÁCIA ERGA OMNES. APLICAÇÃO OBRIGATÓRIA DA TESE ATÉ A ESTABILIZAÇÃO DA COISA JULGADA (TEMA 360 DA REPERCUSSÃO GERAL). I) Segundo o entendimento consagrado no item III da Súmula n° 244 do TST, </w:t>
      </w:r>
      <w:r w:rsidRPr="00B06903">
        <w:rPr>
          <w:i/>
          <w:sz w:val="24"/>
          <w:szCs w:val="24"/>
        </w:rPr>
        <w:t>“a empregada gestante tem direito à estabilidade provisória prevista no art. 10, inciso II, alínea "b", do Ato das Disposições Constitucionais Transitórias, mesmo na hipótese de admissão mediante contrato por tempo determinado”</w:t>
      </w:r>
      <w:r w:rsidRPr="00033DFA">
        <w:rPr>
          <w:sz w:val="24"/>
          <w:szCs w:val="24"/>
        </w:rPr>
        <w:t xml:space="preserve">. Sobre o tema, a jurisprudência desta Corte Superior é no sentido de que a circunstância de ter sido a empregada admitida mediante contrato de aprendizagem, por prazo determinado, não constitui impedimento para que se reconheça a estabilidade provisória de que trata </w:t>
      </w:r>
      <w:r w:rsidRPr="00033DFA">
        <w:rPr>
          <w:sz w:val="24"/>
          <w:szCs w:val="24"/>
        </w:rPr>
        <w:lastRenderedPageBreak/>
        <w:t>o art. 10, II, “b”, do ADCT. II)</w:t>
      </w:r>
      <w:r w:rsidR="00E0732C">
        <w:rPr>
          <w:sz w:val="24"/>
          <w:szCs w:val="24"/>
        </w:rPr>
        <w:t xml:space="preserve"> </w:t>
      </w:r>
      <w:r w:rsidRPr="00033DFA">
        <w:rPr>
          <w:sz w:val="24"/>
          <w:szCs w:val="24"/>
        </w:rPr>
        <w:t>A discussão quanto ao direito à estabilid</w:t>
      </w:r>
      <w:r w:rsidR="00E0732C">
        <w:rPr>
          <w:sz w:val="24"/>
          <w:szCs w:val="24"/>
        </w:rPr>
        <w:t xml:space="preserve">ade provisória à </w:t>
      </w:r>
      <w:r w:rsidRPr="00033DFA">
        <w:rPr>
          <w:sz w:val="24"/>
          <w:szCs w:val="24"/>
        </w:rPr>
        <w:t xml:space="preserve">gestante contratada por prazo determinado, na modalidade de contrato de aprendizagem, encontra-se superada em virtude da tese firmada pelo Supremo Tribunal Federal quando do julgamento do RE 629.053/SP, em 10/10/2018, com a seguinte redação: </w:t>
      </w:r>
      <w:r w:rsidRPr="003F0EC9">
        <w:rPr>
          <w:i/>
          <w:sz w:val="24"/>
          <w:szCs w:val="24"/>
        </w:rPr>
        <w:t>A incidência da estabilidade prevista no art. 10, inc. II, do ADCT, somente exige a anterioridade da gravidez à dispensa sem justa causa.</w:t>
      </w:r>
      <w:r w:rsidRPr="00033DFA">
        <w:rPr>
          <w:sz w:val="24"/>
          <w:szCs w:val="24"/>
        </w:rPr>
        <w:t xml:space="preserve"> III) A decisão do Supremo Tribunal Federal no Tema 497 é de clareza ofuscante quanto elege como pressupostos da estabilidade da gestante (1) a anterioridade do fator biológico da gravidez à terminação do contrato e (2) dispensa sem justa causa, ou seja, afastando a estabilidade das outras formas de terminação do contrato de trabalho. Resta evidente que o STF optou por proteger a empregada grávida contra a </w:t>
      </w:r>
      <w:r w:rsidRPr="00081BA1">
        <w:rPr>
          <w:sz w:val="24"/>
          <w:szCs w:val="24"/>
          <w:u w:val="single"/>
        </w:rPr>
        <w:t>dispensa sem justa causa</w:t>
      </w:r>
      <w:r w:rsidRPr="00033DFA">
        <w:rPr>
          <w:sz w:val="24"/>
          <w:szCs w:val="24"/>
        </w:rPr>
        <w:t xml:space="preserve"> – como ato de vontade do empregador de rescindir o contrato sem imputação de justa causa à empregada -, excluindo outras formas de terminação do contrato, como pedido de demissão, a dispensa por justa causa, a terminação do contrato por prazo determinado, entre outras. IV) O conceito de estabilidade, tão festejado nos fundamentos do julgamento do Tema 497 da repercussão geral, diz respeito à impossibilidade de terminação do contrato de trabalho por ato imotivado do empregador, não afastando que o contrato termine por outras causas, nas quais há manifestação de vontade do empregado, como no caso do pedido de demissão (a manifestação de vontade se dá no fim do contrato) ou nos contratos por prazo determinado e no contrato de trabalho temporário (a manifestação de vontade do empregado já ocorreu no início do contrato). Assim, na</w:t>
      </w:r>
      <w:r w:rsidR="00E0732C">
        <w:rPr>
          <w:sz w:val="24"/>
          <w:szCs w:val="24"/>
        </w:rPr>
        <w:t xml:space="preserve"> hipótese de admissão mediante </w:t>
      </w:r>
      <w:r w:rsidRPr="00033DFA">
        <w:rPr>
          <w:sz w:val="24"/>
          <w:szCs w:val="24"/>
        </w:rPr>
        <w:t>contrato por prazo determinado, não há direito à garantia provisória de emprego prevista no art. 10, inciso II, alínea “b”, do ADCT. Superação do item III da Súmula 244 do TST pelo advento da tese do Tema 497 da repercussão geral do Supremo Tribunal Federal, em julgamento realizado no RE 629.053, na Sessão Plenária de 10/10/2018. V) A tese fixada pelo Plenário do STF, em sistemática de repercussão geral, deve ser aplicada pelos demais órgãos do Poder Judiciário até a estabilização da coisa julgada, sob pena de formação de coisa julgada inconstitucional (vício qualificado de inconstitucionalidade), passível de ter sua exigibilidade contestada na fase de execução (CPC, art. 525, § 1º, III), conforme Tem</w:t>
      </w:r>
      <w:r w:rsidR="0078029B">
        <w:rPr>
          <w:sz w:val="24"/>
          <w:szCs w:val="24"/>
        </w:rPr>
        <w:t>a 360 da repercussão geral. VI)</w:t>
      </w:r>
      <w:r w:rsidR="0093288D">
        <w:rPr>
          <w:sz w:val="24"/>
          <w:szCs w:val="24"/>
        </w:rPr>
        <w:t xml:space="preserve"> Recurso de revista de que não </w:t>
      </w:r>
      <w:r w:rsidRPr="00033DFA">
        <w:rPr>
          <w:sz w:val="24"/>
          <w:szCs w:val="24"/>
        </w:rPr>
        <w:t>se conhece.” (</w:t>
      </w:r>
      <w:bookmarkStart w:id="2" w:name="NumProc"/>
      <w:r>
        <w:rPr>
          <w:sz w:val="24"/>
          <w:szCs w:val="24"/>
          <w:u w:val="single"/>
        </w:rPr>
        <w:fldChar w:fldCharType="begin"/>
      </w:r>
      <w:r>
        <w:rPr>
          <w:sz w:val="24"/>
          <w:szCs w:val="24"/>
          <w:u w:val="single"/>
        </w:rPr>
        <w:instrText xml:space="preserve"> HYPERLINK "http://aplicacao4.tst.jus.br/consultaProcessual/resumoForm.do?consulta=1&amp;numeroInt=319527&amp;anoInt=2018" </w:instrText>
      </w:r>
      <w:r>
        <w:rPr>
          <w:sz w:val="24"/>
          <w:szCs w:val="24"/>
          <w:u w:val="single"/>
        </w:rPr>
        <w:fldChar w:fldCharType="separate"/>
      </w:r>
      <w:r w:rsidRPr="00033DFA">
        <w:rPr>
          <w:rStyle w:val="Hyperlink"/>
          <w:sz w:val="24"/>
          <w:szCs w:val="24"/>
        </w:rPr>
        <w:t>TST-RR-1001175-75.2016.5.02.0</w:t>
      </w:r>
      <w:r w:rsidRPr="00033DFA">
        <w:rPr>
          <w:rStyle w:val="Hyperlink"/>
          <w:sz w:val="24"/>
          <w:szCs w:val="24"/>
        </w:rPr>
        <w:t>0</w:t>
      </w:r>
      <w:r w:rsidRPr="00033DFA">
        <w:rPr>
          <w:rStyle w:val="Hyperlink"/>
          <w:sz w:val="24"/>
          <w:szCs w:val="24"/>
        </w:rPr>
        <w:t>32</w:t>
      </w:r>
      <w:bookmarkEnd w:id="2"/>
      <w:r>
        <w:rPr>
          <w:sz w:val="24"/>
          <w:szCs w:val="24"/>
          <w:u w:val="single"/>
        </w:rPr>
        <w:fldChar w:fldCharType="end"/>
      </w:r>
      <w:r w:rsidRPr="00033DFA">
        <w:rPr>
          <w:sz w:val="24"/>
          <w:szCs w:val="24"/>
        </w:rPr>
        <w:t>, 4ª Turma, rel. Min. Alexandre Luiz Ramos, julgado em 4/8/2020.)</w:t>
      </w:r>
    </w:p>
    <w:p w:rsidR="00365738" w:rsidRPr="00D14A65" w:rsidRDefault="00365738" w:rsidP="00365738">
      <w:pPr>
        <w:ind w:left="567"/>
        <w:jc w:val="both"/>
        <w:outlineLvl w:val="0"/>
        <w:rPr>
          <w:rFonts w:eastAsiaTheme="minorEastAsia"/>
          <w:b/>
          <w:color w:val="000000"/>
        </w:rPr>
      </w:pPr>
    </w:p>
    <w:p w:rsidR="00365738" w:rsidRDefault="00365738" w:rsidP="00365738">
      <w:pPr>
        <w:jc w:val="both"/>
        <w:outlineLvl w:val="0"/>
        <w:rPr>
          <w:sz w:val="24"/>
          <w:szCs w:val="24"/>
        </w:rPr>
      </w:pPr>
      <w:r w:rsidRPr="00033DFA">
        <w:rPr>
          <w:sz w:val="24"/>
          <w:szCs w:val="24"/>
        </w:rPr>
        <w:t>“[...] 2. HONORÁRIOS ADVOCATÍCIOS. SUCUMBÊNCIA DA PARTE AUTORA. APLICAÇÃO DO ART. 791-A DA CLT A AÇÕES AJUIZADAS ANTES DA ENTRADA EM VIGOR DA LEI Nº 13.467/2017. IMPOSSIBILIDADE. TRANSCENDÊNCIA JURÍDICA RECONHECIDA. CONHECIMENTO E PROVIMENTO. I. Trata-se de controvérsia em que se discute a aplicação do art. 791-A da CLT. II. Pelo prisma da transcendência, trata-se de questão jurídica nova, em que se discute a aplicação do art. 791-A da CLT, cujo texto versa sobre o cabimento dos honorários advocatícios sucumbenciais à causa em exame, matéria que ainda não está pacificada no âmbito do Tribunal Superior do Trabalho ou em decisão de efeito vinculante no Supremo Tribunal Federal. Logo, reconhece-se a transcendência jurídica da causa (art. 896-A, § 1º, IV, da CLT). III. Esta Corte Superior elaborou e publicou a Instrução Normativa nº 41/2018, a fim de regulamentar a aplicação das normas processuais previstas na Lei nº 13.467/2017. No art. 6º da referida Instrução, determina-se que os honorários advocatícios sucumbenciais serão aplicados apenas nas causas propostas após 11/11/2017 e que, nas ações ajuizadas anteriormente, mantêm-se as regras previstas no art. 14 da Lei nº 5.584/1970 e nas Súmulas nº 219 e 329 do TST. IV. No caso em apreço, a presente ação coletiva foi ajuizada em 27/07/2017. Portanto, antes da entrada em vigor da Lei nº 13.467/2017, razão pela qual o Tribunal Regional aplicou mal o disposto no art. 791-A da CLT, razão pela qual o provimento do recurso de revista é medida que se impõe. IV. Recurso de revista de que se conhece e a que se dá provimento</w:t>
      </w:r>
      <w:r w:rsidRPr="00033DFA">
        <w:rPr>
          <w:b/>
          <w:kern w:val="1"/>
          <w:sz w:val="24"/>
          <w:szCs w:val="24"/>
        </w:rPr>
        <w:t>.</w:t>
      </w:r>
      <w:r w:rsidRPr="00033DFA">
        <w:rPr>
          <w:sz w:val="24"/>
          <w:szCs w:val="24"/>
        </w:rPr>
        <w:t>” (</w:t>
      </w:r>
      <w:hyperlink r:id="rId12" w:history="1">
        <w:r w:rsidRPr="00033DFA">
          <w:rPr>
            <w:rStyle w:val="Hyperlink"/>
            <w:sz w:val="24"/>
            <w:szCs w:val="24"/>
          </w:rPr>
          <w:t>TST-RR-1072-36.2017.5.06.0001</w:t>
        </w:r>
      </w:hyperlink>
      <w:r w:rsidRPr="00033DFA">
        <w:rPr>
          <w:sz w:val="24"/>
          <w:szCs w:val="24"/>
        </w:rPr>
        <w:t>, 4ª Turma, rel. Min. Alexandre Luiz Ramos, julgado em 4/8/2020.)</w:t>
      </w:r>
      <w:r w:rsidR="002E1BBC">
        <w:rPr>
          <w:sz w:val="24"/>
          <w:szCs w:val="24"/>
        </w:rPr>
        <w:t xml:space="preserve"> </w:t>
      </w:r>
    </w:p>
    <w:p w:rsidR="004D2033" w:rsidRDefault="004D2033" w:rsidP="00365738">
      <w:pPr>
        <w:jc w:val="both"/>
        <w:outlineLvl w:val="0"/>
        <w:rPr>
          <w:sz w:val="24"/>
          <w:szCs w:val="24"/>
        </w:rPr>
      </w:pPr>
    </w:p>
    <w:p w:rsidR="004D2033" w:rsidRDefault="004D2033" w:rsidP="004D2033">
      <w:pPr>
        <w:pStyle w:val="Ementa"/>
        <w:ind w:left="0"/>
        <w:outlineLvl w:val="0"/>
        <w:rPr>
          <w:rFonts w:ascii="Times New Roman" w:hAnsi="Times New Roman" w:cs="Times New Roman"/>
        </w:rPr>
      </w:pPr>
      <w:r w:rsidRPr="004D2033">
        <w:rPr>
          <w:rFonts w:ascii="Times New Roman" w:hAnsi="Times New Roman" w:cs="Times New Roman"/>
          <w:bCs/>
          <w:color w:val="auto"/>
          <w:lang w:val="pt-BR"/>
        </w:rPr>
        <w:lastRenderedPageBreak/>
        <w:t xml:space="preserve">“INCORPORAÇÃO DE GRATIFICAÇÃO DE FUNÇÃO EXERCIDA POR MAIS DE 10 ANOS – SÚMULA 372, I, DO TST FRENTE AO ART. 468, § 2º, DA CLT – TRANSCENDÊNCIA JURÍDICA DA CAUSA – INEXISTÊNCIA DE DIREITO ADQUIRIDO – RECURSO DESPROVIDO. 1. Constituem critérios de transcendência da causa, para efeito de admissão de recurso de revista para o TST, a novidade da questão (transcendência jurídica), o desrespeito à jurisprudência sumulada do TST (transcendência política) ou a direito social constitucionalmente assegurado (transcendência social), bem como o elevado valor da causa (transcendência econômica), nos termos do art. 896-A, § 1º, da CLT. 2. A discussão sobre o direito adquirido à incorporação da gratificação de função percebida por mais de 10 anos, quando revertido o empregado ao cargo efetivo, contemplada pela Súmula 372, I, do TST e disciplinada especificamente de modo diverso pelo art. 468, § 2º, da CLT, acrescido pela Lei 13.467/17, da reforma trabalhista, é nova nesta Turma e de relevância jurídica para ser por ela deslindada. 3. O inciso I da Súmula 372 do TST tem como “leading case” o precedente do processo E-RR-01944/1989 (Red. Min. Orlando Teixeira da Costa, DJ 12/02/1993), em que se elencaram expressamente 4 princípios que embasariam o deferimento da pretensão incorporativa: a) princípio da habitualidade; b) princípio da irredutibilidade salarial; c) princípio da analogia com direito reconhecido aos servidores públicos; d) princípio da continuidade da jurisprudência. Nele se chegou a afirmar que “o legislador, dispondo sobre a espécie (art. 468, parágrafo único da CLT), esqueceu-se de explicitar se a reversão ao cargo efetivo, quando o trabalhador deixar o exercício de função de confiança, importa na perda da gratificação respectiva, mesmo tendo prestado relevantes serviços ao empregador, naquela situação, por longo tempo”. 4. Verifica-se, pela “ratio decidendi” do precedente que embasou o inciso I da Súmula 372, que o TST, ao invés de reconhecer na lacuna da lei o silêncio eloquente do legislador, que não abriu exceções à regra, inovou no ordenamento jurídico, criando vantagem trabalhista não prevista em lei, incorrendo em manifesto ativismo judiciário e voluntarismo jurídico, mormente por estabelecer parâmetros discricionários quanto ao tempo de percepção (10 anos) e condições de manutenção (não reversão por justa causa) da gratificação. Louvou-se, para tanto, na regra do art. 62, § 2º, da Lei 8.112/90, da incorporação de quintos pelos servidores públicos da União, revogado desde 1997, o que retiraria inclusive a base analógica da jurisprudência do TST. 5. A Lei 13.467/17, levando em conta os excessos protecionistas da jurisprudência trabalhista, veio a disciplinar matérias tratadas em verbetes sumulados do TST, mas fazendo-o em termos mais modestos, a par de estabelecer regras hermenêuticas na aplicação do direito, vedando explicitamente a redução ou criação de direitos por súmula (Art. 8º, § 2º, da CLT). 6. No caso do art. 468, § 2º, da CLT, a reforma trabalhista explicitou que a reversão ao cargo efetivo não dá ao trabalhador comissionado o direito à manutenção da gratificação de função, independentemente do tempo em que a tenha recebido. 7. Como a base da incorporação da gratificação de função, antes da reforma trabalhista de 2017, era apenas jurisprudencial, com súmula criando direito sem base legal, não há que se falar em direito adquirido frente à Lei 13.467/17, uma vez que, já na definição de Gabba sobre direito adquirido, este se caracteriza como um conflito de direito intertemporal, entre lei antiga e lei nova (“fato idôneo a produzi-lo, em virtude de a lei do tempo no qual o fato se consumou”) e não entre a lei nova e fonte inidônea para criar direito novo. 8. Nesses termos, inexistindo direito adquirido à incorporação da gratificação de função, ainda que exercida por mais de 10 anos, frente à norma expressa do art. 468, § 2º, da CLT, é de se dar provimento ao recurso de revista patronal, para restabelecer a sentença que julgou improcedente a reclamação trabalhista em que a vantagem era postulada. </w:t>
      </w:r>
      <w:r w:rsidRPr="004D2033">
        <w:rPr>
          <w:rFonts w:ascii="Times New Roman" w:hAnsi="Times New Roman" w:cs="Times New Roman"/>
          <w:color w:val="auto"/>
          <w:lang w:val="pt-BR"/>
        </w:rPr>
        <w:t>Recurso de revista conhecido e provido.”</w:t>
      </w:r>
      <w:r w:rsidRPr="004D2033">
        <w:rPr>
          <w:rFonts w:ascii="Times New Roman" w:hAnsi="Times New Roman" w:cs="Times New Roman"/>
          <w:b/>
          <w:color w:val="auto"/>
          <w:lang w:val="pt-BR"/>
        </w:rPr>
        <w:t xml:space="preserve"> </w:t>
      </w:r>
      <w:r w:rsidRPr="004D2033">
        <w:rPr>
          <w:rFonts w:ascii="Times New Roman" w:hAnsi="Times New Roman" w:cs="Times New Roman"/>
          <w:color w:val="auto"/>
          <w:lang w:val="pt-BR"/>
        </w:rPr>
        <w:t>(</w:t>
      </w:r>
      <w:hyperlink r:id="rId13" w:history="1">
        <w:r w:rsidRPr="004D2033">
          <w:rPr>
            <w:rStyle w:val="Hyperlink"/>
            <w:rFonts w:ascii="Times New Roman" w:hAnsi="Times New Roman"/>
            <w:lang w:val="pt-BR"/>
          </w:rPr>
          <w:t>TST-RR-377-71.2017.5.09.0010</w:t>
        </w:r>
      </w:hyperlink>
      <w:r w:rsidRPr="004D2033">
        <w:rPr>
          <w:rFonts w:ascii="Times New Roman" w:hAnsi="Times New Roman" w:cs="Times New Roman"/>
          <w:color w:val="auto"/>
          <w:lang w:val="pt-BR"/>
        </w:rPr>
        <w:t xml:space="preserve">, 4ª Turma, rel. </w:t>
      </w:r>
      <w:r w:rsidRPr="004D2033">
        <w:rPr>
          <w:rFonts w:ascii="Times New Roman" w:hAnsi="Times New Roman" w:cs="Times New Roman"/>
          <w:color w:val="auto"/>
        </w:rPr>
        <w:t>Min. Ives Gandra da Silva Martins Filho, julgado em 12/8/2020.)</w:t>
      </w:r>
    </w:p>
    <w:p w:rsidR="004D2033" w:rsidRDefault="004D2033" w:rsidP="004D2033">
      <w:pPr>
        <w:pStyle w:val="Ementa"/>
        <w:ind w:left="0"/>
        <w:outlineLvl w:val="0"/>
        <w:rPr>
          <w:rFonts w:ascii="Times New Roman" w:hAnsi="Times New Roman" w:cs="Times New Roman"/>
        </w:rPr>
      </w:pPr>
    </w:p>
    <w:p w:rsidR="004D2033" w:rsidRPr="004D2033" w:rsidRDefault="004D2033" w:rsidP="004D2033">
      <w:pPr>
        <w:pStyle w:val="Ementa"/>
        <w:ind w:left="0"/>
        <w:rPr>
          <w:rFonts w:ascii="Times New Roman" w:hAnsi="Times New Roman" w:cs="Times New Roman"/>
          <w:color w:val="auto"/>
          <w:lang w:val="pt-BR"/>
        </w:rPr>
      </w:pPr>
      <w:r w:rsidRPr="004D2033">
        <w:rPr>
          <w:rFonts w:ascii="Times New Roman" w:hAnsi="Times New Roman" w:cs="Times New Roman"/>
          <w:bCs/>
          <w:color w:val="auto"/>
          <w:lang w:val="pt-BR"/>
        </w:rPr>
        <w:t>“RECURSO DE REVISTA INTERPOSTO PELA RECLAMADA</w:t>
      </w:r>
      <w:r w:rsidRPr="004D2033">
        <w:rPr>
          <w:rFonts w:ascii="Times New Roman" w:hAnsi="Times New Roman" w:cs="Times New Roman"/>
          <w:color w:val="auto"/>
          <w:lang w:val="pt-BR"/>
        </w:rPr>
        <w:t>. ACÓRDÃO REGIONAL PUBLICADO NA VIGÊNCIA DAS LEIS N</w:t>
      </w:r>
      <w:r w:rsidRPr="004D2033">
        <w:rPr>
          <w:rFonts w:ascii="Times New Roman" w:hAnsi="Times New Roman" w:cs="Times New Roman"/>
          <w:color w:val="auto"/>
          <w:vertAlign w:val="superscript"/>
          <w:lang w:val="pt-BR"/>
        </w:rPr>
        <w:t>OS</w:t>
      </w:r>
      <w:r w:rsidRPr="004D2033">
        <w:rPr>
          <w:rFonts w:ascii="Times New Roman" w:hAnsi="Times New Roman" w:cs="Times New Roman"/>
          <w:color w:val="auto"/>
          <w:lang w:val="pt-BR"/>
        </w:rPr>
        <w:t xml:space="preserve"> 13.015/2014 E 13.467/2017. VERBAS RESCISÓRIAS. BASE DE CÁLCULO. ART. 477, CAPUT, DA CLT (REDAÇÃO ANTERIOR À LEI Nº 13.467/2017). IMPOSSIBILIDADE. TRANSCENDÊNCIA JURÍDICA RECONHECIDA. </w:t>
      </w:r>
      <w:r w:rsidRPr="004D2033">
        <w:rPr>
          <w:rFonts w:ascii="Times New Roman" w:hAnsi="Times New Roman" w:cs="Times New Roman"/>
          <w:color w:val="auto"/>
          <w:lang w:val="pt-BR"/>
        </w:rPr>
        <w:lastRenderedPageBreak/>
        <w:t xml:space="preserve">CONHECIMENTO E PROVIMENTO. I. Hipótese em que se discute se o art. 477, caput, da CLT, na redação anterior à Lei nº 13.467/2017, ao assegurar a todo empregado, não existindo prazo estipulado para a terminação do respectivo contrato, e quando não haja ele dado motivo para cessação das relações de trabalho, o direito de haver do empregador uma indenização, paga na base da maior remuneração que tenha percebido na mesma empresa, se presta também à base de cálculo das verbas rescisórias, ou apenas à aludida indenização. </w:t>
      </w:r>
      <w:r w:rsidRPr="004D2033">
        <w:rPr>
          <w:rFonts w:ascii="Times New Roman" w:hAnsi="Times New Roman" w:cs="Times New Roman"/>
          <w:bCs/>
          <w:color w:val="auto"/>
          <w:lang w:val="pt-BR"/>
        </w:rPr>
        <w:t xml:space="preserve">II. </w:t>
      </w:r>
      <w:r w:rsidRPr="004D2033">
        <w:rPr>
          <w:rFonts w:ascii="Times New Roman" w:hAnsi="Times New Roman" w:cs="Times New Roman"/>
          <w:color w:val="auto"/>
          <w:lang w:val="pt-BR"/>
        </w:rPr>
        <w:t>Pelo prisma da transcendência, trata-se de questão jurídica nova, uma vez que se refere à interpretação da legislação trabalhista (art. 477, caput, da CLT, na redação anterior à Lei nº 13.467/2017), sob enfoque em relação ao qual ainda não há jurisprudência consolidada no âmbito do Tribunal Superior do Trabalho ou em decisão de efeito vinculante no Supremo Tribunal Federal. Logo, reconheço a transcendência jurídica da causa (art. 896-A, § 1º, IV, da CLT). III. A jurisprudência desta Corte Superior se orienta no sentido de que o art. 477, caput, da CLT, na redação anterior à Lei nº 13.467/2017, refere-se apenas à base de cálculo da indenização nele prevista e não das verbas rescisórias. IV. O acórdão regional, ao manter decisão “que determinou que se deve tomar como base de cálculo para fins rescisórios a maior remuneração auferida pela reclamante na reclamada”, aplicou mal o art. 477, caput, da CLT, na redação anterior à Lei nº 13.467/2017. V. Recurso de revista de que se conhece, por divergência jurisprudencial, e a que se dá provimento.” (</w:t>
      </w:r>
      <w:hyperlink r:id="rId14" w:history="1">
        <w:r w:rsidRPr="004D2033">
          <w:rPr>
            <w:rStyle w:val="Hyperlink"/>
            <w:rFonts w:ascii="Times New Roman" w:hAnsi="Times New Roman"/>
            <w:lang w:val="pt-BR"/>
          </w:rPr>
          <w:t>TST-RR-11229-63.2016.5.03.0138</w:t>
        </w:r>
      </w:hyperlink>
      <w:r w:rsidRPr="004D2033">
        <w:rPr>
          <w:rFonts w:ascii="Times New Roman" w:hAnsi="Times New Roman" w:cs="Times New Roman"/>
          <w:color w:val="auto"/>
          <w:lang w:val="pt-BR"/>
        </w:rPr>
        <w:t>, 4ª Turma, rel. Min. Alexandre Luiz Ramos, julgado em 12/8/2020.)</w:t>
      </w:r>
    </w:p>
    <w:p w:rsidR="004D2033" w:rsidRDefault="004D2033" w:rsidP="00365738">
      <w:pPr>
        <w:jc w:val="both"/>
        <w:outlineLvl w:val="0"/>
        <w:rPr>
          <w:rFonts w:eastAsiaTheme="minorEastAsia"/>
          <w:b/>
          <w:color w:val="000000"/>
          <w:sz w:val="24"/>
          <w:szCs w:val="24"/>
        </w:rPr>
      </w:pPr>
    </w:p>
    <w:p w:rsidR="0077472C" w:rsidRDefault="0077472C" w:rsidP="0077472C">
      <w:pPr>
        <w:pStyle w:val="Ementa"/>
        <w:ind w:left="0"/>
        <w:rPr>
          <w:rFonts w:ascii="Times New Roman" w:hAnsi="Times New Roman" w:cs="Times New Roman"/>
          <w:bCs/>
          <w:color w:val="auto"/>
        </w:rPr>
      </w:pPr>
      <w:r w:rsidRPr="0077472C">
        <w:rPr>
          <w:rFonts w:ascii="Times New Roman" w:hAnsi="Times New Roman" w:cs="Times New Roman"/>
          <w:bCs/>
          <w:color w:val="auto"/>
          <w:lang w:val="pt-BR"/>
        </w:rPr>
        <w:t>“[...] ANUÊNIOS. NATUREZA SALARIAL. DIFERENÇAS DECORRENTES DA SUA INTEGRAÇÃO EM OUTRAS PARCELAS. DIFERENÇAS DE RECOLHIMENTO DO FGTS. O art. 15 da Lei 8.036/90 assim dispõe: “Art. 15. Para os fins previstos nesta lei, todos os empregadores ficam obrigados a depositar, até o dia 7 (sete) de cada mês, em conta bancária vinculada, a importância correspondente a 8 (oito) por cento da remuneração paga ou devida, no mês anterior, a cada trabalhador, incluídas na remuneração as parcelas de que tratam os arts. 457 e 458 da CLT e a gratificação de Natal a que se refere a Lei nº 4.090, de 13 de julho de 1962, com as modificações da Lei nº 4.749, de 12 de agosto de 1965”. A apuração do FGTS deve observar todas as parcelas que integram sua base de cálculo, sejam elas principais ou seus reflexos. No caso dos autos, o reconhecimento da natureza salarial dos anuênios acabou por repercutir no cálculo de outras parcelas que, por determinação legal, também fazem parte da base de cálculo do FGTS, nos termos do art. 15 da Lei 8.036/90. Nesse contexto, reconhecida a existência de diferenças salariais, sobre elas deve incidir o FGTS. Recurso de revista conhecido e provido.</w:t>
      </w:r>
      <w:r w:rsidRPr="0077472C">
        <w:rPr>
          <w:rFonts w:ascii="Times New Roman" w:hAnsi="Times New Roman" w:cs="Times New Roman"/>
          <w:color w:val="auto"/>
          <w:lang w:val="pt-BR"/>
        </w:rPr>
        <w:t>” (</w:t>
      </w:r>
      <w:hyperlink r:id="rId15" w:history="1">
        <w:r w:rsidRPr="0077472C">
          <w:rPr>
            <w:rStyle w:val="Hyperlink"/>
            <w:rFonts w:ascii="Times New Roman" w:hAnsi="Times New Roman"/>
            <w:bCs/>
            <w:lang w:val="pt-BR"/>
          </w:rPr>
          <w:t>TST-RR-20348-08.2016.5.04.0013</w:t>
        </w:r>
      </w:hyperlink>
      <w:r w:rsidRPr="0077472C">
        <w:rPr>
          <w:rFonts w:ascii="Times New Roman" w:hAnsi="Times New Roman" w:cs="Times New Roman"/>
          <w:bCs/>
          <w:color w:val="auto"/>
          <w:lang w:val="pt-BR"/>
        </w:rPr>
        <w:t xml:space="preserve">, 5ª Turma, rel. </w:t>
      </w:r>
      <w:r>
        <w:rPr>
          <w:rFonts w:ascii="Times New Roman" w:hAnsi="Times New Roman" w:cs="Times New Roman"/>
          <w:bCs/>
          <w:color w:val="auto"/>
        </w:rPr>
        <w:t>Min. Breno Medeiros, julgado em 12/8/2020.)</w:t>
      </w:r>
    </w:p>
    <w:p w:rsidR="0077472C" w:rsidRPr="00033DFA" w:rsidRDefault="0077472C" w:rsidP="00365738">
      <w:pPr>
        <w:jc w:val="both"/>
        <w:outlineLvl w:val="0"/>
        <w:rPr>
          <w:rFonts w:eastAsiaTheme="minorEastAsia"/>
          <w:b/>
          <w:color w:val="000000"/>
          <w:sz w:val="24"/>
          <w:szCs w:val="24"/>
        </w:rPr>
      </w:pPr>
    </w:p>
    <w:p w:rsidR="00543122" w:rsidRPr="00472851" w:rsidRDefault="00543122" w:rsidP="00654B75">
      <w:pPr>
        <w:jc w:val="both"/>
        <w:outlineLvl w:val="0"/>
        <w:rPr>
          <w:rFonts w:eastAsiaTheme="minorHAnsi"/>
          <w:color w:val="000000"/>
          <w:sz w:val="24"/>
          <w:szCs w:val="24"/>
          <w:lang w:eastAsia="en-US"/>
        </w:rPr>
      </w:pPr>
    </w:p>
    <w:p w:rsidR="00654B75" w:rsidRDefault="00654B75" w:rsidP="00237380">
      <w:pPr>
        <w:jc w:val="both"/>
        <w:rPr>
          <w:i/>
          <w:sz w:val="24"/>
          <w:szCs w:val="24"/>
        </w:rPr>
      </w:pPr>
      <w:bookmarkStart w:id="3" w:name="_GoBack"/>
      <w:bookmarkEnd w:id="3"/>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6"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7"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8"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9"/>
      <w:footerReference w:type="default" r:id="rId20"/>
      <w:headerReference w:type="first" r:id="rId21"/>
      <w:footerReference w:type="first" r:id="rId2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2C" w:rsidRDefault="00E0732C">
      <w:r>
        <w:separator/>
      </w:r>
    </w:p>
  </w:endnote>
  <w:endnote w:type="continuationSeparator" w:id="0">
    <w:p w:rsidR="00E0732C" w:rsidRDefault="00E0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2C" w:rsidRDefault="00E0732C">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562A">
      <w:rPr>
        <w:rStyle w:val="Nmerodepgina"/>
        <w:noProof/>
      </w:rPr>
      <w:t>5</w:t>
    </w:r>
    <w:r>
      <w:rPr>
        <w:rStyle w:val="Nmerodepgina"/>
      </w:rPr>
      <w:fldChar w:fldCharType="end"/>
    </w:r>
  </w:p>
  <w:p w:rsidR="00E0732C" w:rsidRDefault="00E0732C">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2C" w:rsidRDefault="00E0732C">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0562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2C" w:rsidRDefault="00E0732C">
      <w:r>
        <w:separator/>
      </w:r>
    </w:p>
  </w:footnote>
  <w:footnote w:type="continuationSeparator" w:id="0">
    <w:p w:rsidR="00E0732C" w:rsidRDefault="00E0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2C" w:rsidRPr="008420B2" w:rsidRDefault="00E0732C">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222</w:t>
    </w:r>
  </w:p>
  <w:p w:rsidR="00E0732C" w:rsidRPr="006717E0" w:rsidRDefault="00E0732C"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7B08CDD3" wp14:editId="1BCD1F20">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5DA2"/>
      </w:rPr>
      <w:t>Período:</w:t>
    </w:r>
    <w:r w:rsidR="0030562A">
      <w:rPr>
        <w:i/>
        <w:iCs/>
        <w:color w:val="005DA2"/>
      </w:rPr>
      <w:t xml:space="preserve"> 3 a 14</w:t>
    </w:r>
    <w:r w:rsidRPr="006717E0">
      <w:rPr>
        <w:i/>
        <w:iCs/>
        <w:color w:val="005DA2"/>
      </w:rPr>
      <w:t xml:space="preserve"> </w:t>
    </w:r>
    <w:r>
      <w:rPr>
        <w:i/>
        <w:iCs/>
        <w:color w:val="005DA2"/>
      </w:rPr>
      <w:t>d</w:t>
    </w:r>
    <w:r w:rsidRPr="006717E0">
      <w:rPr>
        <w:i/>
        <w:iCs/>
        <w:color w:val="005DA2"/>
      </w:rPr>
      <w:t>e</w:t>
    </w:r>
    <w:r>
      <w:rPr>
        <w:i/>
        <w:iCs/>
        <w:color w:val="005DA2"/>
      </w:rPr>
      <w:t xml:space="preserve"> agosto de 2020</w:t>
    </w:r>
  </w:p>
  <w:p w:rsidR="00E0732C" w:rsidRPr="006717E0" w:rsidRDefault="00E0732C" w:rsidP="00654B75">
    <w:pPr>
      <w:pStyle w:val="Cabealho"/>
      <w:jc w:val="right"/>
      <w:rPr>
        <w:i/>
        <w:iCs/>
        <w:color w:val="005DA2"/>
      </w:rPr>
    </w:pPr>
  </w:p>
  <w:p w:rsidR="00E0732C" w:rsidRPr="005D1DE4" w:rsidRDefault="00E0732C"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2C" w:rsidRDefault="00E0732C">
    <w:pPr>
      <w:pStyle w:val="Cabealho"/>
    </w:pPr>
    <w:r>
      <w:rPr>
        <w:noProof/>
      </w:rPr>
      <w:drawing>
        <wp:inline distT="0" distB="0" distL="0" distR="0" wp14:anchorId="1A655F86" wp14:editId="3E0E49CF">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E0732C" w:rsidRDefault="00E0732C">
    <w:pPr>
      <w:pStyle w:val="Cabealho"/>
    </w:pPr>
    <w:r>
      <w:rPr>
        <w:rFonts w:ascii="Bebas Neue Regular" w:hAnsi="Bebas Neue Regular"/>
        <w:noProof/>
        <w:color w:val="006699"/>
        <w:sz w:val="30"/>
      </w:rPr>
      <w:drawing>
        <wp:inline distT="0" distB="0" distL="0" distR="0" wp14:anchorId="45325188" wp14:editId="366EA540">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E0732C" w:rsidRDefault="00E0732C">
    <w:pPr>
      <w:pStyle w:val="Cabealho"/>
    </w:pPr>
  </w:p>
  <w:p w:rsidR="00E0732C" w:rsidRPr="006717E0" w:rsidRDefault="00E0732C"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22</w:t>
    </w:r>
  </w:p>
  <w:p w:rsidR="00E0732C" w:rsidRPr="006717E0" w:rsidRDefault="00E0732C">
    <w:pPr>
      <w:pStyle w:val="Cabealho"/>
      <w:jc w:val="right"/>
      <w:rPr>
        <w:i/>
        <w:iCs/>
        <w:color w:val="005DA2"/>
        <w:sz w:val="10"/>
        <w:szCs w:val="10"/>
      </w:rPr>
    </w:pPr>
  </w:p>
  <w:p w:rsidR="00E0732C" w:rsidRPr="006717E0" w:rsidRDefault="00E0732C" w:rsidP="009A16E8">
    <w:pPr>
      <w:pStyle w:val="Cabealho"/>
      <w:jc w:val="right"/>
      <w:rPr>
        <w:i/>
        <w:iCs/>
        <w:color w:val="005DA2"/>
      </w:rPr>
    </w:pPr>
    <w:r w:rsidRPr="006717E0">
      <w:rPr>
        <w:i/>
        <w:iCs/>
        <w:color w:val="005DA2"/>
      </w:rPr>
      <w:t xml:space="preserve">Período: </w:t>
    </w:r>
    <w:r>
      <w:rPr>
        <w:i/>
        <w:iCs/>
        <w:color w:val="005DA2"/>
      </w:rPr>
      <w:t xml:space="preserve">3 a 14 </w:t>
    </w:r>
    <w:r w:rsidRPr="006717E0">
      <w:rPr>
        <w:i/>
        <w:iCs/>
        <w:color w:val="005DA2"/>
      </w:rPr>
      <w:t>de</w:t>
    </w:r>
    <w:r>
      <w:rPr>
        <w:i/>
        <w:iCs/>
        <w:color w:val="005DA2"/>
      </w:rPr>
      <w:t xml:space="preserve"> agosto de 2020</w:t>
    </w:r>
  </w:p>
  <w:p w:rsidR="00E0732C" w:rsidRDefault="00E0732C"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363AF"/>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1BA1"/>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06"/>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4519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D11D5"/>
    <w:rsid w:val="002E1BBC"/>
    <w:rsid w:val="002E3B9F"/>
    <w:rsid w:val="002E78CB"/>
    <w:rsid w:val="002F28E5"/>
    <w:rsid w:val="002F71BF"/>
    <w:rsid w:val="0030562A"/>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5738"/>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0EC9"/>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9B8"/>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2033"/>
    <w:rsid w:val="004D6000"/>
    <w:rsid w:val="004D60CD"/>
    <w:rsid w:val="004D6415"/>
    <w:rsid w:val="004D697F"/>
    <w:rsid w:val="004D71E8"/>
    <w:rsid w:val="004E393E"/>
    <w:rsid w:val="004E39DA"/>
    <w:rsid w:val="004E4507"/>
    <w:rsid w:val="004E4619"/>
    <w:rsid w:val="004F0A7D"/>
    <w:rsid w:val="004F5040"/>
    <w:rsid w:val="00503095"/>
    <w:rsid w:val="005059F5"/>
    <w:rsid w:val="00512D1B"/>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DB2"/>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179D2"/>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472C"/>
    <w:rsid w:val="0077600F"/>
    <w:rsid w:val="007760AE"/>
    <w:rsid w:val="00776118"/>
    <w:rsid w:val="0078029B"/>
    <w:rsid w:val="00781C77"/>
    <w:rsid w:val="00787495"/>
    <w:rsid w:val="00790F13"/>
    <w:rsid w:val="00793A1C"/>
    <w:rsid w:val="00796745"/>
    <w:rsid w:val="007A28FF"/>
    <w:rsid w:val="007A4009"/>
    <w:rsid w:val="007A4F78"/>
    <w:rsid w:val="007A52F4"/>
    <w:rsid w:val="007A6AF4"/>
    <w:rsid w:val="007A7125"/>
    <w:rsid w:val="007B0F83"/>
    <w:rsid w:val="007B5D65"/>
    <w:rsid w:val="007B72CB"/>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5598"/>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08A"/>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288D"/>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75A"/>
    <w:rsid w:val="009C0EBA"/>
    <w:rsid w:val="009C102D"/>
    <w:rsid w:val="009C2A4F"/>
    <w:rsid w:val="009C4834"/>
    <w:rsid w:val="009D10FB"/>
    <w:rsid w:val="009D1BDE"/>
    <w:rsid w:val="009D232F"/>
    <w:rsid w:val="009D2FB1"/>
    <w:rsid w:val="009D312C"/>
    <w:rsid w:val="009D4C59"/>
    <w:rsid w:val="009D7F91"/>
    <w:rsid w:val="009E20EF"/>
    <w:rsid w:val="009E26EE"/>
    <w:rsid w:val="009E312E"/>
    <w:rsid w:val="009E534D"/>
    <w:rsid w:val="009E6646"/>
    <w:rsid w:val="009F1C7B"/>
    <w:rsid w:val="009F21A2"/>
    <w:rsid w:val="009F481B"/>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03"/>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55C00"/>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0867"/>
    <w:rsid w:val="00BF6308"/>
    <w:rsid w:val="00C028BC"/>
    <w:rsid w:val="00C070DE"/>
    <w:rsid w:val="00C071F9"/>
    <w:rsid w:val="00C07598"/>
    <w:rsid w:val="00C15175"/>
    <w:rsid w:val="00C15EC0"/>
    <w:rsid w:val="00C1742B"/>
    <w:rsid w:val="00C20810"/>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A65"/>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23CB"/>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0732C"/>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577A"/>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41E"/>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245"/>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1433772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377&amp;digitoTst=71&amp;anoTst=2017&amp;orgaoTst=5&amp;tribunalTst=09&amp;varaTst=0010" TargetMode="External"/><Relationship Id="rId18"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247828&amp;anoInt=2019" TargetMode="External"/><Relationship Id="rId17"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mailto:cjur@tst.jus.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resumoForm.do?consulta=1&amp;numeroInt=244134&amp;anoInt=20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20348&amp;digitoTst=08&amp;anoTst=2016&amp;orgaoTst=5&amp;tribunalTst=&amp;varaTst=" TargetMode="External"/><Relationship Id="rId23" Type="http://schemas.openxmlformats.org/officeDocument/2006/relationships/fontTable" Target="fontTable.xml"/><Relationship Id="rId10" Type="http://schemas.openxmlformats.org/officeDocument/2006/relationships/hyperlink" Target="http://aplicacao4.tst.jus.br/consultaProcessual/resumoForm.do?consulta=1&amp;numeroInt=190052&amp;anoInt=201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4&amp;digitoTst=64&amp;anoTst=2013&amp;orgaoTst=5&amp;tribunalTst=09&amp;varaTst=0009" TargetMode="External"/><Relationship Id="rId14" Type="http://schemas.openxmlformats.org/officeDocument/2006/relationships/hyperlink" Target="http://aplicacao4.tst.jus.br/consultaProcessual/consultaTstNumUnica.do?consulta=Consultar&amp;conscsjt=&amp;numeroTst=11229&amp;digitoTst=63&amp;anoTst=2016&amp;orgaoTst=5&amp;tribunalTst=03&amp;varaTst=013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39EA-2AC5-41BA-B568-F206D41B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3004</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21024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59</cp:revision>
  <cp:lastPrinted>2019-10-29T20:50:00Z</cp:lastPrinted>
  <dcterms:created xsi:type="dcterms:W3CDTF">2019-11-06T21:32:00Z</dcterms:created>
  <dcterms:modified xsi:type="dcterms:W3CDTF">2020-08-17T12:44:00Z</dcterms:modified>
</cp:coreProperties>
</file>