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276468" w:rsidRDefault="00730CC7" w:rsidP="00DC50EB">
            <w:pPr>
              <w:pStyle w:val="Cabealho"/>
              <w:tabs>
                <w:tab w:val="clear" w:pos="4419"/>
                <w:tab w:val="clear" w:pos="8838"/>
              </w:tabs>
              <w:jc w:val="both"/>
            </w:pPr>
          </w:p>
        </w:tc>
      </w:tr>
    </w:tbl>
    <w:p w:rsidR="00472851" w:rsidRPr="006717E0" w:rsidRDefault="00654B75" w:rsidP="0047285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ÓRGÃO ESPECIAL</w:t>
      </w:r>
    </w:p>
    <w:p w:rsidR="00543122" w:rsidRPr="00220B10" w:rsidRDefault="00543122" w:rsidP="00237380">
      <w:pPr>
        <w:adjustRightInd w:val="0"/>
        <w:jc w:val="both"/>
        <w:rPr>
          <w:sz w:val="24"/>
          <w:szCs w:val="24"/>
          <w:u w:val="single"/>
          <w:lang w:eastAsia="zh-CN"/>
        </w:rPr>
      </w:pPr>
    </w:p>
    <w:p w:rsidR="008F65B6" w:rsidRDefault="008F65B6" w:rsidP="008F65B6">
      <w:pPr>
        <w:jc w:val="both"/>
        <w:rPr>
          <w:b/>
          <w:i/>
          <w:sz w:val="24"/>
          <w:szCs w:val="24"/>
        </w:rPr>
      </w:pPr>
      <w:r>
        <w:rPr>
          <w:b/>
          <w:i/>
          <w:sz w:val="24"/>
          <w:szCs w:val="24"/>
        </w:rPr>
        <w:t>Questão de ordem. Agravo em mandado de segurança. Irrecorribilidade da decisão monocrática que denega seguimento ao agravo de instrumento em recurso de revista por não reconhecimento da transcendência. Art. 896-A, § 5º, da CLT. Arguição de Inconstitucionalidade em tramitação no Tribunal Pleno. Suspensão dos feitos afetos ao Órgão Especial em que se discute a aplicação da norma questionada até o julgamento do incidente.</w:t>
      </w:r>
    </w:p>
    <w:p w:rsidR="008F65B6" w:rsidRDefault="008F65B6" w:rsidP="008F65B6">
      <w:pPr>
        <w:spacing w:after="160" w:line="256" w:lineRule="auto"/>
        <w:jc w:val="both"/>
        <w:rPr>
          <w:sz w:val="24"/>
          <w:szCs w:val="24"/>
          <w:u w:val="single"/>
        </w:rPr>
      </w:pPr>
      <w:r>
        <w:rPr>
          <w:sz w:val="24"/>
          <w:szCs w:val="24"/>
        </w:rPr>
        <w:t>O Órgão Especial, ao analisar questão de ordem apresentada pelo Ministro Cláudio Mascarenhas Brandão, decidiu, por maioria, suspender o julgamento de agravo em mandado de segurança impetrado contra decisão monocrática de Ministro do TST que, com fundamento no artigo 896-A, § 5º, da CLT, negou seguimento ao agravo de instrumento em recurso de revista por não reconhecer a transcendência e determinou a baixa dos autos à origem. Decidiu-se que a apreciação dos recursos em que se discute a aplicação do referido dispositivo legal poderia gerar dano irreversível aos recorrentes, em virtude da possibilidade do posterior reconhecimento de sua inconstitucionalidade. Em virtude do julgamento da questão de ordem, o Órgão Especial suspendeu a tramitação do feito até o julgamento da arguição de inconstitucionalidade do art. 896-A, § 5.º, da CLT (</w:t>
      </w:r>
      <w:proofErr w:type="gramStart"/>
      <w:r>
        <w:rPr>
          <w:bCs/>
          <w:sz w:val="24"/>
          <w:szCs w:val="24"/>
          <w:shd w:val="clear" w:color="auto" w:fill="FFFFFF"/>
        </w:rPr>
        <w:t>ArgInc</w:t>
      </w:r>
      <w:proofErr w:type="gramEnd"/>
      <w:r>
        <w:rPr>
          <w:bCs/>
          <w:sz w:val="24"/>
          <w:szCs w:val="24"/>
          <w:shd w:val="clear" w:color="auto" w:fill="FFFFFF"/>
        </w:rPr>
        <w:t>-1000845-52.2016.5.02.0461</w:t>
      </w:r>
      <w:r>
        <w:rPr>
          <w:sz w:val="24"/>
          <w:szCs w:val="24"/>
        </w:rPr>
        <w:t xml:space="preserve">) pelo Tribunal Pleno. Vencidos os Ministros Ives Gandra da Silva Martins Filho, Relator, Douglas Alencar Rodrigues, Breno Medeiros, Alexandre Luiz Ramos, Luiz José Dezena da Silva e Ministra Maria Cristina </w:t>
      </w:r>
      <w:proofErr w:type="spellStart"/>
      <w:r>
        <w:rPr>
          <w:sz w:val="24"/>
          <w:szCs w:val="24"/>
        </w:rPr>
        <w:t>Irigoyen</w:t>
      </w:r>
      <w:proofErr w:type="spellEnd"/>
      <w:r>
        <w:rPr>
          <w:sz w:val="24"/>
          <w:szCs w:val="24"/>
        </w:rPr>
        <w:t xml:space="preserve"> </w:t>
      </w:r>
      <w:proofErr w:type="spellStart"/>
      <w:r>
        <w:rPr>
          <w:sz w:val="24"/>
          <w:szCs w:val="24"/>
        </w:rPr>
        <w:t>Peduzzi</w:t>
      </w:r>
      <w:proofErr w:type="spellEnd"/>
      <w:r>
        <w:rPr>
          <w:sz w:val="24"/>
          <w:szCs w:val="24"/>
        </w:rPr>
        <w:t>, que entendiam ser aplicável a jurisprudência do Órgão Especial, que é contrária à suspensão dos processos (mandados de segurança e agravos deles decorrentes), especialmente diante da ausência de determinação do Relator do incidente nesse sentido, além de considerarem que a medida afetar</w:t>
      </w:r>
      <w:r w:rsidR="007D61D0">
        <w:rPr>
          <w:sz w:val="24"/>
          <w:szCs w:val="24"/>
        </w:rPr>
        <w:t xml:space="preserve">ia a produtividade do Tribunal. </w:t>
      </w:r>
      <w:hyperlink r:id="rId9" w:history="1">
        <w:r>
          <w:rPr>
            <w:rStyle w:val="Hyperlink"/>
            <w:sz w:val="24"/>
            <w:szCs w:val="24"/>
          </w:rPr>
          <w:t>TST-Ag-MSCiv-1001004-69.2019.5.00.0000</w:t>
        </w:r>
      </w:hyperlink>
      <w:r w:rsidR="007D61D0">
        <w:rPr>
          <w:sz w:val="24"/>
          <w:szCs w:val="24"/>
        </w:rPr>
        <w:t xml:space="preserve"> </w:t>
      </w:r>
      <w:r>
        <w:rPr>
          <w:sz w:val="24"/>
          <w:szCs w:val="24"/>
        </w:rPr>
        <w:t xml:space="preserve">e </w:t>
      </w:r>
      <w:hyperlink r:id="rId10" w:history="1">
        <w:r>
          <w:rPr>
            <w:rStyle w:val="Hyperlink"/>
            <w:sz w:val="24"/>
            <w:szCs w:val="24"/>
          </w:rPr>
          <w:t>TST-Ag-MSCiv-1001043-66.2019.5.00.0000</w:t>
        </w:r>
      </w:hyperlink>
      <w:r>
        <w:rPr>
          <w:sz w:val="24"/>
          <w:szCs w:val="24"/>
          <w:u w:val="single"/>
        </w:rPr>
        <w:t xml:space="preserve">, Órgão Especial, rel. Min. Ives Gandra da Silva Martins Filho, 1º/6/2020. </w:t>
      </w:r>
    </w:p>
    <w:p w:rsidR="00654B75" w:rsidRPr="00654B75" w:rsidRDefault="00654B75" w:rsidP="00654B75">
      <w:pPr>
        <w:jc w:val="both"/>
        <w:rPr>
          <w:u w:val="single"/>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SEÇÃO </w:t>
      </w:r>
      <w:r w:rsidRPr="006717E0">
        <w:rPr>
          <w:rFonts w:ascii="Times New Roman" w:hAnsi="Times New Roman" w:cs="Times New Roman"/>
          <w:b/>
          <w:bCs/>
          <w:iCs/>
          <w:sz w:val="28"/>
          <w:lang w:val="pt-BR"/>
        </w:rPr>
        <w:t xml:space="preserve">ESPECIALIZADA EM DISSÍDIOS </w:t>
      </w:r>
      <w:r>
        <w:rPr>
          <w:rFonts w:ascii="Times New Roman" w:hAnsi="Times New Roman" w:cs="Times New Roman"/>
          <w:b/>
          <w:bCs/>
          <w:iCs/>
          <w:sz w:val="28"/>
          <w:lang w:val="pt-BR"/>
        </w:rPr>
        <w:t>COLETIVOS</w:t>
      </w:r>
    </w:p>
    <w:p w:rsidR="00654B75" w:rsidRPr="00220B10" w:rsidRDefault="00654B75" w:rsidP="00654B75">
      <w:pPr>
        <w:jc w:val="both"/>
        <w:rPr>
          <w:sz w:val="24"/>
          <w:szCs w:val="24"/>
        </w:rPr>
      </w:pPr>
    </w:p>
    <w:p w:rsidR="00654B75" w:rsidRPr="00894B83" w:rsidRDefault="00654B75" w:rsidP="00654B75">
      <w:pPr>
        <w:jc w:val="both"/>
        <w:rPr>
          <w:b/>
          <w:i/>
          <w:sz w:val="24"/>
          <w:szCs w:val="24"/>
        </w:rPr>
      </w:pPr>
      <w:r>
        <w:rPr>
          <w:b/>
          <w:i/>
          <w:sz w:val="24"/>
          <w:szCs w:val="24"/>
        </w:rPr>
        <w:t xml:space="preserve">Dissídio coletivo de greve. Greve em atividade não essencial deflagrada na vigência de Instrumento Normativo. Art. 14 da lei nº 7.783/89. Excludente de abusividade em face da exceção relativa ao descumprimento de normais legais imperativas e </w:t>
      </w:r>
      <w:r w:rsidRPr="00894B83">
        <w:rPr>
          <w:b/>
          <w:i/>
          <w:sz w:val="24"/>
          <w:szCs w:val="24"/>
        </w:rPr>
        <w:t xml:space="preserve">cláusulas normativas obrigatórias (“exceção do contrato não cumprido”). </w:t>
      </w:r>
    </w:p>
    <w:p w:rsidR="00654B75" w:rsidRDefault="00654B75" w:rsidP="00654B75">
      <w:pPr>
        <w:jc w:val="both"/>
        <w:rPr>
          <w:sz w:val="24"/>
          <w:szCs w:val="24"/>
        </w:rPr>
      </w:pPr>
      <w:r w:rsidRPr="00894B83">
        <w:rPr>
          <w:bCs/>
          <w:sz w:val="24"/>
          <w:szCs w:val="24"/>
        </w:rPr>
        <w:t>A greve motivada pelo descumprimento patronal de o</w:t>
      </w:r>
      <w:r w:rsidR="00787495">
        <w:rPr>
          <w:bCs/>
          <w:sz w:val="24"/>
          <w:szCs w:val="24"/>
        </w:rPr>
        <w:t xml:space="preserve">brigações contratuais e legais </w:t>
      </w:r>
      <w:r w:rsidRPr="00894B83">
        <w:rPr>
          <w:bCs/>
          <w:sz w:val="24"/>
          <w:szCs w:val="24"/>
        </w:rPr>
        <w:t>permite a mitigação da necessidade de cumprimento das formalidades legais para a sua deflagração</w:t>
      </w:r>
      <w:r w:rsidRPr="00894B83">
        <w:rPr>
          <w:sz w:val="24"/>
          <w:szCs w:val="24"/>
        </w:rPr>
        <w:t xml:space="preserve">, com base na excludente de abusividade prevista no art. 14, parágrafo único, da Lei 7.783/89. Nesse sentido, entende a SDC que um descumprimento residual não enseja a aplicação da “exceção do contrato não cumprido”, sendo necessário para a configuração dessa excludente um descumprimento grave, </w:t>
      </w:r>
      <w:r w:rsidRPr="00894B83">
        <w:rPr>
          <w:sz w:val="24"/>
          <w:szCs w:val="24"/>
        </w:rPr>
        <w:lastRenderedPageBreak/>
        <w:t xml:space="preserve">seja por sua natureza, seja pelo acúmulo de inadimplementos. No caso, embora a greve tenha sido realizada durante a vigência do instrumento normativo heterônomo, os fatos que ensejaram a paralisação foram bastante relevantes, pois houve inadimplemento de direitos fundamentais para viabilizar o curso normal da prestação de trabalho – atraso no adimplemento dos salários, não pagamento da terceira parcela do 13º salário de 2018 e </w:t>
      </w:r>
      <w:proofErr w:type="gramStart"/>
      <w:r w:rsidRPr="00894B83">
        <w:rPr>
          <w:sz w:val="24"/>
          <w:szCs w:val="24"/>
        </w:rPr>
        <w:t>ausência no cumprimento de outras obrigações contratuais e legais referentes</w:t>
      </w:r>
      <w:proofErr w:type="gramEnd"/>
      <w:r w:rsidRPr="00894B83">
        <w:rPr>
          <w:sz w:val="24"/>
          <w:szCs w:val="24"/>
        </w:rPr>
        <w:t xml:space="preserve"> a férias, depósitos de FGTS, fornecimento de EPI, vale-transporte –, o que torna legítima a paralisação da categoria profissional, com apoio na excludente de abusividade de greve prevista no parágrafo único do art. 14 da Lei 7.783/89. Sob esses fundamentos, a SDC decidiu, por unanimidade, quanto ao tópico,</w:t>
      </w:r>
      <w:r>
        <w:rPr>
          <w:sz w:val="24"/>
          <w:szCs w:val="24"/>
        </w:rPr>
        <w:t xml:space="preserve"> negar provimento ao recurso ordinário da empresa, mantendo a decisão regional que declarou a não abusividade da greve. </w:t>
      </w:r>
      <w:hyperlink r:id="rId11" w:history="1">
        <w:r>
          <w:rPr>
            <w:rStyle w:val="Hyperlink"/>
            <w:sz w:val="24"/>
            <w:szCs w:val="24"/>
          </w:rPr>
          <w:t>TST-RO-1000506-16.20</w:t>
        </w:r>
        <w:r>
          <w:rPr>
            <w:rStyle w:val="Hyperlink"/>
            <w:sz w:val="24"/>
            <w:szCs w:val="24"/>
          </w:rPr>
          <w:t>1</w:t>
        </w:r>
        <w:r>
          <w:rPr>
            <w:rStyle w:val="Hyperlink"/>
            <w:sz w:val="24"/>
            <w:szCs w:val="24"/>
          </w:rPr>
          <w:t>9.5.02.</w:t>
        </w:r>
        <w:r>
          <w:rPr>
            <w:rStyle w:val="Hyperlink"/>
            <w:sz w:val="24"/>
            <w:szCs w:val="24"/>
          </w:rPr>
          <w:t>0</w:t>
        </w:r>
        <w:r>
          <w:rPr>
            <w:rStyle w:val="Hyperlink"/>
            <w:sz w:val="24"/>
            <w:szCs w:val="24"/>
          </w:rPr>
          <w:t>000</w:t>
        </w:r>
      </w:hyperlink>
      <w:r>
        <w:rPr>
          <w:sz w:val="24"/>
          <w:szCs w:val="24"/>
          <w:u w:val="single"/>
        </w:rPr>
        <w:t>, SDC, rel. Min. Maurício Godinho Delgado, 8/6/2020.</w:t>
      </w:r>
    </w:p>
    <w:p w:rsidR="00654B75" w:rsidRPr="00220B10" w:rsidRDefault="00654B75" w:rsidP="00242069">
      <w:pPr>
        <w:adjustRightInd w:val="0"/>
        <w:spacing w:line="360" w:lineRule="auto"/>
        <w:jc w:val="both"/>
        <w:rPr>
          <w:sz w:val="24"/>
          <w:szCs w:val="24"/>
          <w:u w:val="single"/>
          <w:lang w:eastAsia="zh-CN"/>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rsidR="00654B75" w:rsidRPr="00654B75" w:rsidRDefault="00654B75" w:rsidP="00654B75">
      <w:pPr>
        <w:pStyle w:val="Identificao"/>
        <w:rPr>
          <w:rFonts w:ascii="Times New Roman" w:eastAsiaTheme="minorHAnsi" w:hAnsi="Times New Roman" w:cs="Times New Roman"/>
          <w:b/>
          <w:i/>
          <w:color w:val="auto"/>
          <w:sz w:val="20"/>
          <w:szCs w:val="20"/>
          <w:lang w:val="pt-BR" w:eastAsia="en-US"/>
        </w:rPr>
      </w:pPr>
    </w:p>
    <w:p w:rsidR="00654B75" w:rsidRPr="00654B75" w:rsidRDefault="00654B75" w:rsidP="00654B75">
      <w:pPr>
        <w:pStyle w:val="Identificao"/>
        <w:rPr>
          <w:rFonts w:ascii="Times New Roman" w:eastAsiaTheme="minorHAnsi" w:hAnsi="Times New Roman" w:cs="Times New Roman"/>
          <w:b/>
          <w:i/>
          <w:color w:val="auto"/>
          <w:lang w:val="pt-BR" w:eastAsia="en-US"/>
        </w:rPr>
      </w:pPr>
      <w:r w:rsidRPr="00654B75">
        <w:rPr>
          <w:rFonts w:ascii="Times New Roman" w:eastAsiaTheme="minorHAnsi" w:hAnsi="Times New Roman" w:cs="Times New Roman"/>
          <w:b/>
          <w:i/>
          <w:color w:val="auto"/>
          <w:lang w:val="pt-BR" w:eastAsia="en-US"/>
        </w:rPr>
        <w:t xml:space="preserve">Ente público. Terceirização. Responsabilidade subsidiária. Culpa </w:t>
      </w:r>
      <w:r w:rsidRPr="00654B75">
        <w:rPr>
          <w:rFonts w:ascii="Times New Roman" w:eastAsiaTheme="minorHAnsi" w:hAnsi="Times New Roman" w:cs="Times New Roman"/>
          <w:b/>
          <w:color w:val="auto"/>
          <w:lang w:val="pt-BR" w:eastAsia="en-US"/>
        </w:rPr>
        <w:t>in vigilando</w:t>
      </w:r>
      <w:r w:rsidRPr="00654B75">
        <w:rPr>
          <w:rFonts w:ascii="Times New Roman" w:eastAsiaTheme="minorHAnsi" w:hAnsi="Times New Roman" w:cs="Times New Roman"/>
          <w:b/>
          <w:i/>
          <w:color w:val="auto"/>
          <w:lang w:val="pt-BR" w:eastAsia="en-US"/>
        </w:rPr>
        <w:t>. Configuração.</w:t>
      </w:r>
    </w:p>
    <w:p w:rsidR="00654B75" w:rsidRPr="00654B75" w:rsidRDefault="00654B75" w:rsidP="00654B75">
      <w:pPr>
        <w:pStyle w:val="Identificao"/>
        <w:rPr>
          <w:rFonts w:ascii="Times New Roman" w:hAnsi="Times New Roman" w:cs="Times New Roman"/>
          <w:color w:val="auto"/>
          <w:u w:val="single"/>
          <w:lang w:val="pt-BR"/>
        </w:rPr>
      </w:pPr>
      <w:r w:rsidRPr="00654B75">
        <w:rPr>
          <w:rFonts w:ascii="Times New Roman" w:hAnsi="Times New Roman" w:cs="Times New Roman"/>
          <w:color w:val="auto"/>
          <w:lang w:val="pt-BR"/>
        </w:rPr>
        <w:t xml:space="preserve">Conquanto o mero inadimplemento das obrigações trabalhistas por parte do prestador de serviços não atribua automaticamente ao ente público tomador de serviços </w:t>
      </w:r>
      <w:proofErr w:type="gramStart"/>
      <w:r w:rsidRPr="00654B75">
        <w:rPr>
          <w:rFonts w:ascii="Times New Roman" w:hAnsi="Times New Roman" w:cs="Times New Roman"/>
          <w:color w:val="auto"/>
          <w:lang w:val="pt-BR"/>
        </w:rPr>
        <w:t>a</w:t>
      </w:r>
      <w:proofErr w:type="gramEnd"/>
      <w:r w:rsidRPr="00654B75">
        <w:rPr>
          <w:rFonts w:ascii="Times New Roman" w:hAnsi="Times New Roman" w:cs="Times New Roman"/>
          <w:color w:val="auto"/>
          <w:lang w:val="pt-BR"/>
        </w:rPr>
        <w:t xml:space="preserve"> responsabilidade subsidiária pelo pagamento do respectivo débito, subsiste a possibilidade de a Administração Pública ser responsabilizada quando se verificar a conduta culposa do tomador de serviços na fiscalização do correto cumprimento da legislação trabalhista e previdenciária na vigência do contrato administrativo. Esse foi o entendimento esposado pelo Supremo Tribunal Federal no julgamento da ADC nº 16, ao declarar a constitucionalidade do art. 71, § 1º, da Lei nº 8.666/1993. No presente caso, ficou demonstrada a culpa </w:t>
      </w:r>
      <w:r w:rsidRPr="00654B75">
        <w:rPr>
          <w:rFonts w:ascii="Times New Roman" w:hAnsi="Times New Roman" w:cs="Times New Roman"/>
          <w:i/>
          <w:color w:val="auto"/>
          <w:lang w:val="pt-BR"/>
        </w:rPr>
        <w:t>in vigilando</w:t>
      </w:r>
      <w:r w:rsidRPr="00654B75">
        <w:rPr>
          <w:rFonts w:ascii="Times New Roman" w:hAnsi="Times New Roman" w:cs="Times New Roman"/>
          <w:color w:val="auto"/>
          <w:lang w:val="pt-BR"/>
        </w:rPr>
        <w:t xml:space="preserve"> da tomadora de serviços, porquanto constatado o descumprimento das obrigações regulares do contrato de trabalho durante sua execução. Sob esse entendimento, a SBDI-1, em composição plena, por maioria, deu provimento aos embargos para restabelecer o acórdão proferido pelo Tribunal Regional na parte em que manteve a responsabilidade subsidiária da União. Vencidos os Ministros Alexandre Luiz Ramos, Hugo Carlos </w:t>
      </w:r>
      <w:proofErr w:type="spellStart"/>
      <w:r w:rsidRPr="00654B75">
        <w:rPr>
          <w:rFonts w:ascii="Times New Roman" w:hAnsi="Times New Roman" w:cs="Times New Roman"/>
          <w:color w:val="auto"/>
          <w:lang w:val="pt-BR"/>
        </w:rPr>
        <w:t>Scheuermann</w:t>
      </w:r>
      <w:proofErr w:type="spellEnd"/>
      <w:r w:rsidRPr="00654B75">
        <w:rPr>
          <w:rFonts w:ascii="Times New Roman" w:hAnsi="Times New Roman" w:cs="Times New Roman"/>
          <w:color w:val="auto"/>
          <w:lang w:val="pt-BR"/>
        </w:rPr>
        <w:t xml:space="preserve">, Breno Medeiros, Aloysio Corrêa da Veiga, Walmir Oliveira da Costa e Maria Cristina </w:t>
      </w:r>
      <w:proofErr w:type="spellStart"/>
      <w:r w:rsidRPr="00654B75">
        <w:rPr>
          <w:rFonts w:ascii="Times New Roman" w:hAnsi="Times New Roman" w:cs="Times New Roman"/>
          <w:color w:val="auto"/>
          <w:lang w:val="pt-BR"/>
        </w:rPr>
        <w:t>Irigoyen</w:t>
      </w:r>
      <w:proofErr w:type="spellEnd"/>
      <w:r w:rsidRPr="00654B75">
        <w:rPr>
          <w:rFonts w:ascii="Times New Roman" w:hAnsi="Times New Roman" w:cs="Times New Roman"/>
          <w:color w:val="auto"/>
          <w:lang w:val="pt-BR"/>
        </w:rPr>
        <w:t xml:space="preserve"> </w:t>
      </w:r>
      <w:proofErr w:type="spellStart"/>
      <w:r w:rsidRPr="00654B75">
        <w:rPr>
          <w:rFonts w:ascii="Times New Roman" w:hAnsi="Times New Roman" w:cs="Times New Roman"/>
          <w:color w:val="auto"/>
          <w:lang w:val="pt-BR"/>
        </w:rPr>
        <w:t>Peduzzi</w:t>
      </w:r>
      <w:proofErr w:type="spellEnd"/>
      <w:r w:rsidRPr="00654B75">
        <w:rPr>
          <w:rFonts w:ascii="Times New Roman" w:hAnsi="Times New Roman" w:cs="Times New Roman"/>
          <w:color w:val="auto"/>
          <w:lang w:val="pt-BR"/>
        </w:rPr>
        <w:t xml:space="preserve">. </w:t>
      </w:r>
      <w:hyperlink r:id="rId12" w:history="1">
        <w:r w:rsidRPr="00654B75">
          <w:rPr>
            <w:rStyle w:val="Hyperlink"/>
            <w:rFonts w:ascii="Times New Roman" w:eastAsiaTheme="minorHAnsi" w:hAnsi="Times New Roman"/>
            <w:lang w:val="pt-BR"/>
          </w:rPr>
          <w:t>TST-E-RR-992</w:t>
        </w:r>
        <w:r w:rsidRPr="00654B75">
          <w:rPr>
            <w:rStyle w:val="Hyperlink"/>
            <w:rFonts w:ascii="Times New Roman" w:eastAsiaTheme="minorHAnsi" w:hAnsi="Times New Roman"/>
            <w:lang w:val="pt-BR"/>
          </w:rPr>
          <w:t>-</w:t>
        </w:r>
        <w:r w:rsidRPr="00654B75">
          <w:rPr>
            <w:rStyle w:val="Hyperlink"/>
            <w:rFonts w:ascii="Times New Roman" w:eastAsiaTheme="minorHAnsi" w:hAnsi="Times New Roman"/>
            <w:lang w:val="pt-BR"/>
          </w:rPr>
          <w:t>25.20</w:t>
        </w:r>
        <w:r w:rsidRPr="00654B75">
          <w:rPr>
            <w:rStyle w:val="Hyperlink"/>
            <w:rFonts w:ascii="Times New Roman" w:eastAsiaTheme="minorHAnsi" w:hAnsi="Times New Roman"/>
            <w:lang w:val="pt-BR"/>
          </w:rPr>
          <w:t>1</w:t>
        </w:r>
        <w:r w:rsidRPr="00654B75">
          <w:rPr>
            <w:rStyle w:val="Hyperlink"/>
            <w:rFonts w:ascii="Times New Roman" w:eastAsiaTheme="minorHAnsi" w:hAnsi="Times New Roman"/>
            <w:lang w:val="pt-BR"/>
          </w:rPr>
          <w:t>4.5.04.0101</w:t>
        </w:r>
      </w:hyperlink>
      <w:r w:rsidRPr="00654B75">
        <w:rPr>
          <w:rFonts w:ascii="Times New Roman" w:hAnsi="Times New Roman" w:cs="Times New Roman"/>
          <w:color w:val="auto"/>
          <w:u w:val="single"/>
          <w:lang w:val="pt-BR"/>
        </w:rPr>
        <w:t>, SBDI-1, rel. Min. Augusto César Leite de Carvalho, 4/6/2020.</w:t>
      </w:r>
    </w:p>
    <w:p w:rsidR="00654B75" w:rsidRPr="00242069" w:rsidRDefault="00654B75" w:rsidP="00242069">
      <w:pPr>
        <w:adjustRightInd w:val="0"/>
        <w:spacing w:line="360" w:lineRule="auto"/>
        <w:jc w:val="both"/>
        <w:rPr>
          <w:sz w:val="24"/>
          <w:szCs w:val="24"/>
          <w:u w:val="single"/>
          <w:lang w:eastAsia="zh-CN"/>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rsidR="00654B75" w:rsidRPr="00220B10" w:rsidRDefault="00654B75" w:rsidP="00237380">
      <w:pPr>
        <w:adjustRightInd w:val="0"/>
        <w:jc w:val="both"/>
        <w:rPr>
          <w:sz w:val="24"/>
          <w:szCs w:val="24"/>
          <w:u w:val="single"/>
          <w:lang w:eastAsia="zh-CN"/>
        </w:rPr>
      </w:pPr>
    </w:p>
    <w:p w:rsidR="00654B75" w:rsidRDefault="00654B75" w:rsidP="00654B75">
      <w:pPr>
        <w:adjustRightInd w:val="0"/>
        <w:jc w:val="both"/>
        <w:rPr>
          <w:b/>
          <w:bCs/>
          <w:i/>
          <w:iCs/>
          <w:sz w:val="24"/>
          <w:szCs w:val="24"/>
        </w:rPr>
      </w:pPr>
      <w:r>
        <w:rPr>
          <w:b/>
          <w:bCs/>
          <w:i/>
          <w:iCs/>
          <w:sz w:val="24"/>
          <w:szCs w:val="24"/>
        </w:rPr>
        <w:t>Mandado de segurança. Execução. Decisão que determinou a suspensão da execução em cumprimento a provimento cautelar do STF em matéria com repercussão geral (RMNR). Existência de recurso idôneo para ataque da decisão. Orientação Jurisprudencial nº 92 da SBDI-II</w:t>
      </w:r>
      <w:r w:rsidR="00530FA0">
        <w:rPr>
          <w:b/>
          <w:bCs/>
          <w:i/>
          <w:iCs/>
          <w:sz w:val="24"/>
          <w:szCs w:val="24"/>
        </w:rPr>
        <w:t xml:space="preserve"> do TST</w:t>
      </w:r>
      <w:r>
        <w:rPr>
          <w:b/>
          <w:bCs/>
          <w:i/>
          <w:iCs/>
          <w:sz w:val="24"/>
          <w:szCs w:val="24"/>
        </w:rPr>
        <w:t>.</w:t>
      </w:r>
    </w:p>
    <w:p w:rsidR="00654B75" w:rsidRDefault="00654B75" w:rsidP="00654B75">
      <w:pPr>
        <w:adjustRightInd w:val="0"/>
        <w:jc w:val="both"/>
        <w:rPr>
          <w:bCs/>
          <w:iCs/>
          <w:sz w:val="24"/>
          <w:szCs w:val="24"/>
        </w:rPr>
      </w:pPr>
      <w:r>
        <w:rPr>
          <w:bCs/>
          <w:iCs/>
          <w:sz w:val="24"/>
          <w:szCs w:val="24"/>
        </w:rPr>
        <w:t xml:space="preserve">Não é cabível o manejo de mandado de segurança para impugnar decisão que suspendeu a execução de título judicial em que deferidas diferenças de remuneração mínima por nível de regime – RMNR, em obediência a provimento cautelar emanado do Supremo Tribunal Federal em questão gravada de repercussão geral. Na presente hipótese, a determinação de suspensão da execução definitiva, exarada no bojo da decisão de extinção, sem resolução do mérito, dos embargos à execução, pode ser impugnada por meio da interposição de agravo de petição, não sendo adequada a utilização da via mandamental. Com efeito, havendo no ordenamento jurídico instrumento processual idôneo para corrigir a suposta ilegalidade cometida pela autoridade apontada como coatora (no caso, agravo de petição), revela-se incabível a impetração do </w:t>
      </w:r>
      <w:proofErr w:type="spellStart"/>
      <w:r>
        <w:rPr>
          <w:bCs/>
          <w:i/>
          <w:iCs/>
          <w:sz w:val="24"/>
          <w:szCs w:val="24"/>
        </w:rPr>
        <w:t>mandamus</w:t>
      </w:r>
      <w:proofErr w:type="spellEnd"/>
      <w:r>
        <w:rPr>
          <w:bCs/>
          <w:iCs/>
          <w:sz w:val="24"/>
          <w:szCs w:val="24"/>
        </w:rPr>
        <w:t xml:space="preserve">. Inteligência da Orientação Jurisprudencial nº 92 da SBDI-II. Sob esse fundamento, a SBDI-II, por unanimidade, conheceu do recurso ordinário em mandado de segurança e, no mérito, negou-lhe provimento. </w:t>
      </w:r>
      <w:hyperlink r:id="rId13" w:history="1">
        <w:r>
          <w:rPr>
            <w:rStyle w:val="Hyperlink"/>
            <w:sz w:val="24"/>
            <w:szCs w:val="24"/>
          </w:rPr>
          <w:t>TST-RO-21653-61.2019.5.04.0000</w:t>
        </w:r>
      </w:hyperlink>
      <w:r>
        <w:rPr>
          <w:sz w:val="24"/>
          <w:szCs w:val="24"/>
          <w:u w:val="single"/>
        </w:rPr>
        <w:t xml:space="preserve">, SBDI-II, rel. Min. </w:t>
      </w:r>
      <w:r>
        <w:rPr>
          <w:bCs/>
          <w:sz w:val="24"/>
          <w:szCs w:val="24"/>
          <w:u w:val="single"/>
          <w:shd w:val="clear" w:color="auto" w:fill="FFFFFF"/>
        </w:rPr>
        <w:t>Douglas Alencar Rodrigues</w:t>
      </w:r>
      <w:r>
        <w:rPr>
          <w:sz w:val="24"/>
          <w:szCs w:val="24"/>
          <w:u w:val="single"/>
        </w:rPr>
        <w:t>, 9/6/2020.</w:t>
      </w:r>
    </w:p>
    <w:p w:rsidR="00654B75" w:rsidRPr="00220B10" w:rsidRDefault="00654B75" w:rsidP="00654B75">
      <w:pPr>
        <w:jc w:val="both"/>
        <w:rPr>
          <w:rFonts w:eastAsiaTheme="minorEastAsia"/>
          <w:sz w:val="24"/>
          <w:szCs w:val="24"/>
        </w:rPr>
      </w:pPr>
    </w:p>
    <w:p w:rsidR="00654B75" w:rsidRPr="00B4525E" w:rsidRDefault="00654B75" w:rsidP="00654B75">
      <w:pPr>
        <w:jc w:val="both"/>
        <w:rPr>
          <w:b/>
          <w:i/>
          <w:sz w:val="24"/>
          <w:szCs w:val="24"/>
        </w:rPr>
      </w:pPr>
      <w:r w:rsidRPr="00203CB3">
        <w:rPr>
          <w:b/>
          <w:sz w:val="24"/>
          <w:szCs w:val="24"/>
        </w:rPr>
        <w:t>Habeas corpus</w:t>
      </w:r>
      <w:r w:rsidRPr="0047203B">
        <w:rPr>
          <w:b/>
          <w:i/>
          <w:sz w:val="24"/>
          <w:szCs w:val="24"/>
        </w:rPr>
        <w:t xml:space="preserve">. Não cabimento. Liminar deferida em mandado de segurança interposto pela </w:t>
      </w:r>
      <w:proofErr w:type="spellStart"/>
      <w:r w:rsidRPr="0047203B">
        <w:rPr>
          <w:b/>
          <w:i/>
          <w:sz w:val="24"/>
          <w:szCs w:val="24"/>
        </w:rPr>
        <w:t>ex-empregadora</w:t>
      </w:r>
      <w:proofErr w:type="spellEnd"/>
      <w:r w:rsidRPr="0047203B">
        <w:rPr>
          <w:b/>
          <w:i/>
          <w:sz w:val="24"/>
          <w:szCs w:val="24"/>
        </w:rPr>
        <w:t xml:space="preserve">. </w:t>
      </w:r>
      <w:r>
        <w:rPr>
          <w:b/>
          <w:i/>
          <w:sz w:val="24"/>
          <w:szCs w:val="24"/>
        </w:rPr>
        <w:t>Cláusula de não concorrência</w:t>
      </w:r>
      <w:r w:rsidRPr="0047203B">
        <w:rPr>
          <w:b/>
          <w:i/>
          <w:sz w:val="24"/>
          <w:szCs w:val="24"/>
        </w:rPr>
        <w:t>. Ausência de restrição ao direito de liberdade de locomoção.</w:t>
      </w:r>
    </w:p>
    <w:p w:rsidR="00654B75" w:rsidRPr="00ED6EE1" w:rsidRDefault="00654B75" w:rsidP="00654B75">
      <w:pPr>
        <w:jc w:val="both"/>
        <w:rPr>
          <w:sz w:val="24"/>
          <w:szCs w:val="24"/>
        </w:rPr>
      </w:pPr>
      <w:r>
        <w:rPr>
          <w:sz w:val="24"/>
          <w:szCs w:val="24"/>
        </w:rPr>
        <w:t xml:space="preserve">Conforme diversos julgados do STF e do STJ, o objeto de tutela do </w:t>
      </w:r>
      <w:r w:rsidRPr="00203CB3">
        <w:rPr>
          <w:i/>
          <w:sz w:val="24"/>
          <w:szCs w:val="24"/>
        </w:rPr>
        <w:t>habeas corpus</w:t>
      </w:r>
      <w:r>
        <w:rPr>
          <w:sz w:val="24"/>
          <w:szCs w:val="24"/>
        </w:rPr>
        <w:t xml:space="preserve"> é a defesa do direito físico de ir e vir. Assim, é incabível </w:t>
      </w:r>
      <w:r w:rsidRPr="00203CB3">
        <w:rPr>
          <w:i/>
          <w:sz w:val="24"/>
          <w:szCs w:val="24"/>
        </w:rPr>
        <w:t>habeas corpus</w:t>
      </w:r>
      <w:r>
        <w:rPr>
          <w:sz w:val="24"/>
          <w:szCs w:val="24"/>
        </w:rPr>
        <w:t xml:space="preserve"> para discutir interpretação do conteúdo de cláusula contratual para se extrair a garantia de exercício profissional. No caso</w:t>
      </w:r>
      <w:r w:rsidRPr="0047203B">
        <w:rPr>
          <w:sz w:val="24"/>
          <w:szCs w:val="24"/>
        </w:rPr>
        <w:t xml:space="preserve">, concedeu-se liminar no âmbito do Regional para que o trabalhador se abstenha de prestar serviços a empresas concorrentes e, portanto, cumpra o </w:t>
      </w:r>
      <w:r w:rsidRPr="00AC3D4C">
        <w:rPr>
          <w:sz w:val="24"/>
          <w:szCs w:val="24"/>
        </w:rPr>
        <w:t>disposto</w:t>
      </w:r>
      <w:r w:rsidRPr="0047203B">
        <w:rPr>
          <w:sz w:val="24"/>
          <w:szCs w:val="24"/>
        </w:rPr>
        <w:t xml:space="preserve"> em cláusula de não concorrência </w:t>
      </w:r>
      <w:r>
        <w:rPr>
          <w:sz w:val="24"/>
          <w:szCs w:val="24"/>
        </w:rPr>
        <w:t>prevista</w:t>
      </w:r>
      <w:r w:rsidRPr="0047203B">
        <w:rPr>
          <w:sz w:val="24"/>
          <w:szCs w:val="24"/>
        </w:rPr>
        <w:t xml:space="preserve"> em aditivo ao contrato de trabalho</w:t>
      </w:r>
      <w:r>
        <w:rPr>
          <w:sz w:val="24"/>
          <w:szCs w:val="24"/>
        </w:rPr>
        <w:t xml:space="preserve">. Assim, o trabalhador não está cerceado na sua liberdade de locomoção. Ele se impôs, em razão das suas condições subjetivas, um dever de abstenção, sendo compensado por isso. A discussão está em estrita consonância com o devido processo legal perante as instâncias da Justiça do Trabalho. Portanto, a só delonga no julgamento do agravo interno não representa elemento suficiente para justificar o cabimento do </w:t>
      </w:r>
      <w:r>
        <w:rPr>
          <w:i/>
          <w:sz w:val="24"/>
          <w:szCs w:val="24"/>
        </w:rPr>
        <w:t>habeas corpus</w:t>
      </w:r>
      <w:r>
        <w:rPr>
          <w:sz w:val="24"/>
          <w:szCs w:val="24"/>
        </w:rPr>
        <w:t xml:space="preserve">. </w:t>
      </w:r>
      <w:r w:rsidRPr="0047203B">
        <w:rPr>
          <w:sz w:val="24"/>
          <w:szCs w:val="24"/>
        </w:rPr>
        <w:t>Sob esses fundamentos, a SBDI-II,</w:t>
      </w:r>
      <w:r>
        <w:rPr>
          <w:sz w:val="24"/>
          <w:szCs w:val="24"/>
        </w:rPr>
        <w:t xml:space="preserve"> </w:t>
      </w:r>
      <w:r w:rsidRPr="00757508">
        <w:rPr>
          <w:sz w:val="24"/>
          <w:szCs w:val="24"/>
        </w:rPr>
        <w:t xml:space="preserve">por maioria, </w:t>
      </w:r>
      <w:r>
        <w:rPr>
          <w:sz w:val="24"/>
          <w:szCs w:val="24"/>
        </w:rPr>
        <w:t>entendeu incabível</w:t>
      </w:r>
      <w:r w:rsidRPr="00757508">
        <w:rPr>
          <w:sz w:val="24"/>
          <w:szCs w:val="24"/>
        </w:rPr>
        <w:t xml:space="preserve"> o </w:t>
      </w:r>
      <w:r w:rsidRPr="00203CB3">
        <w:rPr>
          <w:i/>
          <w:sz w:val="24"/>
          <w:szCs w:val="24"/>
        </w:rPr>
        <w:t>habeas corpus</w:t>
      </w:r>
      <w:r w:rsidRPr="00757508">
        <w:rPr>
          <w:sz w:val="24"/>
          <w:szCs w:val="24"/>
        </w:rPr>
        <w:t>, extinguindo o p</w:t>
      </w:r>
      <w:r>
        <w:rPr>
          <w:sz w:val="24"/>
          <w:szCs w:val="24"/>
        </w:rPr>
        <w:t xml:space="preserve">rocesso sem resolução de mérito e afastada a liminar deferida Ministra </w:t>
      </w:r>
      <w:r w:rsidRPr="00757508">
        <w:rPr>
          <w:sz w:val="24"/>
          <w:szCs w:val="24"/>
        </w:rPr>
        <w:t xml:space="preserve">Maria Helena </w:t>
      </w:r>
      <w:proofErr w:type="spellStart"/>
      <w:r w:rsidRPr="00757508">
        <w:rPr>
          <w:sz w:val="24"/>
          <w:szCs w:val="24"/>
        </w:rPr>
        <w:t>Mallmann</w:t>
      </w:r>
      <w:proofErr w:type="spellEnd"/>
      <w:r>
        <w:rPr>
          <w:sz w:val="24"/>
          <w:szCs w:val="24"/>
        </w:rPr>
        <w:t xml:space="preserve">. </w:t>
      </w:r>
      <w:r w:rsidRPr="00757508">
        <w:rPr>
          <w:sz w:val="24"/>
          <w:szCs w:val="24"/>
        </w:rPr>
        <w:t xml:space="preserve">Vencidos os Ministros Maria Helena </w:t>
      </w:r>
      <w:proofErr w:type="spellStart"/>
      <w:r w:rsidRPr="00757508">
        <w:rPr>
          <w:sz w:val="24"/>
          <w:szCs w:val="24"/>
        </w:rPr>
        <w:t>Mallmann</w:t>
      </w:r>
      <w:proofErr w:type="spellEnd"/>
      <w:r>
        <w:rPr>
          <w:sz w:val="24"/>
          <w:szCs w:val="24"/>
        </w:rPr>
        <w:t>, relatora,</w:t>
      </w:r>
      <w:r w:rsidRPr="00757508">
        <w:rPr>
          <w:sz w:val="24"/>
          <w:szCs w:val="24"/>
        </w:rPr>
        <w:t xml:space="preserve"> Al</w:t>
      </w:r>
      <w:r>
        <w:rPr>
          <w:sz w:val="24"/>
          <w:szCs w:val="24"/>
        </w:rPr>
        <w:t xml:space="preserve">exandre de Souza Agra Belmonte e </w:t>
      </w:r>
      <w:proofErr w:type="spellStart"/>
      <w:r w:rsidRPr="00757508">
        <w:rPr>
          <w:sz w:val="24"/>
          <w:szCs w:val="24"/>
        </w:rPr>
        <w:t>Delaíd</w:t>
      </w:r>
      <w:r>
        <w:rPr>
          <w:sz w:val="24"/>
          <w:szCs w:val="24"/>
        </w:rPr>
        <w:t>e</w:t>
      </w:r>
      <w:proofErr w:type="spellEnd"/>
      <w:r>
        <w:rPr>
          <w:sz w:val="24"/>
          <w:szCs w:val="24"/>
        </w:rPr>
        <w:t xml:space="preserve"> Miranda Arantes. </w:t>
      </w:r>
      <w:r w:rsidRPr="00B4525E">
        <w:rPr>
          <w:sz w:val="24"/>
          <w:szCs w:val="24"/>
          <w:u w:val="single"/>
        </w:rPr>
        <w:t>TST</w:t>
      </w:r>
      <w:hyperlink r:id="rId14" w:history="1">
        <w:r w:rsidRPr="00381789">
          <w:rPr>
            <w:rStyle w:val="Hyperlink"/>
            <w:sz w:val="24"/>
            <w:szCs w:val="24"/>
          </w:rPr>
          <w:t>-</w:t>
        </w:r>
        <w:r w:rsidRPr="00381789">
          <w:rPr>
            <w:rStyle w:val="Hyperlink"/>
          </w:rPr>
          <w:t xml:space="preserve"> </w:t>
        </w:r>
        <w:proofErr w:type="gramStart"/>
        <w:r w:rsidRPr="00381789">
          <w:rPr>
            <w:rStyle w:val="Hyperlink"/>
            <w:sz w:val="24"/>
            <w:szCs w:val="24"/>
          </w:rPr>
          <w:t>HCCiv</w:t>
        </w:r>
        <w:proofErr w:type="gramEnd"/>
        <w:r w:rsidRPr="00381789">
          <w:rPr>
            <w:rStyle w:val="Hyperlink"/>
            <w:sz w:val="24"/>
            <w:szCs w:val="24"/>
          </w:rPr>
          <w:t>-1000288-08.2020.5.00.0000</w:t>
        </w:r>
      </w:hyperlink>
      <w:r w:rsidRPr="00B4525E">
        <w:rPr>
          <w:sz w:val="24"/>
          <w:szCs w:val="24"/>
          <w:u w:val="single"/>
        </w:rPr>
        <w:t>, SBDI-I</w:t>
      </w:r>
      <w:r>
        <w:rPr>
          <w:sz w:val="24"/>
          <w:szCs w:val="24"/>
          <w:u w:val="single"/>
        </w:rPr>
        <w:t xml:space="preserve">I, rel. Min. Maria Helena </w:t>
      </w:r>
      <w:proofErr w:type="spellStart"/>
      <w:r>
        <w:rPr>
          <w:sz w:val="24"/>
          <w:szCs w:val="24"/>
          <w:u w:val="single"/>
        </w:rPr>
        <w:t>Mallmann</w:t>
      </w:r>
      <w:proofErr w:type="spellEnd"/>
      <w:r>
        <w:rPr>
          <w:sz w:val="24"/>
          <w:szCs w:val="24"/>
          <w:u w:val="single"/>
        </w:rPr>
        <w:t>, red</w:t>
      </w:r>
      <w:r w:rsidRPr="00B4525E">
        <w:rPr>
          <w:sz w:val="24"/>
          <w:szCs w:val="24"/>
          <w:u w:val="single"/>
        </w:rPr>
        <w:t>.</w:t>
      </w:r>
      <w:r>
        <w:rPr>
          <w:sz w:val="24"/>
          <w:szCs w:val="24"/>
          <w:u w:val="single"/>
        </w:rPr>
        <w:t xml:space="preserve"> p/ acórdão</w:t>
      </w:r>
      <w:r w:rsidRPr="00B4525E">
        <w:rPr>
          <w:sz w:val="24"/>
          <w:szCs w:val="24"/>
          <w:u w:val="single"/>
        </w:rPr>
        <w:t xml:space="preserve"> Min.</w:t>
      </w:r>
      <w:r>
        <w:rPr>
          <w:sz w:val="24"/>
          <w:szCs w:val="24"/>
          <w:u w:val="single"/>
        </w:rPr>
        <w:t xml:space="preserve"> Douglas Alencar Rodrigues</w:t>
      </w:r>
      <w:r w:rsidRPr="00B4525E">
        <w:rPr>
          <w:sz w:val="24"/>
          <w:szCs w:val="24"/>
          <w:u w:val="single"/>
        </w:rPr>
        <w:t xml:space="preserve">, </w:t>
      </w:r>
      <w:r>
        <w:rPr>
          <w:sz w:val="24"/>
          <w:szCs w:val="24"/>
          <w:u w:val="single"/>
        </w:rPr>
        <w:t>9/6/2020.</w:t>
      </w:r>
    </w:p>
    <w:p w:rsidR="005848D7" w:rsidRPr="001144F9" w:rsidRDefault="005848D7" w:rsidP="001144F9">
      <w:pPr>
        <w:spacing w:line="360" w:lineRule="auto"/>
        <w:jc w:val="both"/>
        <w:rPr>
          <w:sz w:val="24"/>
          <w:szCs w:val="24"/>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220B10" w:rsidRDefault="004B3120" w:rsidP="001144F9">
      <w:pPr>
        <w:jc w:val="both"/>
        <w:outlineLvl w:val="0"/>
        <w:rPr>
          <w:rFonts w:eastAsiaTheme="minorEastAsia"/>
          <w:color w:val="000000"/>
          <w:sz w:val="24"/>
          <w:szCs w:val="24"/>
        </w:rPr>
      </w:pPr>
      <w:bookmarkStart w:id="0" w:name="Ementa"/>
      <w:bookmarkStart w:id="1" w:name="tempEmenta"/>
    </w:p>
    <w:p w:rsidR="00654B75" w:rsidRPr="001A52B8" w:rsidRDefault="00654B75" w:rsidP="00654B75">
      <w:pPr>
        <w:jc w:val="both"/>
        <w:outlineLvl w:val="0"/>
        <w:rPr>
          <w:rFonts w:eastAsiaTheme="minorEastAsia"/>
          <w:b/>
          <w:i/>
          <w:color w:val="000000"/>
          <w:sz w:val="24"/>
          <w:szCs w:val="24"/>
        </w:rPr>
      </w:pPr>
      <w:r>
        <w:rPr>
          <w:i/>
          <w:sz w:val="24"/>
          <w:szCs w:val="24"/>
        </w:rPr>
        <w:t>“</w:t>
      </w:r>
      <w:r w:rsidRPr="00674912">
        <w:rPr>
          <w:i/>
          <w:sz w:val="24"/>
          <w:szCs w:val="24"/>
        </w:rPr>
        <w:t xml:space="preserve">RECURSO DE REVISTA. JORNADA DE TRABALHO DAS 5H30M ÀS 21H COM INTERVALO DAS 11H ÀS 14H. NECESSIDADE DE OUTRO INTERVALO NA “SEGUNDA PEGADA”. O art. 71, caput, da CLT é claro ao estabelecer a necessidade de intervalo mínimo de uma hora “em qualquer trabalho contínuo, cuja duração exceda </w:t>
      </w:r>
      <w:proofErr w:type="gramStart"/>
      <w:r w:rsidRPr="00674912">
        <w:rPr>
          <w:i/>
          <w:sz w:val="24"/>
          <w:szCs w:val="24"/>
        </w:rPr>
        <w:t>a</w:t>
      </w:r>
      <w:proofErr w:type="gramEnd"/>
      <w:r w:rsidRPr="00674912">
        <w:rPr>
          <w:i/>
          <w:sz w:val="24"/>
          <w:szCs w:val="24"/>
        </w:rPr>
        <w:t xml:space="preserve"> seis horas”. Registrado no acórdão que a jornada de trabalho do reclamante era das 5h30 até às 21h, com intervalo das 11 às 14h, tem-se que foi devidamente concedido o intervalo intrajornada previsto no art. 71, caput, da CLT. Mesmo no sistema de dupla pegada, para fins do intervalo intrajornada, há uma única jornada a ser considerada, de modo que atenta contra o referido dispositivo legal o entendimento que considera devido mais um período de descanso porque a segunda pegada teria ultrapassado o limite de seis horas contínuas de trabalho. Recurso de Revista conhecido e provido.</w:t>
      </w:r>
      <w:r w:rsidRPr="001A52B8">
        <w:rPr>
          <w:i/>
          <w:sz w:val="24"/>
          <w:szCs w:val="24"/>
        </w:rPr>
        <w:t>”</w:t>
      </w:r>
      <w:r w:rsidRPr="001A52B8">
        <w:rPr>
          <w:sz w:val="24"/>
          <w:szCs w:val="24"/>
        </w:rPr>
        <w:t xml:space="preserve"> (</w:t>
      </w:r>
      <w:bookmarkStart w:id="2" w:name="NumProc"/>
      <w:r>
        <w:rPr>
          <w:sz w:val="24"/>
          <w:szCs w:val="24"/>
        </w:rPr>
        <w:fldChar w:fldCharType="begin"/>
      </w:r>
      <w:r>
        <w:rPr>
          <w:sz w:val="24"/>
          <w:szCs w:val="24"/>
        </w:rPr>
        <w:instrText xml:space="preserve"> HYPERLINK "http://aplicacao4.tst.jus.br/consultaProcessual/resumoForm.do?consulta=1&amp;numeroInt=52375&amp;anoInt=2012&amp;qtdAcesso=49350789" </w:instrText>
      </w:r>
      <w:r>
        <w:rPr>
          <w:sz w:val="24"/>
          <w:szCs w:val="24"/>
        </w:rPr>
        <w:fldChar w:fldCharType="separate"/>
      </w:r>
      <w:r w:rsidRPr="00D369E5">
        <w:rPr>
          <w:rStyle w:val="Hyperlink"/>
          <w:sz w:val="24"/>
          <w:szCs w:val="24"/>
        </w:rPr>
        <w:t>TST-RR-144000-10.2008.5.01.0245</w:t>
      </w:r>
      <w:bookmarkEnd w:id="2"/>
      <w:r>
        <w:rPr>
          <w:sz w:val="24"/>
          <w:szCs w:val="24"/>
        </w:rPr>
        <w:fldChar w:fldCharType="end"/>
      </w:r>
      <w:r w:rsidRPr="00D369E5">
        <w:rPr>
          <w:sz w:val="24"/>
          <w:szCs w:val="24"/>
        </w:rPr>
        <w:t xml:space="preserve">, 1ª Turma, rel. Min. </w:t>
      </w:r>
      <w:r w:rsidR="00276468">
        <w:rPr>
          <w:sz w:val="24"/>
          <w:szCs w:val="24"/>
        </w:rPr>
        <w:t xml:space="preserve">Luiz </w:t>
      </w:r>
      <w:r w:rsidRPr="00D369E5">
        <w:rPr>
          <w:sz w:val="24"/>
          <w:szCs w:val="24"/>
        </w:rPr>
        <w:t>José Dezena da Silva, julgado em 10/6/2020</w:t>
      </w:r>
      <w:r>
        <w:rPr>
          <w:sz w:val="24"/>
          <w:szCs w:val="24"/>
        </w:rPr>
        <w:t>.</w:t>
      </w:r>
      <w:r w:rsidRPr="001A52B8">
        <w:rPr>
          <w:sz w:val="24"/>
          <w:szCs w:val="24"/>
        </w:rPr>
        <w:t>)</w:t>
      </w:r>
    </w:p>
    <w:p w:rsidR="00654B75" w:rsidRPr="00220B10" w:rsidRDefault="00654B75" w:rsidP="001144F9">
      <w:pPr>
        <w:jc w:val="both"/>
        <w:outlineLvl w:val="0"/>
        <w:rPr>
          <w:sz w:val="24"/>
          <w:szCs w:val="24"/>
        </w:rPr>
      </w:pPr>
    </w:p>
    <w:p w:rsidR="00654B75" w:rsidRPr="00220B10" w:rsidRDefault="00654B75" w:rsidP="00654B75">
      <w:pPr>
        <w:pStyle w:val="Ementa"/>
        <w:ind w:left="0"/>
        <w:rPr>
          <w:rFonts w:ascii="Times New Roman" w:hAnsi="Times New Roman" w:cs="Times New Roman"/>
        </w:rPr>
      </w:pPr>
      <w:r w:rsidRPr="00654B75">
        <w:rPr>
          <w:rFonts w:ascii="Times New Roman" w:hAnsi="Times New Roman" w:cs="Times New Roman"/>
          <w:i/>
          <w:color w:val="auto"/>
          <w:lang w:val="pt-BR"/>
        </w:rPr>
        <w:t xml:space="preserve">“RECURSO DE REVISTA DO RECLAMANTE INTERPOSTO ANTES DA LEI 13.015/2014. RETORNO DOS AUTOS. ANÁLISE DOS TEMAS SOBRESTADOS. DISPENSA POR JUSTA CAUSA. DESCARACTERIZAÇÃO. RECURSO DE REVISTA CONHECIDO POR DIVERGÊNCIA JURISPRUDENCIAL. </w:t>
      </w:r>
      <w:proofErr w:type="gramStart"/>
      <w:r w:rsidRPr="00654B75">
        <w:rPr>
          <w:rFonts w:ascii="Times New Roman" w:hAnsi="Times New Roman" w:cs="Times New Roman"/>
          <w:i/>
          <w:color w:val="auto"/>
          <w:lang w:val="pt-BR"/>
        </w:rPr>
        <w:t>1</w:t>
      </w:r>
      <w:proofErr w:type="gramEnd"/>
      <w:r w:rsidRPr="00654B75">
        <w:rPr>
          <w:rFonts w:ascii="Times New Roman" w:hAnsi="Times New Roman" w:cs="Times New Roman"/>
          <w:i/>
          <w:color w:val="auto"/>
          <w:lang w:val="pt-BR"/>
        </w:rPr>
        <w:t xml:space="preserve">. Cinge-se a controvérsia em se definir se o autor teria praticado falta grave que justificasse a dispensa por justa causa perpetrada pela empresa, sob a alegação de que ele, na condição de Presidente da reclamada, teria negligenciado os balanços contábeis da empresa. 2. Segundo o registro fático consignado pelo Tribunal Regional do Trabalho, a fraude consistia na manipulação dos resultados de venda, de modo a obter-se resultados de crescimento. Consta da decisão recorrida que “havia venda em consignação de produtos em volume superior ao que a empresa, normalmente praticaria e, ainda as devoluções de mercadorias eram lançadas com atrasos. </w:t>
      </w:r>
      <w:proofErr w:type="gramStart"/>
      <w:r w:rsidRPr="00654B75">
        <w:rPr>
          <w:rFonts w:ascii="Times New Roman" w:hAnsi="Times New Roman" w:cs="Times New Roman"/>
          <w:i/>
          <w:color w:val="auto"/>
          <w:lang w:val="pt-BR"/>
        </w:rPr>
        <w:t>Com tais procedimentos a empresa mantinha uma aparência de que as vendas eram altas, o que não corria, na medida em que as vendas em consignação permitem a devolução das mercadorias, o que de fato, ocorria.”</w:t>
      </w:r>
      <w:proofErr w:type="gramEnd"/>
      <w:r w:rsidRPr="00654B75">
        <w:rPr>
          <w:rFonts w:ascii="Times New Roman" w:hAnsi="Times New Roman" w:cs="Times New Roman"/>
          <w:i/>
          <w:color w:val="auto"/>
          <w:lang w:val="pt-BR"/>
        </w:rPr>
        <w:t xml:space="preserve">. Resta claro na decisão recorrida que, segundo a auditoria realizada por iniciativa da empresa, a fraude foi praticada por um Diretor Vice Presidente (da área </w:t>
      </w:r>
      <w:proofErr w:type="spellStart"/>
      <w:r w:rsidRPr="00654B75">
        <w:rPr>
          <w:rFonts w:ascii="Times New Roman" w:hAnsi="Times New Roman" w:cs="Times New Roman"/>
          <w:i/>
          <w:color w:val="auto"/>
          <w:lang w:val="pt-BR"/>
        </w:rPr>
        <w:t>fianceira</w:t>
      </w:r>
      <w:proofErr w:type="spellEnd"/>
      <w:r w:rsidRPr="00654B75">
        <w:rPr>
          <w:rFonts w:ascii="Times New Roman" w:hAnsi="Times New Roman" w:cs="Times New Roman"/>
          <w:i/>
          <w:color w:val="auto"/>
          <w:lang w:val="pt-BR"/>
        </w:rPr>
        <w:t xml:space="preserve">/comercial). 3. Com amparo em balanços de vendas que se apresentaram inflados em </w:t>
      </w:r>
      <w:r w:rsidRPr="00654B75">
        <w:rPr>
          <w:rFonts w:ascii="Times New Roman" w:hAnsi="Times New Roman" w:cs="Times New Roman"/>
          <w:i/>
          <w:color w:val="auto"/>
          <w:lang w:val="pt-BR"/>
        </w:rPr>
        <w:lastRenderedPageBreak/>
        <w:t xml:space="preserve">inúmeras oportunidades, o TRT fundamentou que caberia ao autor identificar as irregularidades pois “mesmo um leigo deveria estranhar a discrepância de resultados, quanto mais um alto empregado do porte do autor , e concluiu que “embora não exista nos autos prova de que o autor tenha participado da fraude, é certo que a discrepância de resultados deveria ter chamado a atenção do </w:t>
      </w:r>
      <w:proofErr w:type="spellStart"/>
      <w:r w:rsidRPr="00654B75">
        <w:rPr>
          <w:rFonts w:ascii="Times New Roman" w:hAnsi="Times New Roman" w:cs="Times New Roman"/>
          <w:i/>
          <w:color w:val="auto"/>
          <w:lang w:val="pt-BR"/>
        </w:rPr>
        <w:t>acionante</w:t>
      </w:r>
      <w:proofErr w:type="spellEnd"/>
      <w:r w:rsidRPr="00654B75">
        <w:rPr>
          <w:rFonts w:ascii="Times New Roman" w:hAnsi="Times New Roman" w:cs="Times New Roman"/>
          <w:i/>
          <w:color w:val="auto"/>
          <w:lang w:val="pt-BR"/>
        </w:rPr>
        <w:t xml:space="preserve">. </w:t>
      </w:r>
      <w:r w:rsidRPr="006E5E93">
        <w:rPr>
          <w:rFonts w:ascii="Times New Roman" w:hAnsi="Times New Roman" w:cs="Times New Roman"/>
          <w:i/>
          <w:color w:val="auto"/>
        </w:rPr>
        <w:t xml:space="preserve">A </w:t>
      </w:r>
      <w:proofErr w:type="spellStart"/>
      <w:r w:rsidRPr="006E5E93">
        <w:rPr>
          <w:rFonts w:ascii="Times New Roman" w:hAnsi="Times New Roman" w:cs="Times New Roman"/>
          <w:i/>
          <w:color w:val="auto"/>
        </w:rPr>
        <w:t>sua</w:t>
      </w:r>
      <w:proofErr w:type="spellEnd"/>
      <w:r w:rsidRPr="006E5E93">
        <w:rPr>
          <w:rFonts w:ascii="Times New Roman" w:hAnsi="Times New Roman" w:cs="Times New Roman"/>
          <w:i/>
          <w:color w:val="auto"/>
        </w:rPr>
        <w:t xml:space="preserve"> </w:t>
      </w:r>
      <w:proofErr w:type="spellStart"/>
      <w:r w:rsidRPr="006E5E93">
        <w:rPr>
          <w:rFonts w:ascii="Times New Roman" w:hAnsi="Times New Roman" w:cs="Times New Roman"/>
          <w:i/>
          <w:color w:val="auto"/>
        </w:rPr>
        <w:t>inação</w:t>
      </w:r>
      <w:proofErr w:type="spellEnd"/>
      <w:r w:rsidRPr="006E5E93">
        <w:rPr>
          <w:rFonts w:ascii="Times New Roman" w:hAnsi="Times New Roman" w:cs="Times New Roman"/>
          <w:i/>
          <w:color w:val="auto"/>
        </w:rPr>
        <w:t xml:space="preserve"> (...) </w:t>
      </w:r>
      <w:proofErr w:type="spellStart"/>
      <w:r w:rsidRPr="006E5E93">
        <w:rPr>
          <w:rFonts w:ascii="Times New Roman" w:hAnsi="Times New Roman" w:cs="Times New Roman"/>
          <w:i/>
          <w:color w:val="auto"/>
        </w:rPr>
        <w:t>justifica</w:t>
      </w:r>
      <w:proofErr w:type="spellEnd"/>
      <w:r w:rsidRPr="006E5E93">
        <w:rPr>
          <w:rFonts w:ascii="Times New Roman" w:hAnsi="Times New Roman" w:cs="Times New Roman"/>
          <w:i/>
          <w:color w:val="auto"/>
        </w:rPr>
        <w:t xml:space="preserve"> a </w:t>
      </w:r>
      <w:proofErr w:type="spellStart"/>
      <w:r w:rsidRPr="006E5E93">
        <w:rPr>
          <w:rFonts w:ascii="Times New Roman" w:hAnsi="Times New Roman" w:cs="Times New Roman"/>
          <w:i/>
          <w:color w:val="auto"/>
        </w:rPr>
        <w:t>dispensa</w:t>
      </w:r>
      <w:proofErr w:type="spellEnd"/>
      <w:r w:rsidRPr="006E5E93">
        <w:rPr>
          <w:rFonts w:ascii="Times New Roman" w:hAnsi="Times New Roman" w:cs="Times New Roman"/>
          <w:i/>
          <w:color w:val="auto"/>
        </w:rPr>
        <w:t xml:space="preserve"> </w:t>
      </w:r>
      <w:proofErr w:type="spellStart"/>
      <w:r w:rsidRPr="006E5E93">
        <w:rPr>
          <w:rFonts w:ascii="Times New Roman" w:hAnsi="Times New Roman" w:cs="Times New Roman"/>
          <w:i/>
          <w:color w:val="auto"/>
        </w:rPr>
        <w:t>por</w:t>
      </w:r>
      <w:proofErr w:type="spellEnd"/>
      <w:r w:rsidRPr="006E5E93">
        <w:rPr>
          <w:rFonts w:ascii="Times New Roman" w:hAnsi="Times New Roman" w:cs="Times New Roman"/>
          <w:i/>
          <w:color w:val="auto"/>
        </w:rPr>
        <w:t xml:space="preserve"> </w:t>
      </w:r>
      <w:proofErr w:type="spellStart"/>
      <w:r w:rsidRPr="006E5E93">
        <w:rPr>
          <w:rFonts w:ascii="Times New Roman" w:hAnsi="Times New Roman" w:cs="Times New Roman"/>
          <w:i/>
          <w:color w:val="auto"/>
        </w:rPr>
        <w:t>justa</w:t>
      </w:r>
      <w:proofErr w:type="spellEnd"/>
      <w:r w:rsidRPr="006E5E93">
        <w:rPr>
          <w:rFonts w:ascii="Times New Roman" w:hAnsi="Times New Roman" w:cs="Times New Roman"/>
          <w:i/>
          <w:color w:val="auto"/>
        </w:rPr>
        <w:t xml:space="preserve"> </w:t>
      </w:r>
      <w:proofErr w:type="spellStart"/>
      <w:r w:rsidRPr="006E5E93">
        <w:rPr>
          <w:rFonts w:ascii="Times New Roman" w:hAnsi="Times New Roman" w:cs="Times New Roman"/>
          <w:i/>
          <w:color w:val="auto"/>
        </w:rPr>
        <w:t>causa</w:t>
      </w:r>
      <w:proofErr w:type="spellEnd"/>
      <w:r w:rsidRPr="006E5E93">
        <w:rPr>
          <w:rFonts w:ascii="Times New Roman" w:hAnsi="Times New Roman" w:cs="Times New Roman"/>
          <w:i/>
          <w:color w:val="auto"/>
        </w:rPr>
        <w:t xml:space="preserve">.”. </w:t>
      </w:r>
      <w:r w:rsidRPr="00654B75">
        <w:rPr>
          <w:rFonts w:ascii="Times New Roman" w:hAnsi="Times New Roman" w:cs="Times New Roman"/>
          <w:i/>
          <w:color w:val="auto"/>
          <w:lang w:val="pt-BR"/>
        </w:rPr>
        <w:t xml:space="preserve">Ocorre que não houve inação. Com efeito, após o acolhimento da preliminar de nulidade por esta Corte Superior (fl. 5464), e o consequente retorno dos autos ao TRT, a Corte Regional fez constar que o empregado “alertou direta, pessoal e repetidamente seus superiores hierárquicos sobre os riscos que a empresa corria, em decorrência do estabelecimento de metas elevadas à filial brasileira, alertas aqueles que representavam sua efetiva preocupação com o equilíbrio financeiro da empresa”. Este fato revela que, longe de se omitir ou negligenciar cuidados, o autor atuou efetivamente no cumprimento das obrigações profissionais a ele delegadas. 4. Como se vê, o TRT reformou a decisão de primeiro grau, mesmo reconhecendo expressamente que não havia provas de que o autor tivesse participação na fraude ou no falseamento de resultados. Foi além, pois admitiu que o empregado </w:t>
      </w:r>
      <w:proofErr w:type="gramStart"/>
      <w:r w:rsidRPr="00654B75">
        <w:rPr>
          <w:rFonts w:ascii="Times New Roman" w:hAnsi="Times New Roman" w:cs="Times New Roman"/>
          <w:i/>
          <w:color w:val="auto"/>
          <w:lang w:val="pt-BR"/>
        </w:rPr>
        <w:t>havia</w:t>
      </w:r>
      <w:proofErr w:type="gramEnd"/>
      <w:r w:rsidRPr="00654B75">
        <w:rPr>
          <w:rFonts w:ascii="Times New Roman" w:hAnsi="Times New Roman" w:cs="Times New Roman"/>
          <w:i/>
          <w:color w:val="auto"/>
          <w:lang w:val="pt-BR"/>
        </w:rPr>
        <w:t xml:space="preserve"> alertado seus superiores hierárquicos acerca dos riscos que a empresa corria. Logo, não se trata de reexame de fatos e provas, mas de reenquadramento jurídico da premissa fática assentada pelo próprio Tribunal Regional do Trabalho, qual seja: ausência de provas da participação do empregado na fraude ou no falseamento de balanços contábeis. Não se pode, data vênia de entendimentos contrários,</w:t>
      </w:r>
      <w:proofErr w:type="gramStart"/>
      <w:r w:rsidRPr="00654B75">
        <w:rPr>
          <w:rFonts w:ascii="Times New Roman" w:hAnsi="Times New Roman" w:cs="Times New Roman"/>
          <w:i/>
          <w:color w:val="auto"/>
          <w:lang w:val="pt-BR"/>
        </w:rPr>
        <w:t xml:space="preserve">  </w:t>
      </w:r>
      <w:proofErr w:type="gramEnd"/>
      <w:r w:rsidRPr="00654B75">
        <w:rPr>
          <w:rFonts w:ascii="Times New Roman" w:hAnsi="Times New Roman" w:cs="Times New Roman"/>
          <w:i/>
          <w:color w:val="auto"/>
          <w:lang w:val="pt-BR"/>
        </w:rPr>
        <w:t xml:space="preserve">admitir que uma penalidade como a justa causa seja mantida com base em presunções decorrentes da posição hierárquica do autor. 5. Revela-se incontroverso, conforme registro do próprio acórdão recorrido, que não há prova de que o autor tenha atuado no cometimento de fraudes. Ao contrário, É possível extrair que ele não tinha conhecimento técnico para efetuar a análise de balanços da empresa, mostrando-se desarrazoado o argumento adotado pelo TRT de que, como Presidente da empresa, “deveria ter recusado o cargo”. 6. Não resta configurado qualquer ato de improbidade, negligência ou desídia funcional que pudessem autorizar a dispensa por justa causa, ao contrário, dessume-se que a justa causa aplicada pelo Tribunal Regional está amparada em suposta presunção, na medida em que ausente </w:t>
      </w:r>
      <w:proofErr w:type="gramStart"/>
      <w:r w:rsidRPr="00654B75">
        <w:rPr>
          <w:rFonts w:ascii="Times New Roman" w:hAnsi="Times New Roman" w:cs="Times New Roman"/>
          <w:i/>
          <w:color w:val="auto"/>
          <w:lang w:val="pt-BR"/>
        </w:rPr>
        <w:t>a</w:t>
      </w:r>
      <w:proofErr w:type="gramEnd"/>
      <w:r w:rsidRPr="00654B75">
        <w:rPr>
          <w:rFonts w:ascii="Times New Roman" w:hAnsi="Times New Roman" w:cs="Times New Roman"/>
          <w:i/>
          <w:color w:val="auto"/>
          <w:lang w:val="pt-BR"/>
        </w:rPr>
        <w:t xml:space="preserve"> prova de que o autor tivesse conhecimento do falseamento de balancetes, razão pela qual, a decisão recorrida deve ser reformada para restabelecer a sentença que converteu a dispensa por justa causa em dispensa sem justa causa, restabelecendo também a condenação ao pagamento das verbas deferidas em sentença, bem como a indenização por danos morais no importe de R$ 1</w:t>
      </w:r>
      <w:r w:rsidRPr="00220B10">
        <w:rPr>
          <w:rFonts w:ascii="Times New Roman" w:hAnsi="Times New Roman" w:cs="Times New Roman"/>
          <w:i/>
          <w:color w:val="auto"/>
          <w:lang w:val="pt-BR"/>
        </w:rPr>
        <w:t xml:space="preserve">.000.000.00 (hum milhão de reais). </w:t>
      </w:r>
      <w:proofErr w:type="gramStart"/>
      <w:r w:rsidRPr="00220B10">
        <w:rPr>
          <w:rFonts w:ascii="Times New Roman" w:hAnsi="Times New Roman" w:cs="Times New Roman"/>
          <w:i/>
          <w:color w:val="auto"/>
          <w:lang w:val="pt-BR"/>
        </w:rPr>
        <w:t>Recurso de revista conhecido e provido.”</w:t>
      </w:r>
      <w:proofErr w:type="gramEnd"/>
      <w:r w:rsidRPr="00220B10">
        <w:rPr>
          <w:rFonts w:ascii="Times New Roman" w:hAnsi="Times New Roman" w:cs="Times New Roman"/>
          <w:i/>
          <w:lang w:val="pt-BR"/>
        </w:rPr>
        <w:t xml:space="preserve"> </w:t>
      </w:r>
      <w:r w:rsidRPr="00220B10">
        <w:rPr>
          <w:rFonts w:ascii="Times New Roman" w:hAnsi="Times New Roman" w:cs="Times New Roman"/>
          <w:lang w:val="pt-BR"/>
        </w:rPr>
        <w:t>(</w:t>
      </w:r>
      <w:hyperlink r:id="rId15" w:history="1">
        <w:r w:rsidRPr="00220B10">
          <w:rPr>
            <w:rStyle w:val="Hyperlink"/>
            <w:rFonts w:ascii="Times New Roman" w:hAnsi="Times New Roman"/>
            <w:lang w:val="pt-BR"/>
          </w:rPr>
          <w:t>RR-42900-92.2007.5.01.0068</w:t>
        </w:r>
      </w:hyperlink>
      <w:r w:rsidRPr="00220B10">
        <w:rPr>
          <w:rFonts w:ascii="Times New Roman" w:hAnsi="Times New Roman" w:cs="Times New Roman"/>
          <w:color w:val="auto"/>
          <w:lang w:val="pt-BR"/>
        </w:rPr>
        <w:t xml:space="preserve">, 2ª Turma, rel. </w:t>
      </w:r>
      <w:r w:rsidRPr="00220B10">
        <w:rPr>
          <w:rFonts w:ascii="Times New Roman" w:hAnsi="Times New Roman" w:cs="Times New Roman"/>
          <w:color w:val="auto"/>
        </w:rPr>
        <w:t xml:space="preserve">Min. Maria Helena </w:t>
      </w:r>
      <w:proofErr w:type="spellStart"/>
      <w:r w:rsidRPr="00220B10">
        <w:rPr>
          <w:rFonts w:ascii="Times New Roman" w:hAnsi="Times New Roman" w:cs="Times New Roman"/>
          <w:color w:val="auto"/>
        </w:rPr>
        <w:t>Mallmann</w:t>
      </w:r>
      <w:proofErr w:type="spellEnd"/>
      <w:r w:rsidRPr="00220B10">
        <w:rPr>
          <w:rFonts w:ascii="Times New Roman" w:hAnsi="Times New Roman" w:cs="Times New Roman"/>
          <w:color w:val="auto"/>
        </w:rPr>
        <w:t xml:space="preserve">, </w:t>
      </w:r>
      <w:proofErr w:type="spellStart"/>
      <w:r w:rsidRPr="00220B10">
        <w:rPr>
          <w:rFonts w:ascii="Times New Roman" w:hAnsi="Times New Roman" w:cs="Times New Roman"/>
          <w:color w:val="auto"/>
        </w:rPr>
        <w:t>julgado</w:t>
      </w:r>
      <w:proofErr w:type="spellEnd"/>
      <w:r w:rsidRPr="00220B10">
        <w:rPr>
          <w:rFonts w:ascii="Times New Roman" w:hAnsi="Times New Roman" w:cs="Times New Roman"/>
          <w:color w:val="auto"/>
        </w:rPr>
        <w:t xml:space="preserve"> </w:t>
      </w:r>
      <w:proofErr w:type="spellStart"/>
      <w:r w:rsidRPr="00220B10">
        <w:rPr>
          <w:rFonts w:ascii="Times New Roman" w:hAnsi="Times New Roman" w:cs="Times New Roman"/>
          <w:color w:val="auto"/>
        </w:rPr>
        <w:t>em</w:t>
      </w:r>
      <w:proofErr w:type="spellEnd"/>
      <w:r w:rsidRPr="00220B10">
        <w:rPr>
          <w:rFonts w:ascii="Times New Roman" w:hAnsi="Times New Roman" w:cs="Times New Roman"/>
          <w:color w:val="auto"/>
        </w:rPr>
        <w:t xml:space="preserve"> 3/6/2020.)</w:t>
      </w:r>
    </w:p>
    <w:p w:rsidR="00220B10" w:rsidRPr="00220B10" w:rsidRDefault="00220B10" w:rsidP="001144F9">
      <w:pPr>
        <w:jc w:val="both"/>
        <w:outlineLvl w:val="0"/>
        <w:rPr>
          <w:sz w:val="24"/>
          <w:szCs w:val="24"/>
        </w:rPr>
      </w:pPr>
    </w:p>
    <w:p w:rsidR="00654B75" w:rsidRPr="001A52B8" w:rsidRDefault="00654B75" w:rsidP="00654B75">
      <w:pPr>
        <w:jc w:val="both"/>
        <w:outlineLvl w:val="0"/>
        <w:rPr>
          <w:rFonts w:eastAsiaTheme="minorEastAsia"/>
          <w:b/>
          <w:i/>
          <w:color w:val="000000"/>
          <w:sz w:val="24"/>
          <w:szCs w:val="24"/>
        </w:rPr>
      </w:pPr>
      <w:r w:rsidRPr="00220B10">
        <w:rPr>
          <w:rFonts w:eastAsiaTheme="minorEastAsia"/>
          <w:bCs/>
          <w:i/>
          <w:color w:val="000000"/>
          <w:sz w:val="24"/>
          <w:szCs w:val="24"/>
        </w:rPr>
        <w:t>“DANO MORAL – USO DE LOGOMARCA – SUPERAÇÃO DA JURISPRUDÊNCIA DA SBDI-1 DO</w:t>
      </w:r>
      <w:r w:rsidRPr="00654B75">
        <w:rPr>
          <w:rFonts w:eastAsiaTheme="minorEastAsia"/>
          <w:bCs/>
          <w:i/>
          <w:color w:val="000000"/>
          <w:sz w:val="24"/>
          <w:szCs w:val="24"/>
        </w:rPr>
        <w:t xml:space="preserve"> TST PELA REFORMA TRABALHISTA – OFENSA AO ART. 5º, X, DA CF NÃO CONFIGURADA – APLICAÇÃO DO ART. 456-A DA CLT – INEXISTÊNCIA DE DIREITO ADQUIRIDO FRENTE À LEI 13.467/17 – TRANSCENDÊNCIA JURÍDICA RECONHECIDA - RECURSO NÃO CONHECIDO.</w:t>
      </w:r>
      <w:r w:rsidRPr="00D747CF">
        <w:rPr>
          <w:rFonts w:eastAsiaTheme="minorEastAsia"/>
          <w:b/>
          <w:bCs/>
          <w:i/>
          <w:color w:val="000000"/>
          <w:sz w:val="24"/>
          <w:szCs w:val="24"/>
        </w:rPr>
        <w:t xml:space="preserve"> </w:t>
      </w:r>
      <w:proofErr w:type="gramStart"/>
      <w:r w:rsidRPr="00BF26E6">
        <w:rPr>
          <w:rFonts w:eastAsiaTheme="minorEastAsia"/>
          <w:bCs/>
          <w:i/>
          <w:color w:val="000000"/>
          <w:sz w:val="24"/>
          <w:szCs w:val="24"/>
        </w:rPr>
        <w:t>1</w:t>
      </w:r>
      <w:proofErr w:type="gramEnd"/>
      <w:r w:rsidRPr="00D747CF">
        <w:rPr>
          <w:rFonts w:eastAsiaTheme="minorEastAsia"/>
          <w:b/>
          <w:bCs/>
          <w:i/>
          <w:color w:val="000000"/>
          <w:sz w:val="24"/>
          <w:szCs w:val="24"/>
        </w:rPr>
        <w:t xml:space="preserve">. </w:t>
      </w:r>
      <w:r w:rsidRPr="00D747CF">
        <w:rPr>
          <w:rFonts w:eastAsiaTheme="minorEastAsia"/>
          <w:i/>
          <w:color w:val="000000"/>
          <w:sz w:val="24"/>
          <w:szCs w:val="24"/>
        </w:rPr>
        <w:t xml:space="preserve">Constitui transcendência jurídica da causa “a existência de questão nova em torno da interpretação da legislação trabalhista” (CLT, art. 896-A, § 1º, IV). Avulta a transcendência jurídica do presente recurso, na medida em que a questão do direito a indenização por dano moral decorrente do uso de logomarca em uniforme, calcado em jurisprudência majoritária do TST, deve ser revisitada à luz do art. 456-A da CLT, introduzido pela reforma trabalhista promovida pela Lei 13.467/17, que deixou clara a inexistência do direito. 2.A jurisprudência majoritária da SBDI-1 do TST segue no sentido de que o uso não autorizado pelo empregado, de logomarca de patrocinador da empresa no seu uniforme de trabalho, ainda que não lhe atinja a honra, a boa fama ou a respeitabilidade, impõe indenização por danos morais, nos termos do art. 5º, X, da CF e da Súmula 403 do STJ, em face dos fins econômicos explorados pelo empregador com a inserção dessas marcas. 3. Ora, o bem da vida tutelado pelo inciso X do art. 5º da CF é a inviolabilidade da imagem pessoal, enquanto a ação lesiva tratada na Súmula 403 do STJ é a publicação indevida dessa imagem para fins comerciais. Assim, a existência de logomarca </w:t>
      </w:r>
      <w:r w:rsidRPr="00D747CF">
        <w:rPr>
          <w:rFonts w:eastAsiaTheme="minorEastAsia"/>
          <w:i/>
          <w:color w:val="000000"/>
          <w:sz w:val="24"/>
          <w:szCs w:val="24"/>
        </w:rPr>
        <w:lastRenderedPageBreak/>
        <w:t xml:space="preserve">de apoiador ou patrocinador da empresa no uniforme de seus empregados, se não for ofensiva ou constrangedora pela natureza do produto divulgado, não pode ser tida como causadora de dano moral ao trabalhador, já que não viola sua imagem, honra ou respeitabilidade. 4. Na realidade, a orientação jurisprudencial que impõe o pagamento de indenização pelo simples uso de logomarca no uniforme veio a criar vantagem econômica sem base legal, na modalidade de participação comercial do ganho patronal com </w:t>
      </w:r>
      <w:proofErr w:type="gramStart"/>
      <w:r w:rsidRPr="00D747CF">
        <w:rPr>
          <w:rFonts w:eastAsiaTheme="minorEastAsia"/>
          <w:i/>
          <w:color w:val="000000"/>
          <w:sz w:val="24"/>
          <w:szCs w:val="24"/>
        </w:rPr>
        <w:t>patrocinadores</w:t>
      </w:r>
      <w:proofErr w:type="gramEnd"/>
      <w:r w:rsidRPr="00D747CF">
        <w:rPr>
          <w:rFonts w:eastAsiaTheme="minorEastAsia"/>
          <w:i/>
          <w:color w:val="000000"/>
          <w:sz w:val="24"/>
          <w:szCs w:val="24"/>
        </w:rPr>
        <w:t xml:space="preserve">, utilizando dispositivo constitucional de caráter genérico, como se as características do uniforme devessem ser discutidas e aprovadas pelo empregado, mesmo que não ofensivas a quem quer que seja. E nem se pode falar de exploração da imagem do trabalhador nesse caso, que só ocorre com profissionais de fama, como artistas, modelos, atletas e assemelhados. 5. Diante da nítida manifestação de ativismo judicial estampada na referida jurisprudência criadora de direito, em detrimento do princípio republicano e democrático da separação dos Poderes do Estado, a Lei 13.467/17 veio a deixar claro, em relação à temática, que “cabe ao empregador definir o padrão de vestimenta no meio ambiente laboral, sendo lícita a inclusão no uniforme de logomarcas da própria empresa ou de empresas parceiras e de outros itens de identificação relacionados à atividade desempenhada” (CLT, art. 456-A). 6. Assim, diante da existência de norma legal expressa disciplinando a matéria, não se pode esgrimir jurisprudência calcada em princípios genéricos, interpretados ampliativamente para criar direito sem base legal específica, restando, portanto, superada pela reforma de 2017. 7. Por outro lado, não se pode pretender a existência de direito adquirido à indenização, com respaldo na referida orientação jurisprudencial, na medida em que, na clássica definição de direito adquirido de </w:t>
      </w:r>
      <w:proofErr w:type="spellStart"/>
      <w:r w:rsidRPr="00D747CF">
        <w:rPr>
          <w:rFonts w:eastAsiaTheme="minorEastAsia"/>
          <w:i/>
          <w:color w:val="000000"/>
          <w:sz w:val="24"/>
          <w:szCs w:val="24"/>
        </w:rPr>
        <w:t>Gabba</w:t>
      </w:r>
      <w:proofErr w:type="spellEnd"/>
      <w:r w:rsidRPr="00D747CF">
        <w:rPr>
          <w:rFonts w:eastAsiaTheme="minorEastAsia"/>
          <w:i/>
          <w:color w:val="000000"/>
          <w:sz w:val="24"/>
          <w:szCs w:val="24"/>
        </w:rPr>
        <w:t xml:space="preserve">, “é adquirido cada direito que é consequência de um fato idôneo a produzi-lo, em virtude da lei do tempo no qual o fato se consumou, embora a ocasião de fazê-lo valer não se tenha apresentado antes da atuação de uma lei nova em torno do mesmo”. Ou seja, a questão do direito adquirido é uma questão de direito intertemporal, no sentido do confronto entre lei antiga e lei nova, e não de lei nova e jurisprudência antiga criadora de direito. 8. Assim sendo, não se vislumbrando violação do art. 5º, X, da CF, especialmente diante da licitude da conduta patronal, que não atenta contra a imagem do trabalhador, é de não se conhecer do apelo obreiro. </w:t>
      </w:r>
      <w:proofErr w:type="gramStart"/>
      <w:r w:rsidRPr="00B03C8D">
        <w:rPr>
          <w:rFonts w:eastAsiaTheme="minorEastAsia"/>
          <w:i/>
          <w:color w:val="000000"/>
          <w:sz w:val="24"/>
          <w:szCs w:val="24"/>
        </w:rPr>
        <w:t>Recurso de revista não conhecido.”</w:t>
      </w:r>
      <w:proofErr w:type="gramEnd"/>
      <w:r>
        <w:rPr>
          <w:rFonts w:eastAsiaTheme="minorEastAsia"/>
          <w:b/>
          <w:i/>
          <w:color w:val="000000"/>
          <w:sz w:val="24"/>
          <w:szCs w:val="24"/>
        </w:rPr>
        <w:t xml:space="preserve"> </w:t>
      </w:r>
      <w:r w:rsidRPr="001A52B8">
        <w:rPr>
          <w:sz w:val="24"/>
          <w:szCs w:val="24"/>
        </w:rPr>
        <w:t>(</w:t>
      </w:r>
      <w:hyperlink r:id="rId16" w:history="1">
        <w:r w:rsidRPr="00D747CF">
          <w:rPr>
            <w:rStyle w:val="Hyperlink"/>
            <w:sz w:val="24"/>
            <w:szCs w:val="24"/>
          </w:rPr>
          <w:t>TST-RR-305-75.2015.5.05.0492</w:t>
        </w:r>
      </w:hyperlink>
      <w:r w:rsidRPr="001A52B8">
        <w:rPr>
          <w:sz w:val="24"/>
          <w:szCs w:val="24"/>
        </w:rPr>
        <w:t xml:space="preserve">, </w:t>
      </w:r>
      <w:r>
        <w:rPr>
          <w:sz w:val="24"/>
          <w:szCs w:val="24"/>
        </w:rPr>
        <w:t>4</w:t>
      </w:r>
      <w:r w:rsidRPr="001A52B8">
        <w:rPr>
          <w:sz w:val="24"/>
          <w:szCs w:val="24"/>
        </w:rPr>
        <w:t xml:space="preserve">ª Turma, rel. Min. </w:t>
      </w:r>
      <w:r>
        <w:rPr>
          <w:sz w:val="24"/>
          <w:szCs w:val="24"/>
        </w:rPr>
        <w:t>Alexandre Luiz Ramos</w:t>
      </w:r>
      <w:r w:rsidRPr="001A52B8">
        <w:rPr>
          <w:sz w:val="24"/>
          <w:szCs w:val="24"/>
        </w:rPr>
        <w:t>,</w:t>
      </w:r>
      <w:r>
        <w:rPr>
          <w:sz w:val="24"/>
          <w:szCs w:val="24"/>
        </w:rPr>
        <w:t xml:space="preserve"> red. p/ acórdão Min. Ives Gandra Martins Filho, julgado em 9/6/</w:t>
      </w:r>
      <w:r w:rsidRPr="001A52B8">
        <w:rPr>
          <w:sz w:val="24"/>
          <w:szCs w:val="24"/>
        </w:rPr>
        <w:t>20</w:t>
      </w:r>
      <w:r>
        <w:rPr>
          <w:sz w:val="24"/>
          <w:szCs w:val="24"/>
        </w:rPr>
        <w:t>20.</w:t>
      </w:r>
      <w:r w:rsidRPr="001A52B8">
        <w:rPr>
          <w:sz w:val="24"/>
          <w:szCs w:val="24"/>
        </w:rPr>
        <w:t>)</w:t>
      </w:r>
    </w:p>
    <w:p w:rsidR="00654B75" w:rsidRPr="00220B10" w:rsidRDefault="00654B75" w:rsidP="001144F9">
      <w:pPr>
        <w:jc w:val="both"/>
        <w:outlineLvl w:val="0"/>
        <w:rPr>
          <w:sz w:val="24"/>
          <w:szCs w:val="24"/>
        </w:rPr>
      </w:pPr>
    </w:p>
    <w:p w:rsidR="00654B75" w:rsidRDefault="00654B75" w:rsidP="00654B75">
      <w:pPr>
        <w:jc w:val="both"/>
        <w:outlineLvl w:val="0"/>
        <w:rPr>
          <w:sz w:val="24"/>
          <w:szCs w:val="24"/>
        </w:rPr>
      </w:pPr>
      <w:r>
        <w:rPr>
          <w:i/>
          <w:sz w:val="24"/>
          <w:szCs w:val="24"/>
        </w:rPr>
        <w:t>“</w:t>
      </w:r>
      <w:r w:rsidRPr="00A72200">
        <w:rPr>
          <w:i/>
          <w:sz w:val="24"/>
          <w:szCs w:val="24"/>
        </w:rPr>
        <w:t>AGRAVO. RECURSO DE REVISTA. ACÓRDÃO PUBLICADO NA VIGÊNCIA DA LEI Nº 13.015/2014. CAGEPA. SOCIEDADE DE ECONOMIA MISTA. PRIVILÉGIOS E ISENÇÕES. FORMA DE EXECUÇÃO. TRANSCENDÊNCIA JURÍDICA. A decisão agravada, aplicando a jurisprudência desta Corte, cristalizada na Súmula nº 170 do TST, foi no sentido de que a reclamada, na condição de sociedade de economia mista, não dispõe das prerrogativas concedidas à Fazenda Pública previstas no Decreto-Lei nº 779/69. No entanto, muito embora não se desconheça a firme jurisprudência desta Corte, fato é que o Supremo Tribunal Federal vem se posicionando em sentido diverso, firmando entendimento de que as empresas prestadoras de serviço público essencial em regime de monopólio sem fins lucrativos gozam das prerrogativas da fazenda pública. Julgados do STF. Assim, deve ser reformada a decisão agravada para restabelecer o v. acórdão regional, no aspecto. Agravo provido.</w:t>
      </w:r>
      <w:r w:rsidRPr="001A52B8">
        <w:rPr>
          <w:i/>
          <w:sz w:val="24"/>
          <w:szCs w:val="24"/>
        </w:rPr>
        <w:t>”</w:t>
      </w:r>
      <w:r w:rsidRPr="001A52B8">
        <w:rPr>
          <w:sz w:val="24"/>
          <w:szCs w:val="24"/>
        </w:rPr>
        <w:t xml:space="preserve"> (</w:t>
      </w:r>
      <w:hyperlink r:id="rId17" w:history="1">
        <w:r w:rsidRPr="00A72200">
          <w:rPr>
            <w:rStyle w:val="Hyperlink"/>
            <w:sz w:val="24"/>
            <w:szCs w:val="24"/>
          </w:rPr>
          <w:t>TST-Ag-RR-1572-32.2017.5.13.0026</w:t>
        </w:r>
      </w:hyperlink>
      <w:r>
        <w:rPr>
          <w:sz w:val="24"/>
          <w:szCs w:val="24"/>
        </w:rPr>
        <w:t>, 5</w:t>
      </w:r>
      <w:r w:rsidRPr="001A52B8">
        <w:rPr>
          <w:sz w:val="24"/>
          <w:szCs w:val="24"/>
        </w:rPr>
        <w:t xml:space="preserve">ª Turma, rel. Min. </w:t>
      </w:r>
      <w:r>
        <w:rPr>
          <w:sz w:val="24"/>
          <w:szCs w:val="24"/>
        </w:rPr>
        <w:t>Breno Medeiros</w:t>
      </w:r>
      <w:r w:rsidRPr="001A52B8">
        <w:rPr>
          <w:sz w:val="24"/>
          <w:szCs w:val="24"/>
        </w:rPr>
        <w:t xml:space="preserve">, julgado em </w:t>
      </w:r>
      <w:r>
        <w:rPr>
          <w:sz w:val="24"/>
          <w:szCs w:val="24"/>
        </w:rPr>
        <w:t>3/6/2020.</w:t>
      </w:r>
      <w:proofErr w:type="gramStart"/>
      <w:r w:rsidRPr="001A52B8">
        <w:rPr>
          <w:sz w:val="24"/>
          <w:szCs w:val="24"/>
        </w:rPr>
        <w:t>)</w:t>
      </w:r>
      <w:proofErr w:type="gramEnd"/>
    </w:p>
    <w:p w:rsidR="00654B75" w:rsidRPr="00B974FB" w:rsidRDefault="00654B75" w:rsidP="001144F9">
      <w:pPr>
        <w:jc w:val="both"/>
        <w:outlineLvl w:val="0"/>
        <w:rPr>
          <w:rFonts w:eastAsiaTheme="minorEastAsia"/>
          <w:color w:val="000000"/>
          <w:sz w:val="24"/>
          <w:szCs w:val="24"/>
        </w:rPr>
      </w:pPr>
    </w:p>
    <w:p w:rsidR="00654B75" w:rsidRPr="008130B8" w:rsidRDefault="00654B75" w:rsidP="00220B10">
      <w:pPr>
        <w:jc w:val="both"/>
        <w:outlineLvl w:val="0"/>
        <w:rPr>
          <w:rFonts w:eastAsiaTheme="minorEastAsia"/>
          <w:b/>
          <w:i/>
          <w:color w:val="000000"/>
          <w:sz w:val="24"/>
          <w:szCs w:val="24"/>
        </w:rPr>
      </w:pPr>
      <w:r>
        <w:rPr>
          <w:i/>
          <w:sz w:val="24"/>
          <w:szCs w:val="24"/>
        </w:rPr>
        <w:t>“</w:t>
      </w:r>
      <w:r>
        <w:rPr>
          <w:sz w:val="24"/>
          <w:szCs w:val="24"/>
        </w:rPr>
        <w:t xml:space="preserve">[...] </w:t>
      </w:r>
      <w:r w:rsidRPr="008130B8">
        <w:rPr>
          <w:i/>
          <w:sz w:val="24"/>
          <w:szCs w:val="24"/>
        </w:rPr>
        <w:t>RECURSO DE REVISTA. EXECUÇÃO. NULIDADE DA CITAÇÃO</w:t>
      </w:r>
      <w:r w:rsidRPr="008130B8">
        <w:rPr>
          <w:b/>
          <w:i/>
          <w:sz w:val="24"/>
          <w:szCs w:val="24"/>
        </w:rPr>
        <w:t xml:space="preserve">. </w:t>
      </w:r>
      <w:r w:rsidRPr="008130B8">
        <w:rPr>
          <w:i/>
          <w:sz w:val="24"/>
          <w:szCs w:val="24"/>
        </w:rPr>
        <w:t xml:space="preserve">A citação é o ato processual por meio do qual se faz a comunicação do réu ou interessado para que em juízo possa se defender. Da mesma forma, a intimação das partes é o ato por meio do qual se busca dar publicidade aos atos processuais, a fim de viabilizar que as partes, querendo, a eles manifestem impugnação, e apresentem os recursos cabíveis, razão pela qual cumpre ao julgador zelar pela sua regularidade, de modo a preservar a condução íntegra do processo e a prevenir eventual alegação de nulidade. No caso dos autos, verifica-se que a reclamada já estava presa fora do país, anteriormente ao envio e recebimento da citação postal no seu endereço residencial, demonstrando </w:t>
      </w:r>
      <w:r w:rsidRPr="008130B8">
        <w:rPr>
          <w:i/>
          <w:sz w:val="24"/>
          <w:szCs w:val="24"/>
        </w:rPr>
        <w:lastRenderedPageBreak/>
        <w:t>que de fato não poderia tê-la recebido, tanto que fora declarada revel. Assim, porque cerceado o legítimo direito de defesa da reclamada, está configurada a violação do artigo 5°, LIV, da CF/88. Recurso de revista conhecido e provido</w:t>
      </w:r>
      <w:r w:rsidRPr="001640D2">
        <w:rPr>
          <w:i/>
          <w:sz w:val="24"/>
          <w:szCs w:val="24"/>
        </w:rPr>
        <w:t>.”</w:t>
      </w:r>
      <w:r>
        <w:rPr>
          <w:b/>
          <w:i/>
          <w:sz w:val="24"/>
          <w:szCs w:val="24"/>
        </w:rPr>
        <w:t xml:space="preserve"> </w:t>
      </w:r>
      <w:r w:rsidRPr="008130B8">
        <w:rPr>
          <w:sz w:val="24"/>
          <w:szCs w:val="24"/>
        </w:rPr>
        <w:t>(</w:t>
      </w:r>
      <w:hyperlink r:id="rId18" w:history="1">
        <w:r w:rsidRPr="001640D2">
          <w:rPr>
            <w:rStyle w:val="Hyperlink"/>
            <w:sz w:val="24"/>
            <w:szCs w:val="24"/>
          </w:rPr>
          <w:t>TST-RR-1001366-47.2016.5.02.0024</w:t>
        </w:r>
      </w:hyperlink>
      <w:r>
        <w:rPr>
          <w:sz w:val="24"/>
          <w:szCs w:val="24"/>
        </w:rPr>
        <w:t xml:space="preserve">, 8ª </w:t>
      </w:r>
      <w:proofErr w:type="gramStart"/>
      <w:r>
        <w:rPr>
          <w:sz w:val="24"/>
          <w:szCs w:val="24"/>
        </w:rPr>
        <w:t>Turma ,</w:t>
      </w:r>
      <w:proofErr w:type="gramEnd"/>
      <w:r>
        <w:rPr>
          <w:sz w:val="24"/>
          <w:szCs w:val="24"/>
        </w:rPr>
        <w:t xml:space="preserve"> rel. Dora Maria da Costa, julgado em 10/6/2020.)</w:t>
      </w:r>
    </w:p>
    <w:p w:rsidR="00543122" w:rsidRPr="00472851" w:rsidRDefault="00543122" w:rsidP="00654B75">
      <w:pPr>
        <w:jc w:val="both"/>
        <w:outlineLvl w:val="0"/>
        <w:rPr>
          <w:rFonts w:eastAsiaTheme="minorHAnsi"/>
          <w:color w:val="000000"/>
          <w:sz w:val="24"/>
          <w:szCs w:val="24"/>
          <w:lang w:eastAsia="en-US"/>
        </w:rPr>
      </w:pPr>
      <w:bookmarkStart w:id="3" w:name="_GoBack"/>
      <w:bookmarkEnd w:id="3"/>
    </w:p>
    <w:p w:rsidR="00654B75" w:rsidRDefault="00654B75" w:rsidP="00237380">
      <w:pPr>
        <w:jc w:val="both"/>
        <w:rPr>
          <w:i/>
          <w:sz w:val="24"/>
          <w:szCs w:val="24"/>
        </w:rPr>
      </w:pPr>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9"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0"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1"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2"/>
      <w:footerReference w:type="default" r:id="rId23"/>
      <w:headerReference w:type="first" r:id="rId24"/>
      <w:footerReference w:type="first" r:id="rId2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B6" w:rsidRDefault="008F65B6">
      <w:r>
        <w:separator/>
      </w:r>
    </w:p>
  </w:endnote>
  <w:endnote w:type="continuationSeparator" w:id="0">
    <w:p w:rsidR="008F65B6" w:rsidRDefault="008F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B6" w:rsidRDefault="008F65B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44F9">
      <w:rPr>
        <w:rStyle w:val="Nmerodepgina"/>
        <w:noProof/>
      </w:rPr>
      <w:t>6</w:t>
    </w:r>
    <w:r>
      <w:rPr>
        <w:rStyle w:val="Nmerodepgina"/>
      </w:rPr>
      <w:fldChar w:fldCharType="end"/>
    </w:r>
  </w:p>
  <w:p w:rsidR="008F65B6" w:rsidRDefault="008F65B6">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B6" w:rsidRDefault="008F65B6">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24206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B6" w:rsidRDefault="008F65B6">
      <w:r>
        <w:separator/>
      </w:r>
    </w:p>
  </w:footnote>
  <w:footnote w:type="continuationSeparator" w:id="0">
    <w:p w:rsidR="008F65B6" w:rsidRDefault="008F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B6" w:rsidRPr="008420B2" w:rsidRDefault="008F65B6">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220</w:t>
    </w:r>
  </w:p>
  <w:p w:rsidR="00787495" w:rsidRPr="006717E0" w:rsidRDefault="008F65B6"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7D775A8E" wp14:editId="66D9F1D8">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00787495" w:rsidRPr="006717E0">
      <w:rPr>
        <w:i/>
        <w:iCs/>
        <w:color w:val="005DA2"/>
      </w:rPr>
      <w:t xml:space="preserve">Período: </w:t>
    </w:r>
    <w:r w:rsidR="00787495">
      <w:rPr>
        <w:i/>
        <w:iCs/>
        <w:color w:val="005DA2"/>
      </w:rPr>
      <w:t>1º a 12</w:t>
    </w:r>
    <w:proofErr w:type="gramStart"/>
    <w:r w:rsidR="00787495">
      <w:rPr>
        <w:i/>
        <w:iCs/>
        <w:color w:val="005DA2"/>
      </w:rPr>
      <w:t xml:space="preserve"> </w:t>
    </w:r>
    <w:r w:rsidR="00787495" w:rsidRPr="006717E0">
      <w:rPr>
        <w:i/>
        <w:iCs/>
        <w:color w:val="005DA2"/>
      </w:rPr>
      <w:t xml:space="preserve"> </w:t>
    </w:r>
    <w:proofErr w:type="gramEnd"/>
    <w:r w:rsidR="00787495" w:rsidRPr="006717E0">
      <w:rPr>
        <w:i/>
        <w:iCs/>
        <w:color w:val="005DA2"/>
      </w:rPr>
      <w:t>de</w:t>
    </w:r>
    <w:r w:rsidR="00787495">
      <w:rPr>
        <w:i/>
        <w:iCs/>
        <w:color w:val="005DA2"/>
      </w:rPr>
      <w:t xml:space="preserve"> junho de 2020</w:t>
    </w:r>
  </w:p>
  <w:p w:rsidR="008F65B6" w:rsidRPr="006717E0" w:rsidRDefault="008F65B6" w:rsidP="00654B75">
    <w:pPr>
      <w:pStyle w:val="Cabealho"/>
      <w:jc w:val="right"/>
      <w:rPr>
        <w:i/>
        <w:iCs/>
        <w:color w:val="005DA2"/>
      </w:rPr>
    </w:pPr>
  </w:p>
  <w:p w:rsidR="008F65B6" w:rsidRPr="005D1DE4" w:rsidRDefault="008F65B6"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B6" w:rsidRDefault="008F65B6">
    <w:pPr>
      <w:pStyle w:val="Cabealho"/>
    </w:pPr>
    <w:r>
      <w:rPr>
        <w:noProof/>
      </w:rPr>
      <w:drawing>
        <wp:inline distT="0" distB="0" distL="0" distR="0" wp14:anchorId="1F6577B7" wp14:editId="12AE6E8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8F65B6" w:rsidRDefault="008F65B6">
    <w:pPr>
      <w:pStyle w:val="Cabealho"/>
    </w:pPr>
    <w:r>
      <w:rPr>
        <w:rFonts w:ascii="Bebas Neue Regular" w:hAnsi="Bebas Neue Regular"/>
        <w:noProof/>
        <w:color w:val="006699"/>
        <w:sz w:val="30"/>
      </w:rPr>
      <w:drawing>
        <wp:inline distT="0" distB="0" distL="0" distR="0" wp14:anchorId="48D278EC" wp14:editId="4D75CDB3">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8F65B6" w:rsidRDefault="008F65B6">
    <w:pPr>
      <w:pStyle w:val="Cabealho"/>
    </w:pPr>
  </w:p>
  <w:p w:rsidR="008F65B6" w:rsidRPr="006717E0" w:rsidRDefault="008F65B6"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20</w:t>
    </w:r>
  </w:p>
  <w:p w:rsidR="008F65B6" w:rsidRPr="006717E0" w:rsidRDefault="008F65B6">
    <w:pPr>
      <w:pStyle w:val="Cabealho"/>
      <w:jc w:val="right"/>
      <w:rPr>
        <w:i/>
        <w:iCs/>
        <w:color w:val="005DA2"/>
        <w:sz w:val="10"/>
        <w:szCs w:val="10"/>
      </w:rPr>
    </w:pPr>
  </w:p>
  <w:p w:rsidR="008F65B6" w:rsidRPr="006717E0" w:rsidRDefault="008F65B6" w:rsidP="009A16E8">
    <w:pPr>
      <w:pStyle w:val="Cabealho"/>
      <w:jc w:val="right"/>
      <w:rPr>
        <w:i/>
        <w:iCs/>
        <w:color w:val="005DA2"/>
      </w:rPr>
    </w:pPr>
    <w:r w:rsidRPr="006717E0">
      <w:rPr>
        <w:i/>
        <w:iCs/>
        <w:color w:val="005DA2"/>
      </w:rPr>
      <w:t xml:space="preserve">Período: </w:t>
    </w:r>
    <w:r w:rsidR="007F3CEB">
      <w:rPr>
        <w:i/>
        <w:iCs/>
        <w:color w:val="005DA2"/>
      </w:rPr>
      <w:t xml:space="preserve">1º </w:t>
    </w:r>
    <w:r>
      <w:rPr>
        <w:i/>
        <w:iCs/>
        <w:color w:val="005DA2"/>
      </w:rPr>
      <w:t>a</w:t>
    </w:r>
    <w:r w:rsidR="007F3CEB">
      <w:rPr>
        <w:i/>
        <w:iCs/>
        <w:color w:val="005DA2"/>
      </w:rPr>
      <w:t xml:space="preserve"> 12 </w:t>
    </w:r>
    <w:r w:rsidRPr="006717E0">
      <w:rPr>
        <w:i/>
        <w:iCs/>
        <w:color w:val="005DA2"/>
      </w:rPr>
      <w:t>de</w:t>
    </w:r>
    <w:r>
      <w:rPr>
        <w:i/>
        <w:iCs/>
        <w:color w:val="005DA2"/>
      </w:rPr>
      <w:t xml:space="preserve"> junho de 2020</w:t>
    </w:r>
  </w:p>
  <w:p w:rsidR="008F65B6" w:rsidRDefault="008F65B6"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44F9"/>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21653&amp;digitoTst=61&amp;anoTst=2019&amp;orgaoTst=5&amp;tribunalTst=04&amp;varaTst=0000&amp;submit=Consultar" TargetMode="External"/><Relationship Id="rId18" Type="http://schemas.openxmlformats.org/officeDocument/2006/relationships/hyperlink" Target="http://aplicacao4.tst.jus.br/consultaProcessual/consultaTstNumUnica.do?consulta=Consultar&amp;conscsjt=&amp;numeroTst=1001366&amp;digitoTst=47&amp;anoTst=&amp;orgaoTst=5&amp;tribunalTst=&amp;varaT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992&amp;digitoTst=25&amp;anoTst=2014&amp;orgaoTst=5&amp;tribunalTst=04&amp;varaTst=0101" TargetMode="External"/><Relationship Id="rId17" Type="http://schemas.openxmlformats.org/officeDocument/2006/relationships/hyperlink" Target="http://aplicacao4.tst.jus.br/consultaProcessual/consultaTstNumUnica.do?conscsjt=&amp;numeroTst=1572&amp;digitoTst=32&amp;anoTst=2017&amp;orgaoTst=5&amp;tribunalTst=13&amp;varaTst=0026&amp;consulta=Consulta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305&amp;digitoTst=75&amp;anoTst=2015&amp;orgaoTst=5&amp;tribunalTst=05&amp;varaTst=0492&amp;submit=Consultar" TargetMode="External"/><Relationship Id="rId20"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000506&amp;digitoTst=16&amp;anoTst=2019&amp;orgaoTst=5&amp;tribunalTst=02&amp;varaTst=0000&amp;submit=Consulta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192802&amp;anoInt=2014" TargetMode="External"/><Relationship Id="rId23" Type="http://schemas.openxmlformats.org/officeDocument/2006/relationships/footer" Target="footer1.xml"/><Relationship Id="rId10" Type="http://schemas.openxmlformats.org/officeDocument/2006/relationships/hyperlink" Target="https://pje.tst.jus.br/consultaprocessual/detalhe-processo/10010436620195000000"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s://pje.tst.jus.br/consultaprocessual/detalhe-processo/1001004-69.2019.5.00.0000" TargetMode="External"/><Relationship Id="rId14" Type="http://schemas.openxmlformats.org/officeDocument/2006/relationships/hyperlink" Target="https://pje.tst.jus.br/consultaprocessual/detalhe-processo/1000288-08.2020.5.00.000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1548-D306-4A68-AAB9-ACFEE25A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3105</Words>
  <Characters>19538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22598</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30</cp:revision>
  <cp:lastPrinted>2019-10-29T20:50:00Z</cp:lastPrinted>
  <dcterms:created xsi:type="dcterms:W3CDTF">2019-11-06T21:32:00Z</dcterms:created>
  <dcterms:modified xsi:type="dcterms:W3CDTF">2020-06-16T20:53:00Z</dcterms:modified>
</cp:coreProperties>
</file>