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4B3120" w:rsidTr="00E3622E">
        <w:trPr>
          <w:trHeight w:val="537"/>
        </w:trPr>
        <w:tc>
          <w:tcPr>
            <w:tcW w:w="9538" w:type="dxa"/>
            <w:tcBorders>
              <w:top w:val="single" w:sz="4" w:space="0" w:color="auto"/>
            </w:tcBorders>
          </w:tcPr>
          <w:p w:rsidR="00E3622E" w:rsidRPr="004B3120" w:rsidRDefault="00C26DFB" w:rsidP="00DC50EB">
            <w:pPr>
              <w:pStyle w:val="Cabealho"/>
              <w:tabs>
                <w:tab w:val="clear" w:pos="4419"/>
                <w:tab w:val="clear" w:pos="8838"/>
              </w:tabs>
              <w:jc w:val="both"/>
            </w:pPr>
            <w:r w:rsidRPr="004B3120">
              <w:t>Este Informativo, elaborado a partir de notas tomadas nas sessões de julgamento, contém resumos não</w:t>
            </w:r>
            <w:r w:rsidR="00DC50EB" w:rsidRPr="004B3120">
              <w:t xml:space="preserve"> </w:t>
            </w:r>
            <w:r w:rsidRPr="004B3120">
              <w:t>oficiais de decisões proferidas pelo Tribunal. A fidelidade dos resumos ao conteúdo efetivo das decisões, embora seja uma das metas perseguidas neste trabalho, somente poderá ser aferida após a sua publicação no Diário</w:t>
            </w:r>
            <w:r w:rsidR="00980944" w:rsidRPr="004B3120">
              <w:t xml:space="preserve"> Eletrônico </w:t>
            </w:r>
            <w:r w:rsidRPr="004B3120">
              <w:t>da Justiça</w:t>
            </w:r>
            <w:r w:rsidR="00980944" w:rsidRPr="004B3120">
              <w:t xml:space="preserve"> do Trabalho</w:t>
            </w:r>
            <w:r w:rsidRPr="004B3120">
              <w:t>.</w:t>
            </w:r>
          </w:p>
          <w:p w:rsidR="00730CC7" w:rsidRPr="004B3120" w:rsidRDefault="00730CC7" w:rsidP="00DC50EB">
            <w:pPr>
              <w:pStyle w:val="Cabealho"/>
              <w:tabs>
                <w:tab w:val="clear" w:pos="4419"/>
                <w:tab w:val="clear" w:pos="8838"/>
              </w:tabs>
              <w:jc w:val="both"/>
              <w:rPr>
                <w:sz w:val="10"/>
                <w:szCs w:val="10"/>
              </w:rPr>
            </w:pPr>
          </w:p>
        </w:tc>
      </w:tr>
    </w:tbl>
    <w:p w:rsidR="006717E0" w:rsidRPr="006717E0" w:rsidRDefault="00543122" w:rsidP="006717E0">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Pr>
          <w:rFonts w:ascii="Times New Roman" w:hAnsi="Times New Roman" w:cs="Times New Roman"/>
          <w:b/>
          <w:bCs/>
          <w:iCs/>
          <w:sz w:val="28"/>
          <w:lang w:val="pt-BR"/>
        </w:rPr>
        <w:t xml:space="preserve">SEÇÃO </w:t>
      </w:r>
      <w:r w:rsidR="006717E0" w:rsidRPr="006717E0">
        <w:rPr>
          <w:rFonts w:ascii="Times New Roman" w:hAnsi="Times New Roman" w:cs="Times New Roman"/>
          <w:b/>
          <w:bCs/>
          <w:iCs/>
          <w:sz w:val="28"/>
          <w:lang w:val="pt-BR"/>
        </w:rPr>
        <w:t xml:space="preserve">ESPECIALIZADA EM DISSÍDIOS </w:t>
      </w:r>
      <w:r w:rsidR="00A63855">
        <w:rPr>
          <w:rFonts w:ascii="Times New Roman" w:hAnsi="Times New Roman" w:cs="Times New Roman"/>
          <w:b/>
          <w:bCs/>
          <w:iCs/>
          <w:sz w:val="28"/>
          <w:lang w:val="pt-BR"/>
        </w:rPr>
        <w:t>COLETIVOS</w:t>
      </w:r>
    </w:p>
    <w:p w:rsidR="00543122" w:rsidRPr="00543122" w:rsidRDefault="00543122" w:rsidP="00237380">
      <w:pPr>
        <w:adjustRightInd w:val="0"/>
        <w:jc w:val="both"/>
        <w:rPr>
          <w:u w:val="single"/>
          <w:lang w:eastAsia="zh-CN"/>
        </w:rPr>
      </w:pPr>
    </w:p>
    <w:p w:rsidR="00A63855" w:rsidRPr="00A63855" w:rsidRDefault="00A63855" w:rsidP="00A63855">
      <w:pPr>
        <w:pStyle w:val="Identificao"/>
        <w:rPr>
          <w:rFonts w:ascii="Times New Roman" w:eastAsiaTheme="minorHAnsi" w:hAnsi="Times New Roman" w:cs="Times New Roman"/>
          <w:b/>
          <w:i/>
          <w:color w:val="auto"/>
          <w:lang w:val="pt-BR" w:eastAsia="en-US"/>
        </w:rPr>
      </w:pPr>
      <w:r w:rsidRPr="00A63855">
        <w:rPr>
          <w:rFonts w:ascii="Times New Roman" w:eastAsiaTheme="minorHAnsi" w:hAnsi="Times New Roman" w:cs="Times New Roman"/>
          <w:b/>
          <w:i/>
          <w:color w:val="auto"/>
          <w:lang w:val="pt-BR" w:eastAsia="en-US"/>
        </w:rPr>
        <w:t>Empresa Brasileira de Correios e Telégrafos – ECT. Dissídio Coletivo de Greve. Cláusula 17 da sentença normativa. Desconto Assistencial. Chamamento à ordem para adequação ao entendimento do Supremo Tribunal Federal.</w:t>
      </w:r>
    </w:p>
    <w:p w:rsidR="00A63855" w:rsidRPr="00A63855" w:rsidRDefault="00A63855" w:rsidP="00A63855">
      <w:pPr>
        <w:pStyle w:val="Identificao"/>
        <w:rPr>
          <w:rFonts w:ascii="Times New Roman" w:eastAsiaTheme="minorHAnsi" w:hAnsi="Times New Roman" w:cs="Times New Roman"/>
          <w:color w:val="auto"/>
          <w:lang w:val="pt-BR" w:eastAsia="en-US"/>
        </w:rPr>
      </w:pPr>
      <w:r w:rsidRPr="00A63855">
        <w:rPr>
          <w:rFonts w:ascii="Times New Roman" w:eastAsiaTheme="minorHAnsi" w:hAnsi="Times New Roman" w:cs="Times New Roman"/>
          <w:color w:val="auto"/>
          <w:lang w:val="pt-BR" w:eastAsia="en-US"/>
        </w:rPr>
        <w:t xml:space="preserve">Conforme entendimento firmado pelo STF, em sede de repercussão geral, no julgamento do </w:t>
      </w:r>
      <w:proofErr w:type="gramStart"/>
      <w:r w:rsidRPr="00A63855">
        <w:rPr>
          <w:rFonts w:ascii="Times New Roman" w:eastAsiaTheme="minorHAnsi" w:hAnsi="Times New Roman" w:cs="Times New Roman"/>
          <w:color w:val="auto"/>
          <w:lang w:val="pt-BR" w:eastAsia="en-US"/>
        </w:rPr>
        <w:t>ARE</w:t>
      </w:r>
      <w:proofErr w:type="gramEnd"/>
      <w:r w:rsidRPr="00A63855">
        <w:rPr>
          <w:rFonts w:ascii="Times New Roman" w:eastAsiaTheme="minorHAnsi" w:hAnsi="Times New Roman" w:cs="Times New Roman"/>
          <w:color w:val="auto"/>
          <w:lang w:val="pt-BR" w:eastAsia="en-US"/>
        </w:rPr>
        <w:t xml:space="preserve"> 1.018.459: “</w:t>
      </w:r>
      <w:r w:rsidRPr="00A63855">
        <w:rPr>
          <w:rFonts w:ascii="Times New Roman" w:eastAsiaTheme="minorHAnsi" w:hAnsi="Times New Roman" w:cs="Times New Roman"/>
          <w:i/>
          <w:color w:val="auto"/>
          <w:lang w:val="pt-BR" w:eastAsia="en-US"/>
        </w:rPr>
        <w:t>É inconstitucional a instituição, por acordo, convenção coletiva ou sentença normativa, de contribuições que se imponham compulsoriamente a empregados da categoria não sindicalizados.</w:t>
      </w:r>
      <w:r w:rsidRPr="00A63855">
        <w:rPr>
          <w:rFonts w:ascii="Times New Roman" w:eastAsiaTheme="minorHAnsi" w:hAnsi="Times New Roman" w:cs="Times New Roman"/>
          <w:color w:val="auto"/>
          <w:lang w:val="pt-BR" w:eastAsia="en-US"/>
        </w:rPr>
        <w:t xml:space="preserve">” (Tema 935). No mesmo sentido, o Plenário da Suprema Corte, ao julgar a ADI 5.794, concluiu pela constitucionalidade do caráter facultativo da contribuição sindical. Com base nesses fundamentos, o STF julgou procedente a reclamação ajuizada pela ECT, cassando a decisão proferida pelo TST no presente Dissídio Coletivo de Greve e determinando que outra fosse proferida com observância do decidido na ADI 5.794 e no ARE 1.018.459. No caso, a redação original da Cláusula 17 do ACT 2018/2019, incorporada à sentença normativa, consignava que o desconto assistencial abrangeria toda a categoria </w:t>
      </w:r>
      <w:proofErr w:type="gramStart"/>
      <w:r w:rsidRPr="00A63855">
        <w:rPr>
          <w:rFonts w:ascii="Times New Roman" w:eastAsiaTheme="minorHAnsi" w:hAnsi="Times New Roman" w:cs="Times New Roman"/>
          <w:color w:val="auto"/>
          <w:lang w:val="pt-BR" w:eastAsia="en-US"/>
        </w:rPr>
        <w:t>profissional, inclusive trabalhadores não filiados</w:t>
      </w:r>
      <w:proofErr w:type="gramEnd"/>
      <w:r w:rsidRPr="00A63855">
        <w:rPr>
          <w:rFonts w:ascii="Times New Roman" w:eastAsiaTheme="minorHAnsi" w:hAnsi="Times New Roman" w:cs="Times New Roman"/>
          <w:color w:val="auto"/>
          <w:lang w:val="pt-BR" w:eastAsia="en-US"/>
        </w:rPr>
        <w:t xml:space="preserve">. Portanto, a fim de cumprir a decisão da Suprema Corte, o feito foi </w:t>
      </w:r>
      <w:proofErr w:type="gramStart"/>
      <w:r w:rsidRPr="00A63855">
        <w:rPr>
          <w:rFonts w:ascii="Times New Roman" w:eastAsiaTheme="minorHAnsi" w:hAnsi="Times New Roman" w:cs="Times New Roman"/>
          <w:color w:val="auto"/>
          <w:lang w:val="pt-BR" w:eastAsia="en-US"/>
        </w:rPr>
        <w:t>chamado</w:t>
      </w:r>
      <w:proofErr w:type="gramEnd"/>
      <w:r w:rsidRPr="00A63855">
        <w:rPr>
          <w:rFonts w:ascii="Times New Roman" w:eastAsiaTheme="minorHAnsi" w:hAnsi="Times New Roman" w:cs="Times New Roman"/>
          <w:color w:val="auto"/>
          <w:lang w:val="pt-BR" w:eastAsia="en-US"/>
        </w:rPr>
        <w:t xml:space="preserve"> à ordem pela SDC e, por unanimidade, a redação da aludida cláusula foi alterada, com a exclusão da possibilidade de desconto compulsório da contribuição assistencial dos empregados não associados. </w:t>
      </w:r>
      <w:hyperlink r:id="rId9" w:history="1">
        <w:r w:rsidRPr="00A63855">
          <w:rPr>
            <w:rStyle w:val="Hyperlink"/>
            <w:rFonts w:ascii="Times New Roman" w:hAnsi="Times New Roman"/>
            <w:lang w:val="pt-BR"/>
          </w:rPr>
          <w:t>TST-EDDCG-1000662-58.20</w:t>
        </w:r>
        <w:r w:rsidRPr="00A63855">
          <w:rPr>
            <w:rStyle w:val="Hyperlink"/>
            <w:rFonts w:ascii="Times New Roman" w:hAnsi="Times New Roman"/>
            <w:lang w:val="pt-BR"/>
          </w:rPr>
          <w:t>1</w:t>
        </w:r>
        <w:r w:rsidRPr="00A63855">
          <w:rPr>
            <w:rStyle w:val="Hyperlink"/>
            <w:rFonts w:ascii="Times New Roman" w:hAnsi="Times New Roman"/>
            <w:lang w:val="pt-BR"/>
          </w:rPr>
          <w:t>9.5.00.0000</w:t>
        </w:r>
      </w:hyperlink>
      <w:r w:rsidRPr="00A63855">
        <w:rPr>
          <w:rFonts w:ascii="Times New Roman" w:hAnsi="Times New Roman" w:cs="Times New Roman"/>
          <w:u w:val="single"/>
          <w:lang w:val="pt-BR"/>
        </w:rPr>
        <w:t xml:space="preserve">, SDC, </w:t>
      </w:r>
      <w:r w:rsidRPr="00A63855">
        <w:rPr>
          <w:rFonts w:ascii="Times New Roman" w:hAnsi="Times New Roman" w:cs="Times New Roman"/>
          <w:color w:val="auto"/>
          <w:u w:val="single"/>
          <w:lang w:val="pt-BR"/>
        </w:rPr>
        <w:t>rel. Min.</w:t>
      </w:r>
      <w:r w:rsidRPr="00A63855">
        <w:rPr>
          <w:rFonts w:ascii="Times New Roman" w:hAnsi="Times New Roman" w:cs="Times New Roman"/>
          <w:bCs/>
          <w:color w:val="035FA3"/>
          <w:u w:val="single"/>
          <w:shd w:val="clear" w:color="auto" w:fill="FFFFFF"/>
          <w:lang w:val="pt-BR"/>
        </w:rPr>
        <w:t xml:space="preserve"> </w:t>
      </w:r>
      <w:r w:rsidRPr="00A63855">
        <w:rPr>
          <w:rFonts w:ascii="Times New Roman" w:hAnsi="Times New Roman" w:cs="Times New Roman"/>
          <w:bCs/>
          <w:color w:val="auto"/>
          <w:u w:val="single"/>
          <w:shd w:val="clear" w:color="auto" w:fill="FFFFFF"/>
          <w:lang w:val="pt-BR"/>
        </w:rPr>
        <w:t>Mauricio Godinho Delgado</w:t>
      </w:r>
      <w:r w:rsidRPr="00A63855">
        <w:rPr>
          <w:rFonts w:ascii="Times New Roman" w:hAnsi="Times New Roman" w:cs="Times New Roman"/>
          <w:color w:val="auto"/>
          <w:u w:val="single"/>
          <w:lang w:val="pt-BR"/>
        </w:rPr>
        <w:t>, chamado à ordem em 11/5/2020.</w:t>
      </w:r>
    </w:p>
    <w:p w:rsidR="00543122" w:rsidRDefault="00543122" w:rsidP="00237380">
      <w:pPr>
        <w:adjustRightInd w:val="0"/>
        <w:jc w:val="both"/>
        <w:rPr>
          <w:sz w:val="24"/>
          <w:szCs w:val="24"/>
          <w:u w:val="single"/>
          <w:lang w:eastAsia="zh-CN"/>
        </w:rPr>
      </w:pPr>
    </w:p>
    <w:p w:rsidR="00543122" w:rsidRPr="006717E0" w:rsidRDefault="00543122" w:rsidP="0054312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SUBSEÇÃO II ESPECIALIZADA EM DISSÍDIOS INDIVIDUAIS</w:t>
      </w:r>
    </w:p>
    <w:p w:rsidR="00543122" w:rsidRPr="00543122" w:rsidRDefault="00543122" w:rsidP="00543122">
      <w:pPr>
        <w:adjustRightInd w:val="0"/>
        <w:jc w:val="both"/>
        <w:rPr>
          <w:b/>
          <w:bCs/>
          <w:i/>
          <w:iCs/>
        </w:rPr>
      </w:pPr>
    </w:p>
    <w:p w:rsidR="00A63855" w:rsidRPr="00A63855" w:rsidRDefault="00A63855" w:rsidP="00A63855">
      <w:pPr>
        <w:pStyle w:val="Identificao"/>
        <w:rPr>
          <w:rFonts w:ascii="Times New Roman" w:eastAsiaTheme="minorHAnsi" w:hAnsi="Times New Roman" w:cs="Times New Roman"/>
          <w:b/>
          <w:i/>
          <w:color w:val="auto"/>
          <w:lang w:val="pt-BR" w:eastAsia="en-US"/>
        </w:rPr>
      </w:pPr>
      <w:r w:rsidRPr="00A63855">
        <w:rPr>
          <w:rFonts w:ascii="Times New Roman" w:eastAsiaTheme="minorHAnsi" w:hAnsi="Times New Roman" w:cs="Times New Roman"/>
          <w:b/>
          <w:i/>
          <w:color w:val="auto"/>
          <w:lang w:val="pt-BR" w:eastAsia="en-US"/>
        </w:rPr>
        <w:t xml:space="preserve">Irregularidade de representação. Recurso interposto eletronicamente. Ausência de procuração outorgada ao advogado subscritor. Concessão de prazo para saneamento do vício. Não cabimento. Súmula nº 383, II, do TST. </w:t>
      </w:r>
    </w:p>
    <w:p w:rsidR="00A63855" w:rsidRPr="00A63855" w:rsidRDefault="00A63855" w:rsidP="00A63855">
      <w:pPr>
        <w:pStyle w:val="Identificao"/>
        <w:rPr>
          <w:rFonts w:ascii="Times New Roman" w:eastAsiaTheme="minorEastAsia" w:hAnsi="Times New Roman" w:cs="Times New Roman"/>
          <w:color w:val="auto"/>
          <w:lang w:val="pt-BR"/>
        </w:rPr>
      </w:pPr>
      <w:r w:rsidRPr="00A63855">
        <w:rPr>
          <w:rFonts w:ascii="Times New Roman" w:hAnsi="Times New Roman" w:cs="Times New Roman"/>
          <w:color w:val="auto"/>
          <w:lang w:val="pt-BR"/>
        </w:rPr>
        <w:t xml:space="preserve">Não se conhece de recurso interposto com assinatura digital de advogado sem procuração nos autos, revelando-se inexistente o ato praticado por irregularidade de representação. A concessão do prazo de </w:t>
      </w:r>
      <w:proofErr w:type="gramStart"/>
      <w:r w:rsidRPr="00A63855">
        <w:rPr>
          <w:rFonts w:ascii="Times New Roman" w:hAnsi="Times New Roman" w:cs="Times New Roman"/>
          <w:color w:val="auto"/>
          <w:lang w:val="pt-BR"/>
        </w:rPr>
        <w:t>5</w:t>
      </w:r>
      <w:proofErr w:type="gramEnd"/>
      <w:r w:rsidRPr="00A63855">
        <w:rPr>
          <w:rFonts w:ascii="Times New Roman" w:hAnsi="Times New Roman" w:cs="Times New Roman"/>
          <w:color w:val="auto"/>
          <w:lang w:val="pt-BR"/>
        </w:rPr>
        <w:t xml:space="preserve"> (cinco) dias para a parte recorrente sanar o vício, consoante o item II da Súmula nº 383 do TST, só é cabível quando verificada irregularidade no instrumento de procuração ou substabelecimento que já consta nos autos. No caso, o recurso ordinário interposto pelo impetrante foi subscrito eletronicamente por advogado que não estava habilitado por procuração ou substabelecimento no momento da interposição do apelo. Sob esse entendimento, a SBDI-II, por unanimidade, negou provimento ao agravo de instrumento. </w:t>
      </w:r>
      <w:hyperlink r:id="rId10" w:history="1">
        <w:r w:rsidRPr="00A63855">
          <w:rPr>
            <w:rStyle w:val="Hyperlink"/>
            <w:rFonts w:ascii="Times New Roman" w:hAnsi="Times New Roman"/>
            <w:lang w:val="pt-BR"/>
          </w:rPr>
          <w:t>TST-A</w:t>
        </w:r>
        <w:r w:rsidRPr="00A63855">
          <w:rPr>
            <w:rStyle w:val="Hyperlink"/>
            <w:rFonts w:ascii="Times New Roman" w:hAnsi="Times New Roman"/>
            <w:lang w:val="pt-BR"/>
          </w:rPr>
          <w:t>I</w:t>
        </w:r>
        <w:r w:rsidRPr="00A63855">
          <w:rPr>
            <w:rStyle w:val="Hyperlink"/>
            <w:rFonts w:ascii="Times New Roman" w:hAnsi="Times New Roman"/>
            <w:lang w:val="pt-BR"/>
          </w:rPr>
          <w:t>RO-154-58.2019.5.17.0000</w:t>
        </w:r>
      </w:hyperlink>
      <w:r w:rsidRPr="00A63855">
        <w:rPr>
          <w:rFonts w:ascii="Times New Roman" w:hAnsi="Times New Roman" w:cs="Times New Roman"/>
          <w:color w:val="auto"/>
          <w:u w:val="single"/>
          <w:lang w:val="pt-BR"/>
        </w:rPr>
        <w:t xml:space="preserve">, SBDI-II, rel. Min. Maria Helena </w:t>
      </w:r>
      <w:proofErr w:type="spellStart"/>
      <w:r w:rsidRPr="00A63855">
        <w:rPr>
          <w:rFonts w:ascii="Times New Roman" w:hAnsi="Times New Roman" w:cs="Times New Roman"/>
          <w:color w:val="auto"/>
          <w:u w:val="single"/>
          <w:lang w:val="pt-BR"/>
        </w:rPr>
        <w:t>Mallmann</w:t>
      </w:r>
      <w:proofErr w:type="spellEnd"/>
      <w:r w:rsidRPr="00A63855">
        <w:rPr>
          <w:rFonts w:ascii="Times New Roman" w:hAnsi="Times New Roman" w:cs="Times New Roman"/>
          <w:color w:val="auto"/>
          <w:u w:val="single"/>
          <w:lang w:val="pt-BR"/>
        </w:rPr>
        <w:t>, julgado em 5/5/2020.</w:t>
      </w:r>
    </w:p>
    <w:p w:rsidR="00A63855" w:rsidRPr="00A63855" w:rsidRDefault="00A63855" w:rsidP="00A63855">
      <w:pPr>
        <w:jc w:val="both"/>
        <w:rPr>
          <w:b/>
          <w:i/>
        </w:rPr>
      </w:pPr>
    </w:p>
    <w:p w:rsidR="00A63855" w:rsidRDefault="00A63855" w:rsidP="00A63855">
      <w:pPr>
        <w:jc w:val="both"/>
        <w:rPr>
          <w:b/>
          <w:i/>
          <w:sz w:val="24"/>
          <w:szCs w:val="24"/>
        </w:rPr>
      </w:pPr>
      <w:r>
        <w:rPr>
          <w:b/>
          <w:i/>
          <w:sz w:val="24"/>
          <w:szCs w:val="24"/>
        </w:rPr>
        <w:t xml:space="preserve">Ação rescisória ajuizada sob a égide do CPC de 1973. Incompetência material da Justiça do Trabalho. Relação jurídica existente entre Município e professores públicos municipais. </w:t>
      </w:r>
      <w:r>
        <w:rPr>
          <w:b/>
          <w:i/>
          <w:sz w:val="24"/>
          <w:szCs w:val="24"/>
        </w:rPr>
        <w:lastRenderedPageBreak/>
        <w:t xml:space="preserve">Controvérsia sobre a natureza da relação jurídica. Competência da Justiça Comum. Causa de </w:t>
      </w:r>
      <w:proofErr w:type="spellStart"/>
      <w:r>
        <w:rPr>
          <w:b/>
          <w:i/>
          <w:sz w:val="24"/>
          <w:szCs w:val="24"/>
        </w:rPr>
        <w:t>rescindibilidade</w:t>
      </w:r>
      <w:proofErr w:type="spellEnd"/>
      <w:r>
        <w:rPr>
          <w:b/>
          <w:i/>
          <w:sz w:val="24"/>
          <w:szCs w:val="24"/>
        </w:rPr>
        <w:t xml:space="preserve"> configurada. Art. 485, II, do CPC de 1973.</w:t>
      </w:r>
    </w:p>
    <w:p w:rsidR="00A63855" w:rsidRDefault="00A63855" w:rsidP="00A63855">
      <w:pPr>
        <w:jc w:val="both"/>
        <w:rPr>
          <w:sz w:val="24"/>
          <w:szCs w:val="24"/>
        </w:rPr>
      </w:pPr>
      <w:r>
        <w:rPr>
          <w:sz w:val="24"/>
          <w:szCs w:val="24"/>
        </w:rPr>
        <w:t xml:space="preserve">A Justiça do Trabalho é incompetente para apreciar controvérsia sobre a natureza da relação jurídica existente entre Município e servidores públicos, ainda que se vislumbrem elementos capazes de inferir que os servidores não estariam submetidos ao regime estatutário. No caso, extrai-se do acórdão rescindendo a existência de controvérsia acerca da natureza da relação jurídica estabelecida entre o Município de Mascote e seus professores municipais. Conforme entendimento pacificado pelo STF, compete à Justiça Comum analisar, preliminarmente, eventual desvirtuamento da relação jurídica invocada pelo ente público. Resta, portanto, caracterizada a hipótese de </w:t>
      </w:r>
      <w:proofErr w:type="spellStart"/>
      <w:r>
        <w:rPr>
          <w:sz w:val="24"/>
          <w:szCs w:val="24"/>
        </w:rPr>
        <w:t>rescindibilidade</w:t>
      </w:r>
      <w:proofErr w:type="spellEnd"/>
      <w:r>
        <w:rPr>
          <w:sz w:val="24"/>
          <w:szCs w:val="24"/>
        </w:rPr>
        <w:t xml:space="preserve"> prevista no inciso II do art. 485 do CPC de 1973. Sob esse fundamento, a SBDI-II, por unanimidade, conheceu do Recurso Ordinário e, no mérito, deu-lhe provimento para desconstituir o acórdão proferido pelo TRT no julgamento do Recurso Ordinário, e, em juízo rescisório, declarou a incompetência da Justiça do Trabalho para julgar a reclamação trabalhista originária, determinando a remessa dos autos do processo matriz à Justiça Comum. </w:t>
      </w:r>
      <w:hyperlink r:id="rId11" w:history="1">
        <w:r>
          <w:rPr>
            <w:rStyle w:val="Hyperlink"/>
            <w:sz w:val="24"/>
            <w:szCs w:val="24"/>
          </w:rPr>
          <w:t>TST-</w:t>
        </w:r>
        <w:r>
          <w:rPr>
            <w:rStyle w:val="Hyperlink"/>
          </w:rPr>
          <w:t xml:space="preserve"> </w:t>
        </w:r>
        <w:r>
          <w:rPr>
            <w:rStyle w:val="Hyperlink"/>
            <w:sz w:val="24"/>
            <w:szCs w:val="24"/>
          </w:rPr>
          <w:t>RO-457-47.2</w:t>
        </w:r>
        <w:r>
          <w:rPr>
            <w:rStyle w:val="Hyperlink"/>
            <w:sz w:val="24"/>
            <w:szCs w:val="24"/>
          </w:rPr>
          <w:t>0</w:t>
        </w:r>
        <w:r>
          <w:rPr>
            <w:rStyle w:val="Hyperlink"/>
            <w:sz w:val="24"/>
            <w:szCs w:val="24"/>
          </w:rPr>
          <w:t>15.5.05.0000</w:t>
        </w:r>
      </w:hyperlink>
      <w:r>
        <w:rPr>
          <w:sz w:val="24"/>
          <w:szCs w:val="24"/>
          <w:u w:val="single"/>
        </w:rPr>
        <w:t>, SBDI-II, rel. Min. Luiz José Dezena da Silva, julgado em 12/5/2020.</w:t>
      </w:r>
    </w:p>
    <w:p w:rsidR="005848D7" w:rsidRPr="00543122" w:rsidRDefault="005848D7" w:rsidP="00F53215">
      <w:pPr>
        <w:jc w:val="both"/>
        <w:rPr>
          <w:sz w:val="24"/>
          <w:szCs w:val="24"/>
          <w:u w:val="single"/>
        </w:rPr>
      </w:pPr>
    </w:p>
    <w:p w:rsidR="009A76A2" w:rsidRPr="006717E0"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TURMAS</w:t>
      </w:r>
    </w:p>
    <w:p w:rsidR="009A76A2" w:rsidRPr="004B3120" w:rsidRDefault="009A76A2" w:rsidP="009A76A2">
      <w:pPr>
        <w:pStyle w:val="Cabealho"/>
        <w:tabs>
          <w:tab w:val="clear" w:pos="4419"/>
          <w:tab w:val="clear" w:pos="8838"/>
        </w:tabs>
        <w:jc w:val="center"/>
        <w:rPr>
          <w:i/>
        </w:rPr>
      </w:pPr>
      <w:r w:rsidRPr="004B3120">
        <w:rPr>
          <w:i/>
        </w:rPr>
        <w:t xml:space="preserve">Transcrição de ementas selecionadas </w:t>
      </w:r>
      <w:r w:rsidR="009D2FB1" w:rsidRPr="004B3120">
        <w:rPr>
          <w:i/>
        </w:rPr>
        <w:t>n</w:t>
      </w:r>
      <w:r w:rsidRPr="004B3120">
        <w:rPr>
          <w:i/>
        </w:rPr>
        <w:t>as sessões de julgamento das Turmas do TST.</w:t>
      </w:r>
    </w:p>
    <w:p w:rsidR="004B3120" w:rsidRPr="004B3120" w:rsidRDefault="004B3120" w:rsidP="004B3120">
      <w:pPr>
        <w:jc w:val="both"/>
        <w:outlineLvl w:val="0"/>
        <w:rPr>
          <w:rFonts w:eastAsiaTheme="minorEastAsia"/>
          <w:b/>
          <w:i/>
          <w:color w:val="000000"/>
        </w:rPr>
      </w:pPr>
      <w:bookmarkStart w:id="0" w:name="Ementa"/>
      <w:bookmarkStart w:id="1" w:name="tempEmenta"/>
    </w:p>
    <w:p w:rsidR="00A63855" w:rsidRPr="00A63855" w:rsidRDefault="00A63855" w:rsidP="00A63855">
      <w:pPr>
        <w:pStyle w:val="Ementa"/>
        <w:ind w:left="0"/>
        <w:outlineLvl w:val="0"/>
        <w:rPr>
          <w:rFonts w:ascii="Times New Roman" w:hAnsi="Times New Roman" w:cs="Times New Roman"/>
          <w:i/>
          <w:color w:val="auto"/>
          <w:lang w:val="pt-BR"/>
        </w:rPr>
      </w:pPr>
      <w:r w:rsidRPr="00A63855">
        <w:rPr>
          <w:rFonts w:ascii="Times New Roman" w:hAnsi="Times New Roman" w:cs="Times New Roman"/>
          <w:i/>
          <w:color w:val="auto"/>
          <w:lang w:val="pt-BR"/>
        </w:rPr>
        <w:t>“</w:t>
      </w:r>
      <w:r w:rsidRPr="00A63855">
        <w:rPr>
          <w:rFonts w:ascii="Times New Roman" w:hAnsi="Times New Roman" w:cs="Times New Roman"/>
          <w:color w:val="auto"/>
          <w:lang w:val="pt-BR"/>
        </w:rPr>
        <w:t xml:space="preserve">[...] </w:t>
      </w:r>
      <w:proofErr w:type="gramStart"/>
      <w:r w:rsidRPr="00A63855">
        <w:rPr>
          <w:rFonts w:ascii="Times New Roman" w:hAnsi="Times New Roman" w:cs="Times New Roman"/>
          <w:i/>
          <w:color w:val="auto"/>
          <w:lang w:val="pt-BR"/>
        </w:rPr>
        <w:t>2</w:t>
      </w:r>
      <w:proofErr w:type="gramEnd"/>
      <w:r w:rsidRPr="00A63855">
        <w:rPr>
          <w:rFonts w:ascii="Times New Roman" w:hAnsi="Times New Roman" w:cs="Times New Roman"/>
          <w:i/>
          <w:color w:val="auto"/>
          <w:lang w:val="pt-BR"/>
        </w:rPr>
        <w:t xml:space="preserve">. INDENIZAÇÃO POR DANOS MORAIS. ISOLAMENTO E ESVAZIAMENTO DAS FUNÇÕES. DESRESPEITO AOS PRINCÍPIOS FUNDAMENTAIS DA DIGNIDADE DA PESSOA HUMANA, DA INVIOLABILIDADE PSÍQUICA (ALÉM DA FÍSICA) DA PESSOA HUMANA, DO BEM-ESTAR INDIVIDUAL (ALÉM DO SOCIAL) DO SER HUMANO, TODOS INTEGRANTES DO PATRIMÔNIO MORAL DA PESSOA FÍSICA. DANO MORAL CARACTERIZADO. A conquista e afirmação da dignidade da pessoa humana não mais podem se restringir à sua liberdade e intangibilidade física e psíquica, envolvendo, naturalmente, também a conquista e afirmação de sua individualidade no meio econômico e social, com repercussões positivas conexas no plano cultural - o que se faz, de maneira geral, considerado o conjunto mais amplo e diversificado das pessoas, mediante o trabalho e, particularmente, o emprego. O direito à indenização por dano moral encontra amparo no art. 5º, V e X, da Constituição da República; e no art. 186 do CCB/2002, bem como nos princípios basilares da nova ordem constitucional, mormente naqueles que dizem respeito à proteção da dignidade humana, da inviolabilidade (física e psíquica) do direito à vida, do bem-estar individual (e social), da segurança física e psíquica do indivíduo, além da valorização do trabalho humano. O patrimônio moral da pessoa humana envolve todos esses bens imateriais, consubstanciados, pela Constituição, em princípios fundamentais. Afrontado esse patrimônio moral, em seu conjunto ou em parte relevante, cabe a indenização por dano moral, deflagrada pela Constituição de 1988. </w:t>
      </w:r>
      <w:r w:rsidRPr="00A63855">
        <w:rPr>
          <w:rFonts w:ascii="Times New Roman" w:hAnsi="Times New Roman" w:cs="Times New Roman"/>
          <w:i/>
          <w:color w:val="auto"/>
          <w:u w:val="single"/>
          <w:lang w:val="pt-BR"/>
        </w:rPr>
        <w:t>No caso vertente</w:t>
      </w:r>
      <w:r w:rsidRPr="00A63855">
        <w:rPr>
          <w:rFonts w:ascii="Times New Roman" w:hAnsi="Times New Roman" w:cs="Times New Roman"/>
          <w:i/>
          <w:color w:val="auto"/>
          <w:lang w:val="pt-BR"/>
        </w:rPr>
        <w:t xml:space="preserve">, o Tribunal Regional reformou a sentença que considerara caracterizado o dano moral ensejador da reparação pretendida, decorrente do isolamento vivenciado pelo Reclamante, no ambiente de trabalho e do esvaziamento de suas funções. Para tanto, registrou o TRT que ‘inexiste prova cabal de que o reclamante não foi convidado para participar de reuniões importantes, na medida em que se mostra insuficiente ao convencimento do julgador a mera assertiva de uma </w:t>
      </w:r>
      <w:proofErr w:type="gramStart"/>
      <w:r w:rsidRPr="00A63855">
        <w:rPr>
          <w:rFonts w:ascii="Times New Roman" w:hAnsi="Times New Roman" w:cs="Times New Roman"/>
          <w:i/>
          <w:color w:val="auto"/>
          <w:lang w:val="pt-BR"/>
        </w:rPr>
        <w:t>testemunha</w:t>
      </w:r>
      <w:proofErr w:type="gramEnd"/>
      <w:r w:rsidRPr="00A63855">
        <w:rPr>
          <w:rFonts w:ascii="Times New Roman" w:hAnsi="Times New Roman" w:cs="Times New Roman"/>
          <w:i/>
          <w:color w:val="auto"/>
          <w:lang w:val="pt-BR"/>
        </w:rPr>
        <w:t xml:space="preserve"> no sentido de que avistava de seu posto de trabalho a sala de reunião e ali não via o autor. Registre-se, ainda, que tarefas no depósito não se mostram estranhas à rotina de um assistente de gerente de supermercado (...)’. A alteração funcional aponta para evidente retaliação empresarial, já que o Autor era assistente de gerente e, abruptamente, foi transferido para exercer funções no depósito e, além disso, foi impedido de participar das reuniões das quais os assistentes de gerente sempre participaram, causando ao Obreiro abalo emocional. Diante da submissão do Obreiro a situações que atentaram contra a sua dignidade, a sua integridade psíquica e o seu bem-estar individual - bens imateriais que compõem seu patrimônio moral protegido pela Constituição -, tem ele, de fato, direito à reparação moral, conforme autorizam o inciso X do art. 5º da Constituição Federal e os </w:t>
      </w:r>
      <w:proofErr w:type="spellStart"/>
      <w:r w:rsidRPr="00A63855">
        <w:rPr>
          <w:rFonts w:ascii="Times New Roman" w:hAnsi="Times New Roman" w:cs="Times New Roman"/>
          <w:i/>
          <w:color w:val="auto"/>
          <w:lang w:val="pt-BR"/>
        </w:rPr>
        <w:t>arts</w:t>
      </w:r>
      <w:proofErr w:type="spellEnd"/>
      <w:r w:rsidRPr="00A63855">
        <w:rPr>
          <w:rFonts w:ascii="Times New Roman" w:hAnsi="Times New Roman" w:cs="Times New Roman"/>
          <w:i/>
          <w:color w:val="auto"/>
          <w:lang w:val="pt-BR"/>
        </w:rPr>
        <w:t xml:space="preserve">. 186 e </w:t>
      </w:r>
      <w:r w:rsidRPr="00A63855">
        <w:rPr>
          <w:rFonts w:ascii="Times New Roman" w:hAnsi="Times New Roman" w:cs="Times New Roman"/>
          <w:i/>
          <w:color w:val="auto"/>
          <w:lang w:val="pt-BR"/>
        </w:rPr>
        <w:lastRenderedPageBreak/>
        <w:t xml:space="preserve">927, caput, do CCB/2002. </w:t>
      </w:r>
      <w:r w:rsidRPr="00A63855">
        <w:rPr>
          <w:rFonts w:ascii="Times New Roman" w:hAnsi="Times New Roman" w:cs="Times New Roman"/>
          <w:bCs/>
          <w:i/>
          <w:color w:val="auto"/>
          <w:lang w:val="pt-BR"/>
        </w:rPr>
        <w:t>Recurso de revista conhecido e provido no tema.</w:t>
      </w:r>
      <w:r w:rsidRPr="00A63855">
        <w:rPr>
          <w:rFonts w:ascii="Times New Roman" w:hAnsi="Times New Roman" w:cs="Times New Roman"/>
          <w:b/>
          <w:bCs/>
          <w:i/>
          <w:color w:val="auto"/>
          <w:lang w:val="pt-BR"/>
        </w:rPr>
        <w:t xml:space="preserve"> </w:t>
      </w:r>
      <w:r w:rsidRPr="00A63855">
        <w:rPr>
          <w:rFonts w:ascii="Times New Roman" w:hAnsi="Times New Roman" w:cs="Times New Roman"/>
          <w:color w:val="auto"/>
          <w:lang w:val="pt-BR"/>
        </w:rPr>
        <w:t>(</w:t>
      </w:r>
      <w:hyperlink r:id="rId12" w:history="1">
        <w:r w:rsidRPr="00A63855">
          <w:rPr>
            <w:rStyle w:val="Hyperlink"/>
            <w:rFonts w:ascii="Times New Roman" w:hAnsi="Times New Roman"/>
            <w:lang w:val="pt-BR"/>
          </w:rPr>
          <w:t>TST-RR-9</w:t>
        </w:r>
        <w:r w:rsidRPr="00A63855">
          <w:rPr>
            <w:rStyle w:val="Hyperlink"/>
            <w:rFonts w:ascii="Times New Roman" w:hAnsi="Times New Roman"/>
            <w:lang w:val="pt-BR"/>
          </w:rPr>
          <w:t>8</w:t>
        </w:r>
        <w:r w:rsidRPr="00A63855">
          <w:rPr>
            <w:rStyle w:val="Hyperlink"/>
            <w:rFonts w:ascii="Times New Roman" w:hAnsi="Times New Roman"/>
            <w:lang w:val="pt-BR"/>
          </w:rPr>
          <w:t>6-15.2014.5.06.0181</w:t>
        </w:r>
      </w:hyperlink>
      <w:r w:rsidR="00D9627B" w:rsidRPr="00D9627B">
        <w:rPr>
          <w:rFonts w:ascii="Times New Roman" w:hAnsi="Times New Roman" w:cs="Times New Roman"/>
          <w:b/>
          <w:bCs/>
          <w:color w:val="auto"/>
          <w:lang w:val="pt-BR"/>
        </w:rPr>
        <w:t>,</w:t>
      </w:r>
      <w:r w:rsidR="00D9627B">
        <w:rPr>
          <w:b/>
          <w:bCs/>
          <w:color w:val="auto"/>
          <w:lang w:val="pt-BR"/>
        </w:rPr>
        <w:t xml:space="preserve"> </w:t>
      </w:r>
      <w:r w:rsidRPr="00A63855">
        <w:rPr>
          <w:rFonts w:ascii="Times New Roman" w:hAnsi="Times New Roman" w:cs="Times New Roman"/>
          <w:color w:val="auto"/>
          <w:lang w:val="pt-BR"/>
        </w:rPr>
        <w:t>3ª Turma, rel. Min. Maurício Godinho Delgado, julgado em 6/5/2020.</w:t>
      </w:r>
      <w:proofErr w:type="gramStart"/>
      <w:r w:rsidRPr="00A63855">
        <w:rPr>
          <w:rFonts w:ascii="Times New Roman" w:hAnsi="Times New Roman" w:cs="Times New Roman"/>
          <w:color w:val="auto"/>
          <w:lang w:val="pt-BR"/>
        </w:rPr>
        <w:t>)</w:t>
      </w:r>
      <w:proofErr w:type="gramEnd"/>
    </w:p>
    <w:p w:rsidR="00A63855" w:rsidRPr="00A63855" w:rsidRDefault="00A63855" w:rsidP="00A63855">
      <w:pPr>
        <w:pStyle w:val="SemEspaamento"/>
        <w:rPr>
          <w:sz w:val="20"/>
          <w:szCs w:val="20"/>
        </w:rPr>
      </w:pPr>
    </w:p>
    <w:p w:rsidR="00A63855" w:rsidRPr="00A63855" w:rsidRDefault="00A63855" w:rsidP="00A63855">
      <w:pPr>
        <w:pStyle w:val="Ementa"/>
        <w:ind w:left="0"/>
        <w:outlineLvl w:val="0"/>
        <w:rPr>
          <w:rFonts w:ascii="Times New Roman" w:hAnsi="Times New Roman" w:cs="Times New Roman"/>
          <w:color w:val="auto"/>
          <w:lang w:val="pt-BR"/>
        </w:rPr>
      </w:pPr>
      <w:r w:rsidRPr="00A63855">
        <w:rPr>
          <w:rFonts w:ascii="Times New Roman" w:hAnsi="Times New Roman" w:cs="Times New Roman"/>
          <w:bCs/>
          <w:i/>
          <w:color w:val="auto"/>
          <w:lang w:val="pt-BR"/>
        </w:rPr>
        <w:t>“</w:t>
      </w:r>
      <w:r w:rsidRPr="00A63855">
        <w:rPr>
          <w:rFonts w:ascii="Times New Roman" w:hAnsi="Times New Roman" w:cs="Times New Roman"/>
          <w:bCs/>
          <w:color w:val="auto"/>
          <w:lang w:val="pt-BR"/>
        </w:rPr>
        <w:t>[</w:t>
      </w:r>
      <w:proofErr w:type="gramStart"/>
      <w:r w:rsidRPr="00A63855">
        <w:rPr>
          <w:rFonts w:ascii="Times New Roman" w:hAnsi="Times New Roman" w:cs="Times New Roman"/>
          <w:bCs/>
          <w:color w:val="auto"/>
          <w:lang w:val="pt-BR"/>
        </w:rPr>
        <w:t>...]</w:t>
      </w:r>
      <w:r w:rsidRPr="00A63855">
        <w:rPr>
          <w:rFonts w:ascii="Times New Roman" w:hAnsi="Times New Roman" w:cs="Times New Roman"/>
          <w:bCs/>
          <w:i/>
          <w:color w:val="auto"/>
          <w:lang w:val="pt-BR"/>
        </w:rPr>
        <w:t xml:space="preserve"> III)</w:t>
      </w:r>
      <w:proofErr w:type="gramEnd"/>
      <w:r w:rsidRPr="00A63855">
        <w:rPr>
          <w:rFonts w:ascii="Times New Roman" w:hAnsi="Times New Roman" w:cs="Times New Roman"/>
          <w:bCs/>
          <w:i/>
          <w:color w:val="auto"/>
          <w:lang w:val="pt-BR"/>
        </w:rPr>
        <w:t xml:space="preserve"> RECURSO DE REVISTA. VALIDADE DE AUTO DE INFRAÇÃO. AUDITOR FISCAL DO MINISTÉRIO DO TRABALHO. TERCEIRIZAÇÃO ILÍCITA. RECONHECIMENTO DE VÍNCULO DE EMPREGO. INVASÃO DE COMPETÊNCIA DA JUSTIÇA DO TRABALHO.  PROVIMENTO. </w:t>
      </w:r>
      <w:r w:rsidRPr="00A63855">
        <w:rPr>
          <w:rFonts w:ascii="Times New Roman" w:hAnsi="Times New Roman" w:cs="Times New Roman"/>
          <w:i/>
          <w:color w:val="auto"/>
          <w:lang w:val="pt-BR"/>
        </w:rPr>
        <w:t xml:space="preserve">O entendimento prevalecente nesta Corte Superior tem sido de que o Auditor Fiscal do Ministério do Trabalho possui atribuição para declarar a existência de vínculo de emprego, sem que isso configure invasão de competência da Justiça do Trabalho. Tal conclusão se extrai do comando dos artigos 626 e 628 da CLT. O caso específico dos autos, contudo, não se amolda à típica atuação do Ministério do Trabalho na fiscalização e cumprimento das normas de proteção ao trabalho, com possível reconhecimento de vínculo de emprego. </w:t>
      </w:r>
      <w:r w:rsidRPr="00A63855">
        <w:rPr>
          <w:rFonts w:ascii="Times New Roman" w:hAnsi="Times New Roman" w:cs="Times New Roman"/>
          <w:bCs/>
          <w:i/>
          <w:color w:val="auto"/>
          <w:lang w:val="pt-BR"/>
        </w:rPr>
        <w:t xml:space="preserve">No caso, o Tribunal Regional deu provimento ao recurso ordinário da União para reconhecer a validade do auto de infração lavrado pelo Auditor Fiscal do Ministério do Trabalho, fundamentando que, verificada, em concreto, a ofensa à legislação do trabalho, é dever do auditor lavrar o auto de infração, e a mera existência de contratos de trabalho entre os trabalhadores e a empresa contratada (prestadora de serviços) não impede a atuação do agente fiscalizador, notadamente em face do disposto no artigo 9° da CLT. </w:t>
      </w:r>
      <w:r w:rsidRPr="00A63855">
        <w:rPr>
          <w:rFonts w:ascii="Times New Roman" w:hAnsi="Times New Roman" w:cs="Times New Roman"/>
          <w:i/>
          <w:color w:val="auto"/>
          <w:lang w:val="pt-BR"/>
        </w:rPr>
        <w:t xml:space="preserve">Extrai-se do acórdão recorrido que o auto de infração foi lavrado contra a recorrente, com o reconhecimento de vínculo de emprego diretamente com o tomador de serviços, por ter sido considerada ilícita a terceirização dos serviços de movimentação de cargas. Assinale-se que, conforme se infere do v. acórdão regional, os trabalhadores da empresa prestadora de serviços encontravam-se regularmente contratados. Não diz respeito, portanto, ao exercício de atividades em estabelecimento empresarial, por trabalhadores sem registro na CTPS, mesmo presentes os requisitos da relação de emprego (pessoalidade, onerosidade, não eventualidade e subordinação jurídica), circunstância em que, por certo, se poderia cogitar em atuação do auditor </w:t>
      </w:r>
      <w:proofErr w:type="gramStart"/>
      <w:r w:rsidRPr="00A63855">
        <w:rPr>
          <w:rFonts w:ascii="Times New Roman" w:hAnsi="Times New Roman" w:cs="Times New Roman"/>
          <w:i/>
          <w:color w:val="auto"/>
          <w:lang w:val="pt-BR"/>
        </w:rPr>
        <w:t>fiscal</w:t>
      </w:r>
      <w:proofErr w:type="gramEnd"/>
      <w:r w:rsidRPr="00A63855">
        <w:rPr>
          <w:rFonts w:ascii="Times New Roman" w:hAnsi="Times New Roman" w:cs="Times New Roman"/>
          <w:i/>
          <w:color w:val="auto"/>
          <w:lang w:val="pt-BR"/>
        </w:rPr>
        <w:t xml:space="preserve"> do trabalho. Ora, se a questão com a qual se depara a autoridade fiscal vai além da mera constatação, por meio da fiscalização, do cumprimento das normas de proteção ao trabalho, exigindo o enfrentamento de matéria complexa, como reconhecer qual seria o legítimo empregador do trabalhador que já possui anotação na CTPS, não se pode dizer que tenha atribuição para exercer o seu poder de polícia. Neste caso, sua atuação extrapola a esfera administrativa, passando a invadir território de competência do Poder Judiciário, a quem caberia definir com que empresa seria possível o reconhecimento da relação de emprego. Nesse contexto, não merece prosperar a decisão regional em que se declarou a validade do auto de infração lavrado contra a recorrente, haja vista se tratar de situação na qual os trabalhadores terceirizados, que prestavam serviços nas dependências da empresa autora, são empregados de outra empresa, já dispondo de registro na CTPS. </w:t>
      </w:r>
      <w:proofErr w:type="gramStart"/>
      <w:r w:rsidRPr="00A63855">
        <w:rPr>
          <w:rFonts w:ascii="Times New Roman" w:hAnsi="Times New Roman" w:cs="Times New Roman"/>
          <w:bCs/>
          <w:i/>
          <w:color w:val="auto"/>
          <w:lang w:val="pt-BR"/>
        </w:rPr>
        <w:t>Recurso de revista de que se conhece e a que se dá provimento</w:t>
      </w:r>
      <w:r w:rsidRPr="00A63855">
        <w:rPr>
          <w:rFonts w:ascii="Times New Roman" w:hAnsi="Times New Roman" w:cs="Times New Roman"/>
          <w:b/>
          <w:bCs/>
          <w:i/>
          <w:color w:val="auto"/>
          <w:lang w:val="pt-BR"/>
        </w:rPr>
        <w:t>.”</w:t>
      </w:r>
      <w:proofErr w:type="gramEnd"/>
      <w:r w:rsidRPr="00A63855">
        <w:rPr>
          <w:rFonts w:ascii="Times New Roman" w:hAnsi="Times New Roman" w:cs="Times New Roman"/>
          <w:b/>
          <w:bCs/>
          <w:i/>
          <w:color w:val="auto"/>
          <w:lang w:val="pt-BR"/>
        </w:rPr>
        <w:t xml:space="preserve"> </w:t>
      </w:r>
      <w:r w:rsidRPr="00A63855">
        <w:rPr>
          <w:rFonts w:ascii="Times New Roman" w:hAnsi="Times New Roman" w:cs="Times New Roman"/>
          <w:color w:val="auto"/>
          <w:lang w:val="pt-BR"/>
        </w:rPr>
        <w:t>(</w:t>
      </w:r>
      <w:hyperlink r:id="rId13" w:history="1">
        <w:r w:rsidRPr="00A63855">
          <w:rPr>
            <w:rStyle w:val="Hyperlink"/>
            <w:rFonts w:ascii="Times New Roman" w:hAnsi="Times New Roman"/>
            <w:lang w:val="pt-BR"/>
          </w:rPr>
          <w:t>TST-RR-247-06.2011.5.02.0263</w:t>
        </w:r>
      </w:hyperlink>
      <w:r w:rsidRPr="00A63855">
        <w:rPr>
          <w:rFonts w:ascii="Times New Roman" w:hAnsi="Times New Roman" w:cs="Times New Roman"/>
          <w:color w:val="auto"/>
          <w:lang w:val="pt-BR"/>
        </w:rPr>
        <w:t xml:space="preserve">, 4ª Turma, rel. Min. </w:t>
      </w:r>
      <w:r w:rsidRPr="00A63855">
        <w:rPr>
          <w:rFonts w:ascii="Times New Roman" w:hAnsi="Times New Roman" w:cs="Times New Roman"/>
          <w:bCs/>
          <w:color w:val="auto"/>
          <w:shd w:val="clear" w:color="auto" w:fill="FFFFFF"/>
          <w:lang w:val="pt-BR"/>
        </w:rPr>
        <w:t>Guilherme Augusto Caputo Bastos,</w:t>
      </w:r>
      <w:r w:rsidRPr="00A63855">
        <w:rPr>
          <w:rFonts w:ascii="Verdana" w:hAnsi="Verdana"/>
          <w:b/>
          <w:bCs/>
          <w:color w:val="auto"/>
          <w:sz w:val="17"/>
          <w:szCs w:val="17"/>
          <w:shd w:val="clear" w:color="auto" w:fill="FFFFFF"/>
          <w:lang w:val="pt-BR"/>
        </w:rPr>
        <w:t xml:space="preserve"> </w:t>
      </w:r>
      <w:r w:rsidRPr="00A63855">
        <w:rPr>
          <w:rFonts w:ascii="Times New Roman" w:hAnsi="Times New Roman" w:cs="Times New Roman"/>
          <w:color w:val="auto"/>
          <w:lang w:val="pt-BR"/>
        </w:rPr>
        <w:t>julgado em 5/5/2020.)</w:t>
      </w:r>
    </w:p>
    <w:p w:rsidR="00A63855" w:rsidRPr="00A63855" w:rsidRDefault="00A63855" w:rsidP="00A63855">
      <w:pPr>
        <w:pStyle w:val="SemEspaamento"/>
        <w:rPr>
          <w:sz w:val="20"/>
          <w:szCs w:val="20"/>
        </w:rPr>
      </w:pPr>
    </w:p>
    <w:p w:rsidR="00A63855" w:rsidRPr="00A63855" w:rsidRDefault="00A63855" w:rsidP="00A63855">
      <w:pPr>
        <w:pStyle w:val="Ementa"/>
        <w:ind w:left="0"/>
        <w:outlineLvl w:val="0"/>
        <w:rPr>
          <w:rFonts w:ascii="Times New Roman" w:hAnsi="Times New Roman" w:cs="Times New Roman"/>
          <w:color w:val="auto"/>
          <w:lang w:val="pt-BR"/>
        </w:rPr>
      </w:pPr>
      <w:r w:rsidRPr="00A63855">
        <w:rPr>
          <w:rFonts w:ascii="Times New Roman" w:hAnsi="Times New Roman" w:cs="Times New Roman"/>
          <w:i/>
          <w:color w:val="auto"/>
          <w:lang w:val="pt-BR"/>
        </w:rPr>
        <w:t>“</w:t>
      </w:r>
      <w:r w:rsidRPr="00A63855">
        <w:rPr>
          <w:rFonts w:ascii="Times New Roman" w:hAnsi="Times New Roman" w:cs="Times New Roman"/>
          <w:color w:val="auto"/>
          <w:lang w:val="pt-BR"/>
        </w:rPr>
        <w:t>[</w:t>
      </w:r>
      <w:proofErr w:type="gramStart"/>
      <w:r w:rsidRPr="00A63855">
        <w:rPr>
          <w:rFonts w:ascii="Times New Roman" w:hAnsi="Times New Roman" w:cs="Times New Roman"/>
          <w:color w:val="auto"/>
          <w:lang w:val="pt-BR"/>
        </w:rPr>
        <w:t>...]</w:t>
      </w:r>
      <w:r w:rsidRPr="00A63855">
        <w:rPr>
          <w:rFonts w:ascii="Times New Roman" w:hAnsi="Times New Roman" w:cs="Times New Roman"/>
          <w:i/>
          <w:color w:val="auto"/>
          <w:lang w:val="pt-BR"/>
        </w:rPr>
        <w:t xml:space="preserve"> </w:t>
      </w:r>
      <w:r w:rsidRPr="00A63855">
        <w:rPr>
          <w:rFonts w:ascii="Times New Roman" w:hAnsi="Times New Roman" w:cs="Times New Roman"/>
          <w:bCs/>
          <w:i/>
          <w:color w:val="auto"/>
          <w:lang w:val="pt-BR"/>
        </w:rPr>
        <w:t>II)</w:t>
      </w:r>
      <w:proofErr w:type="gramEnd"/>
      <w:r w:rsidRPr="00A63855">
        <w:rPr>
          <w:rFonts w:ascii="Times New Roman" w:hAnsi="Times New Roman" w:cs="Times New Roman"/>
          <w:bCs/>
          <w:i/>
          <w:color w:val="auto"/>
          <w:lang w:val="pt-BR"/>
        </w:rPr>
        <w:t xml:space="preserve"> RECURSO DE REVISTA DO RECLAMADO – RITO SUMARÍSSIMO - CONDENAÇÃO DA BENEFICIÁRIA DA JUSTIÇA GRATUITA AO PAGAMENTO DE HONORÁRIOS ADVOCATÍCIOS SUCUMBENCIAIS – COMPENSAÇÃO DA VERBA HONORÁRIA COM OS CRÉDITOS OBTIDOS EM JUÍZO, AINDA QUE EM OUTRO PROCESSO - COMPATIBILIDADE DO ART. 791-A, § 4º, DA CLT COM O ART. 5º, CAPUT, XXXV, LIV e LV, DA CF - TRANSCENDÊNCIA JURÍDICA RECONHECIDA. </w:t>
      </w:r>
      <w:r w:rsidRPr="00A63855">
        <w:rPr>
          <w:rFonts w:ascii="Times New Roman" w:hAnsi="Times New Roman" w:cs="Times New Roman"/>
          <w:i/>
          <w:color w:val="auto"/>
          <w:lang w:val="pt-BR"/>
        </w:rPr>
        <w:t xml:space="preserve">1. Nos termos do art. 896-A, § 1º, IV, da CLT, constitui transcendência jurídica da causa a existência de questão nova em torno da interpretação da legislação trabalhista. 2. In </w:t>
      </w:r>
      <w:proofErr w:type="spellStart"/>
      <w:r w:rsidRPr="00A63855">
        <w:rPr>
          <w:rFonts w:ascii="Times New Roman" w:hAnsi="Times New Roman" w:cs="Times New Roman"/>
          <w:i/>
          <w:color w:val="auto"/>
          <w:lang w:val="pt-BR"/>
        </w:rPr>
        <w:t>casu</w:t>
      </w:r>
      <w:proofErr w:type="spellEnd"/>
      <w:r w:rsidRPr="00A63855">
        <w:rPr>
          <w:rFonts w:ascii="Times New Roman" w:hAnsi="Times New Roman" w:cs="Times New Roman"/>
          <w:i/>
          <w:color w:val="auto"/>
          <w:lang w:val="pt-BR"/>
        </w:rPr>
        <w:t>, o</w:t>
      </w:r>
      <w:r w:rsidRPr="00A63855">
        <w:rPr>
          <w:rFonts w:ascii="Times New Roman" w:hAnsi="Times New Roman" w:cs="Times New Roman"/>
          <w:bCs/>
          <w:i/>
          <w:color w:val="auto"/>
          <w:lang w:val="pt-BR"/>
        </w:rPr>
        <w:t xml:space="preserve"> debate </w:t>
      </w:r>
      <w:r w:rsidRPr="00A63855">
        <w:rPr>
          <w:rFonts w:ascii="Times New Roman" w:hAnsi="Times New Roman" w:cs="Times New Roman"/>
          <w:i/>
          <w:color w:val="auto"/>
          <w:lang w:val="pt-BR"/>
        </w:rPr>
        <w:t xml:space="preserve">jurídico que emerge do presente processo diz respeito à possibilidade de se compensar os honorários advocatícios sucumbenciais, arbitrados à Parte beneficiária da justiça gratuita, com os créditos que lhe foram deferidos na presente ação, consoante previsto no § 4º do art. 791-A da CLT, introduzido pela Lei 13.467/17, questão nova e que oferece reflexos de natureza jurídica. 3. Conforme se extrai do acórdão recorrido, o Regional, considerando a decisão plenária do TRT de declarar incidentalmente a inconstitucionalidade da </w:t>
      </w:r>
      <w:r w:rsidRPr="00A63855">
        <w:rPr>
          <w:rFonts w:ascii="Times New Roman" w:hAnsi="Times New Roman" w:cs="Times New Roman"/>
          <w:i/>
          <w:color w:val="auto"/>
          <w:lang w:val="pt-BR"/>
        </w:rPr>
        <w:lastRenderedPageBreak/>
        <w:t>expressão ‘desde que não tenha obtido em juízo, ainda que em outro processo, créditos capazes de suportar a despesa’, constante do § 4º do art. 791-A da CLT, determinou que os honorários advocatícios devidos pela Reclamante, que litiga sob o pálio da justiça gratuita, arbitrados em R$ 432,00 pelo Juízo de origem, permanecessem em condição suspensiva de exigibilidade, nos termos do citado art. 791-A, § 4º, da CLT, sem nenhuma compensação com seus créditos. 4. Como é cediço, a Reforma Trabalhista, promovida pela Lei 13.467/17, ensejou diversas alterações no campo do Direito Processual do Trabalho, a fim de tornar o processo laboral mais racional, simplificado</w:t>
      </w:r>
      <w:r w:rsidRPr="00A63855">
        <w:rPr>
          <w:rFonts w:ascii="Times New Roman" w:hAnsi="Times New Roman" w:cs="Times New Roman"/>
          <w:i/>
          <w:color w:val="auto"/>
          <w:spacing w:val="-20"/>
          <w:lang w:val="pt-BR"/>
        </w:rPr>
        <w:t>, célere e, principalmente,</w:t>
      </w:r>
      <w:r w:rsidRPr="00A63855">
        <w:rPr>
          <w:rFonts w:ascii="Times New Roman" w:hAnsi="Times New Roman" w:cs="Times New Roman"/>
          <w:i/>
          <w:color w:val="auto"/>
          <w:lang w:val="pt-BR"/>
        </w:rPr>
        <w:t xml:space="preserve"> responsável, sendo essa última característica marcante, visando coibir as denominadas ‘aventuras judiciais’, calcadas na facilidade de se acionar a Justiça, sem nenhum ônus ou responsabilização por </w:t>
      </w:r>
      <w:proofErr w:type="gramStart"/>
      <w:r w:rsidRPr="00A63855">
        <w:rPr>
          <w:rFonts w:ascii="Times New Roman" w:hAnsi="Times New Roman" w:cs="Times New Roman"/>
          <w:i/>
          <w:color w:val="auto"/>
          <w:lang w:val="pt-BR"/>
        </w:rPr>
        <w:t>postulações</w:t>
      </w:r>
      <w:proofErr w:type="gramEnd"/>
      <w:r w:rsidRPr="00A63855">
        <w:rPr>
          <w:rFonts w:ascii="Times New Roman" w:hAnsi="Times New Roman" w:cs="Times New Roman"/>
          <w:i/>
          <w:color w:val="auto"/>
          <w:lang w:val="pt-BR"/>
        </w:rPr>
        <w:t xml:space="preserve"> carentes de embasamento fático. 5. Não se pode perder de vista o crescente volume de processos ajuizados nesta Justiça Especializada, muitos com extenso rol de pedidos, apesar dos esforços empreendidos pelo TST para redução de estoque e do tempo de tramitação dos processos. 6. </w:t>
      </w:r>
      <w:r w:rsidRPr="00A63855">
        <w:rPr>
          <w:rFonts w:ascii="Times New Roman" w:hAnsi="Times New Roman" w:cs="Times New Roman"/>
          <w:i/>
          <w:color w:val="auto"/>
          <w:spacing w:val="20"/>
          <w:lang w:val="pt-BR"/>
        </w:rPr>
        <w:t>Nesse contexto foram inseridos os §§</w:t>
      </w:r>
      <w:r w:rsidRPr="00A63855">
        <w:rPr>
          <w:rFonts w:ascii="Times New Roman" w:hAnsi="Times New Roman" w:cs="Times New Roman"/>
          <w:i/>
          <w:color w:val="auto"/>
          <w:lang w:val="pt-BR"/>
        </w:rPr>
        <w:t xml:space="preserve"> 3º e 4º no art. 791-A da CLT pela Lei 13.467/17, responsabilizando-se a parte sucumbente, seja a autora ou a demandada, pelo pagamento dos honorários advocatícios, ainda que beneficiária da justiça gratuita, o que reflete a intenção do legislador de desestimular lides temerárias, conferindo tratamento isonômico aos litigantes. Tanto é que o § 5º do art. 791-A da CLT expressamente dispôs acerca do pagamento da verba honorária na reconvenção. Isso porque, apenas se tiver créditos judiciais a receber é que terá de arcar com os honorários se fizer jus à gratuidade da justiça, pois nesse caso já não poderá escudar-se em pretensa insuficiência econômica. 7. Percebe-se, portanto, que o art. 791-A, § 4º, da CLT não colide com o art. 5º, caput, XXXV, LIV e LV, da CF, ao revés, busca preservar a jurisdição em sua essência, como instrumento responsável e consciente de tutela de direitos elementares do ser humano trabalhador, indispensáveis à sua sobrevivência e à da família. 8. Ainda, convém ressaltar não ser verdadeira a assertiva de que a imposição de pagamento de honorários de advogado àquele que se declara pobre na forma da lei implica desvio de finalidade da norma, onerando os que necessitam de proteção legal, máxime porque no próprio § 4º do art. 791-A da CLT se visualiza a preocupação do legislador com o estado de hipossuficiência financeira da parte vencida, ao exigir o pagamento da verba honorária apenas no caso de existência de crédito em juízo, em favor do beneficiário da justiça gratuita, neste ou em outro processo, capaz de suportar a despesa que lhe está sendo imputada, situação, prima facie, apta a modificar a sua capacidade financeira, até então de miserabilidade, que justificava a concessão de gratuidade, prestigiando, de um lado, o processo responsável, e desestimulando, de outro, a litigância descompromissada. 9. Por todo o exposto, merece reforma o acórdão regional, a fim de estabelecer que os honorários advocatícios decorrentes da sucumbência da Autora, beneficiária da justiça gratuita, primeiramente sejam compensados dos créditos obtidos em juízo, ainda que em outro processo, e, tão somente na hipótese dos ganhos serem insuficientes ou inexistentes, incida a condição suspensiva de exigibilidade prevista no art. 791-A, § 4º, da CLT. </w:t>
      </w:r>
      <w:proofErr w:type="gramStart"/>
      <w:r w:rsidRPr="00A63855">
        <w:rPr>
          <w:rFonts w:ascii="Times New Roman" w:hAnsi="Times New Roman" w:cs="Times New Roman"/>
          <w:i/>
          <w:color w:val="auto"/>
          <w:lang w:val="pt-BR"/>
        </w:rPr>
        <w:t>Recurso de revista provido.”</w:t>
      </w:r>
      <w:proofErr w:type="gramEnd"/>
      <w:r w:rsidRPr="00A63855">
        <w:rPr>
          <w:rFonts w:ascii="Times New Roman" w:hAnsi="Times New Roman" w:cs="Times New Roman"/>
          <w:i/>
          <w:color w:val="auto"/>
          <w:lang w:val="pt-BR"/>
        </w:rPr>
        <w:t xml:space="preserve"> </w:t>
      </w:r>
      <w:r w:rsidRPr="00A63855">
        <w:rPr>
          <w:rFonts w:ascii="Times New Roman" w:hAnsi="Times New Roman" w:cs="Times New Roman"/>
          <w:color w:val="auto"/>
          <w:lang w:val="pt-BR"/>
        </w:rPr>
        <w:t>(</w:t>
      </w:r>
      <w:hyperlink r:id="rId14" w:history="1">
        <w:r w:rsidRPr="00A63855">
          <w:rPr>
            <w:rStyle w:val="Hyperlink"/>
            <w:rFonts w:ascii="Times New Roman" w:hAnsi="Times New Roman"/>
            <w:lang w:val="pt-BR"/>
          </w:rPr>
          <w:t>TST-RR-20556-23.2018.5.04.0271</w:t>
        </w:r>
      </w:hyperlink>
      <w:r w:rsidRPr="00A63855">
        <w:rPr>
          <w:rFonts w:ascii="Times New Roman" w:hAnsi="Times New Roman" w:cs="Times New Roman"/>
          <w:color w:val="auto"/>
          <w:lang w:val="pt-BR"/>
        </w:rPr>
        <w:t xml:space="preserve">, 4ª Turma, rel. Min. </w:t>
      </w:r>
      <w:r w:rsidRPr="00A63855">
        <w:rPr>
          <w:rFonts w:ascii="Times New Roman" w:hAnsi="Times New Roman" w:cs="Times New Roman"/>
          <w:bCs/>
          <w:color w:val="auto"/>
          <w:shd w:val="clear" w:color="auto" w:fill="FFFFFF"/>
          <w:lang w:val="pt-BR"/>
        </w:rPr>
        <w:t>Ives Gandra Martins Filho</w:t>
      </w:r>
      <w:r w:rsidRPr="00A63855">
        <w:rPr>
          <w:rFonts w:ascii="Times New Roman" w:hAnsi="Times New Roman" w:cs="Times New Roman"/>
          <w:color w:val="auto"/>
          <w:lang w:val="pt-BR"/>
        </w:rPr>
        <w:t>, julgado em 6/5/2020)</w:t>
      </w:r>
    </w:p>
    <w:p w:rsidR="00A63855" w:rsidRDefault="00A63855" w:rsidP="00A63855">
      <w:pPr>
        <w:pStyle w:val="SemEspaamento"/>
        <w:rPr>
          <w:sz w:val="20"/>
          <w:szCs w:val="20"/>
        </w:rPr>
      </w:pPr>
    </w:p>
    <w:p w:rsidR="00A63855" w:rsidRPr="00A63855" w:rsidRDefault="00A63855" w:rsidP="00A63855">
      <w:pPr>
        <w:pStyle w:val="Ementa"/>
        <w:ind w:left="0"/>
        <w:rPr>
          <w:rFonts w:ascii="Times New Roman" w:hAnsi="Times New Roman" w:cs="Times New Roman"/>
          <w:b/>
          <w:color w:val="auto"/>
          <w:lang w:val="pt-BR"/>
        </w:rPr>
      </w:pPr>
      <w:r w:rsidRPr="00A63855">
        <w:rPr>
          <w:rFonts w:ascii="Times New Roman" w:hAnsi="Times New Roman" w:cs="Times New Roman"/>
          <w:bCs/>
          <w:i/>
          <w:color w:val="auto"/>
          <w:lang w:val="pt-BR"/>
        </w:rPr>
        <w:t>“RECURSO DE REVISTA</w:t>
      </w:r>
      <w:r w:rsidRPr="00A63855">
        <w:rPr>
          <w:rFonts w:ascii="Times New Roman" w:hAnsi="Times New Roman" w:cs="Times New Roman"/>
          <w:i/>
          <w:color w:val="auto"/>
          <w:lang w:val="pt-BR"/>
        </w:rPr>
        <w:t xml:space="preserve">. ACÓRDÃO REGIONAL PUBLICADO NA VIGÊNCIA DA LEI Nº 13.015/2014.1. INDENIZAÇÃO POR DANO MORAL. PROVA. GRAVAÇÃO DE CONVERSA ENTRE A ADVOGADA DO AUTOR E A GERENTE DA EMPRESA. NÃO CONHECIMENTO. I. A Corte Regional decidiu ser lícita a prova referente à gravação de conversa entre a advogada do Autor e a gerente da empresa, ainda que efetuada sem a ciência da preposta. II. A Recorrente não impugna o fato de a advogada do Autor ser a representante legal deste. Em semelhante contexto, a Lei, em especial o art. 843 da CLT, possibilita que a empresa se faça representar por preposto. Portanto, foi na qualidade de representante legal do Autor que a empresa, mediante sua preposta, recebeu a advogada para debater o conflito, que a Recorrente narra existir anteriormente ao ajuizamento da ação. III. Não há óbice para aplicar ao caso o entendimento jurisprudencial no sentido de ser lícita a gravação de conversa por um dos interlocutores, ainda que sem a ciência do outro participante, registrando-se ser igualmente lícita a gravação de conversa telefônica feita por </w:t>
      </w:r>
      <w:r w:rsidRPr="00A63855">
        <w:rPr>
          <w:rFonts w:ascii="Times New Roman" w:hAnsi="Times New Roman" w:cs="Times New Roman"/>
          <w:i/>
          <w:color w:val="auto"/>
          <w:lang w:val="pt-BR"/>
        </w:rPr>
        <w:lastRenderedPageBreak/>
        <w:t xml:space="preserve">terceiro com a autorização de um dos interlocutores sem o conhecimento do outro, </w:t>
      </w:r>
      <w:r w:rsidRPr="00A63855">
        <w:rPr>
          <w:rFonts w:ascii="Times New Roman" w:hAnsi="Times New Roman" w:cs="Times New Roman"/>
          <w:i/>
          <w:color w:val="auto"/>
          <w:shd w:val="clear" w:color="auto" w:fill="FFFFFF"/>
          <w:lang w:val="pt-BR"/>
        </w:rPr>
        <w:t>quando ausente causa legal de sigilo ou de reserva da conversação</w:t>
      </w:r>
      <w:r w:rsidRPr="00A63855">
        <w:rPr>
          <w:rFonts w:ascii="Times New Roman" w:hAnsi="Times New Roman" w:cs="Times New Roman"/>
          <w:i/>
          <w:color w:val="auto"/>
          <w:lang w:val="pt-BR"/>
        </w:rPr>
        <w:t>. IV. Recurso de revista de que não se conhece.”</w:t>
      </w:r>
      <w:r w:rsidRPr="00A63855">
        <w:rPr>
          <w:b/>
          <w:color w:val="auto"/>
          <w:lang w:val="pt-BR"/>
        </w:rPr>
        <w:t xml:space="preserve"> </w:t>
      </w:r>
      <w:r w:rsidRPr="00A63855">
        <w:rPr>
          <w:rFonts w:ascii="Times New Roman" w:hAnsi="Times New Roman" w:cs="Times New Roman"/>
          <w:color w:val="auto"/>
          <w:lang w:val="pt-BR"/>
        </w:rPr>
        <w:t>(</w:t>
      </w:r>
      <w:hyperlink r:id="rId15" w:history="1">
        <w:r w:rsidRPr="00A63855">
          <w:rPr>
            <w:rStyle w:val="Hyperlink"/>
            <w:rFonts w:ascii="Times New Roman" w:hAnsi="Times New Roman"/>
            <w:lang w:val="pt-BR"/>
          </w:rPr>
          <w:t>TST-RR-281-72.2016.5.10.0104</w:t>
        </w:r>
      </w:hyperlink>
      <w:r w:rsidRPr="00A63855">
        <w:rPr>
          <w:rFonts w:ascii="Times New Roman" w:hAnsi="Times New Roman" w:cs="Times New Roman"/>
          <w:color w:val="auto"/>
          <w:lang w:val="pt-BR"/>
        </w:rPr>
        <w:t xml:space="preserve">, 4ª Turma, rel. Min. </w:t>
      </w:r>
      <w:r w:rsidRPr="00A63855">
        <w:rPr>
          <w:rFonts w:ascii="Times New Roman" w:hAnsi="Times New Roman" w:cs="Times New Roman"/>
          <w:bCs/>
          <w:color w:val="auto"/>
          <w:shd w:val="clear" w:color="auto" w:fill="FFFFFF"/>
          <w:lang w:val="pt-BR"/>
        </w:rPr>
        <w:t>Alexandre Luiz Ramos</w:t>
      </w:r>
      <w:r w:rsidRPr="00A63855">
        <w:rPr>
          <w:rFonts w:ascii="Times New Roman" w:hAnsi="Times New Roman" w:cs="Times New Roman"/>
          <w:color w:val="auto"/>
          <w:lang w:val="pt-BR"/>
        </w:rPr>
        <w:t>, julgado em 6/5/2020.</w:t>
      </w:r>
      <w:proofErr w:type="gramStart"/>
      <w:r w:rsidRPr="00A63855">
        <w:rPr>
          <w:rFonts w:ascii="Times New Roman" w:hAnsi="Times New Roman" w:cs="Times New Roman"/>
          <w:color w:val="auto"/>
          <w:lang w:val="pt-BR"/>
        </w:rPr>
        <w:t>)</w:t>
      </w:r>
      <w:proofErr w:type="gramEnd"/>
    </w:p>
    <w:p w:rsidR="00A63855" w:rsidRPr="00A63855" w:rsidRDefault="00A63855" w:rsidP="00A63855">
      <w:pPr>
        <w:pStyle w:val="Ementa"/>
        <w:ind w:left="0"/>
        <w:outlineLvl w:val="0"/>
        <w:rPr>
          <w:rFonts w:ascii="Times New Roman" w:hAnsi="Times New Roman" w:cs="Times New Roman"/>
          <w:color w:val="auto"/>
          <w:sz w:val="20"/>
          <w:szCs w:val="20"/>
          <w:lang w:val="pt-BR"/>
        </w:rPr>
      </w:pPr>
    </w:p>
    <w:p w:rsidR="00A63855" w:rsidRPr="00A63855" w:rsidRDefault="00A63855" w:rsidP="00A63855">
      <w:pPr>
        <w:pStyle w:val="Ementa"/>
        <w:ind w:left="0"/>
        <w:rPr>
          <w:rFonts w:ascii="Times New Roman" w:hAnsi="Times New Roman" w:cs="Times New Roman"/>
          <w:b/>
          <w:color w:val="auto"/>
          <w:lang w:val="pt-BR"/>
        </w:rPr>
      </w:pPr>
      <w:r w:rsidRPr="00A63855">
        <w:rPr>
          <w:rFonts w:ascii="Times New Roman" w:hAnsi="Times New Roman" w:cs="Times New Roman"/>
          <w:bCs/>
          <w:i/>
          <w:color w:val="auto"/>
          <w:lang w:val="pt-BR"/>
        </w:rPr>
        <w:t>“</w:t>
      </w:r>
      <w:r w:rsidRPr="00A63855">
        <w:rPr>
          <w:rFonts w:ascii="Times New Roman" w:hAnsi="Times New Roman" w:cs="Times New Roman"/>
          <w:bCs/>
          <w:color w:val="auto"/>
          <w:lang w:val="pt-BR"/>
        </w:rPr>
        <w:t>[...]</w:t>
      </w:r>
      <w:r w:rsidRPr="00A63855">
        <w:rPr>
          <w:rFonts w:ascii="Times New Roman" w:hAnsi="Times New Roman" w:cs="Times New Roman"/>
          <w:bCs/>
          <w:i/>
          <w:color w:val="auto"/>
          <w:lang w:val="pt-BR"/>
        </w:rPr>
        <w:t xml:space="preserve"> </w:t>
      </w:r>
      <w:proofErr w:type="gramStart"/>
      <w:r w:rsidRPr="00A63855">
        <w:rPr>
          <w:rFonts w:ascii="Times New Roman" w:hAnsi="Times New Roman" w:cs="Times New Roman"/>
          <w:bCs/>
          <w:i/>
          <w:color w:val="auto"/>
          <w:lang w:val="pt-BR"/>
        </w:rPr>
        <w:t>2</w:t>
      </w:r>
      <w:proofErr w:type="gramEnd"/>
      <w:r w:rsidRPr="00A63855">
        <w:rPr>
          <w:rFonts w:ascii="Times New Roman" w:hAnsi="Times New Roman" w:cs="Times New Roman"/>
          <w:bCs/>
          <w:i/>
          <w:color w:val="auto"/>
          <w:lang w:val="pt-BR"/>
        </w:rPr>
        <w:t xml:space="preserve">. EXCEÇÃO DE PRÉ-EXECUTIVIDADE. DECISÃO QUE REJEITA O INCIDENTE. RECORRIBILIDADE IMEDIATA. PROVIMENTO. </w:t>
      </w:r>
      <w:r w:rsidRPr="00A63855">
        <w:rPr>
          <w:rFonts w:ascii="Times New Roman" w:hAnsi="Times New Roman" w:cs="Times New Roman"/>
          <w:i/>
          <w:color w:val="auto"/>
          <w:lang w:val="pt-BR"/>
        </w:rPr>
        <w:t xml:space="preserve">No que diz respeito ao recurso cabível para impugnação da decisão em que se julga a exceção de </w:t>
      </w:r>
      <w:proofErr w:type="spellStart"/>
      <w:r w:rsidRPr="00A63855">
        <w:rPr>
          <w:rFonts w:ascii="Times New Roman" w:hAnsi="Times New Roman" w:cs="Times New Roman"/>
          <w:i/>
          <w:color w:val="auto"/>
          <w:lang w:val="pt-BR"/>
        </w:rPr>
        <w:t>pré</w:t>
      </w:r>
      <w:proofErr w:type="spellEnd"/>
      <w:r w:rsidRPr="00A63855">
        <w:rPr>
          <w:rFonts w:ascii="Times New Roman" w:hAnsi="Times New Roman" w:cs="Times New Roman"/>
          <w:i/>
          <w:color w:val="auto"/>
          <w:lang w:val="pt-BR"/>
        </w:rPr>
        <w:t xml:space="preserve">-executividade, a jurisprudência deste Tribunal Superior tem sido tranquila em admitir o agravo de petição, porém, apenas para as hipóteses em que o juiz acolhe o referido incidente. Isso porque, nesse caso, não haveria dúvida de que se trata de uma decisão terminativa. A controvérsia surge quando se discute qual o recurso viável para impugnar o ato do juiz que rejeita ou não conhece da exceção de </w:t>
      </w:r>
      <w:proofErr w:type="spellStart"/>
      <w:r w:rsidRPr="00A63855">
        <w:rPr>
          <w:rFonts w:ascii="Times New Roman" w:hAnsi="Times New Roman" w:cs="Times New Roman"/>
          <w:i/>
          <w:color w:val="auto"/>
          <w:lang w:val="pt-BR"/>
        </w:rPr>
        <w:t>pré</w:t>
      </w:r>
      <w:proofErr w:type="spellEnd"/>
      <w:r w:rsidRPr="00A63855">
        <w:rPr>
          <w:rFonts w:ascii="Times New Roman" w:hAnsi="Times New Roman" w:cs="Times New Roman"/>
          <w:i/>
          <w:color w:val="auto"/>
          <w:lang w:val="pt-BR"/>
        </w:rPr>
        <w:t xml:space="preserve">-executividade. Para a circunstância, tem sido adotado entendimento de que não seria possível a interposição imediata do agravo de petição, por se tratar de decisão interlocutória, cabendo à parte impugnar a matéria no apelo que será interposto contra a decisão definitiva, ou seja, contra a decisão que examinou os embargos à execução. O referido posicionamento tem como base o artigo 893, § 1º, da CLT, segundo o qual as decisões interlocutórias somente serão examinadas quando do recurso contra a decisão definitiva. Do mencionado preceito extrai-se o princípio da irrecorribilidade imediata das decisões interlocutórias. A regra contida no dispositivo em epígrafe não é absoluta, uma vez que a Súmula nº 214 enumera algumas circunstâncias nas quais não incidirá o princípio da irrecorribilidade imediata. Diante desse cenário, questiona-se em que momento a parte poderia provocar a manifestação do Tribunal Regional competente sobre os termos da decisão que rejeitou ou não conheceu a exceção de </w:t>
      </w:r>
      <w:proofErr w:type="spellStart"/>
      <w:r w:rsidRPr="00A63855">
        <w:rPr>
          <w:rFonts w:ascii="Times New Roman" w:hAnsi="Times New Roman" w:cs="Times New Roman"/>
          <w:i/>
          <w:color w:val="auto"/>
          <w:lang w:val="pt-BR"/>
        </w:rPr>
        <w:t>pré</w:t>
      </w:r>
      <w:proofErr w:type="spellEnd"/>
      <w:r w:rsidRPr="00A63855">
        <w:rPr>
          <w:rFonts w:ascii="Times New Roman" w:hAnsi="Times New Roman" w:cs="Times New Roman"/>
          <w:i/>
          <w:color w:val="auto"/>
          <w:lang w:val="pt-BR"/>
        </w:rPr>
        <w:t xml:space="preserve">-executividade. Segundo a jurisprudência desta Corte Superior, rejeitada a exceção de </w:t>
      </w:r>
      <w:proofErr w:type="spellStart"/>
      <w:r w:rsidRPr="00A63855">
        <w:rPr>
          <w:rFonts w:ascii="Times New Roman" w:hAnsi="Times New Roman" w:cs="Times New Roman"/>
          <w:i/>
          <w:color w:val="auto"/>
          <w:lang w:val="pt-BR"/>
        </w:rPr>
        <w:t>pré</w:t>
      </w:r>
      <w:proofErr w:type="spellEnd"/>
      <w:r w:rsidRPr="00A63855">
        <w:rPr>
          <w:rFonts w:ascii="Times New Roman" w:hAnsi="Times New Roman" w:cs="Times New Roman"/>
          <w:i/>
          <w:color w:val="auto"/>
          <w:lang w:val="pt-BR"/>
        </w:rPr>
        <w:t xml:space="preserve">-executiva, a parte poderia se valer dos embargos à execução, com a garantia do juízo, onde discutiria a questão trazida no incidente não acolhido e, somente depois de proferida essa sentença definitiva, poderia interpor agravo de petição. Sucede que, tendo a parte se valido da exceção de </w:t>
      </w:r>
      <w:proofErr w:type="spellStart"/>
      <w:r w:rsidRPr="00A63855">
        <w:rPr>
          <w:rFonts w:ascii="Times New Roman" w:hAnsi="Times New Roman" w:cs="Times New Roman"/>
          <w:i/>
          <w:color w:val="auto"/>
          <w:lang w:val="pt-BR"/>
        </w:rPr>
        <w:t>pré</w:t>
      </w:r>
      <w:proofErr w:type="spellEnd"/>
      <w:r w:rsidRPr="00A63855">
        <w:rPr>
          <w:rFonts w:ascii="Times New Roman" w:hAnsi="Times New Roman" w:cs="Times New Roman"/>
          <w:i/>
          <w:color w:val="auto"/>
          <w:lang w:val="pt-BR"/>
        </w:rPr>
        <w:t xml:space="preserve">-executividade, como poderia, em momento posterior, se </w:t>
      </w:r>
      <w:proofErr w:type="gramStart"/>
      <w:r w:rsidRPr="00A63855">
        <w:rPr>
          <w:rFonts w:ascii="Times New Roman" w:hAnsi="Times New Roman" w:cs="Times New Roman"/>
          <w:i/>
          <w:color w:val="auto"/>
          <w:lang w:val="pt-BR"/>
        </w:rPr>
        <w:t>utilizar de</w:t>
      </w:r>
      <w:proofErr w:type="gramEnd"/>
      <w:r w:rsidRPr="00A63855">
        <w:rPr>
          <w:rFonts w:ascii="Times New Roman" w:hAnsi="Times New Roman" w:cs="Times New Roman"/>
          <w:i/>
          <w:color w:val="auto"/>
          <w:lang w:val="pt-BR"/>
        </w:rPr>
        <w:t xml:space="preserve"> outro meio processual para impugnar a questão levantada anteriormente no incidente, se já ultrapassado o prazo para apresentar os embargos à execução? Certamente haveria preclusão temporal, ante o transcurso do prazo para a apresentação dos embargos à execução. Além disso, com o julgamento do citado incidente, haveria preclusão pro </w:t>
      </w:r>
      <w:proofErr w:type="spellStart"/>
      <w:r w:rsidRPr="00A63855">
        <w:rPr>
          <w:rFonts w:ascii="Times New Roman" w:hAnsi="Times New Roman" w:cs="Times New Roman"/>
          <w:i/>
          <w:color w:val="auto"/>
          <w:lang w:val="pt-BR"/>
        </w:rPr>
        <w:t>judicato</w:t>
      </w:r>
      <w:proofErr w:type="spellEnd"/>
      <w:r w:rsidRPr="00A63855">
        <w:rPr>
          <w:rFonts w:ascii="Times New Roman" w:hAnsi="Times New Roman" w:cs="Times New Roman"/>
          <w:i/>
          <w:color w:val="auto"/>
          <w:lang w:val="pt-BR"/>
        </w:rPr>
        <w:t xml:space="preserve"> da matéria nela deduzida, de modo que não poderia ser renovada em sede de embargos à execução. Frise-se que na Justiça Comum é pacífico o entendimento de que ocorre a preclusão da análise da matéria em embargos à execução, quando previamente examinada em sede de exceção de </w:t>
      </w:r>
      <w:proofErr w:type="spellStart"/>
      <w:r w:rsidRPr="00A63855">
        <w:rPr>
          <w:rFonts w:ascii="Times New Roman" w:hAnsi="Times New Roman" w:cs="Times New Roman"/>
          <w:i/>
          <w:color w:val="auto"/>
          <w:lang w:val="pt-BR"/>
        </w:rPr>
        <w:t>pré</w:t>
      </w:r>
      <w:proofErr w:type="spellEnd"/>
      <w:r w:rsidRPr="00A63855">
        <w:rPr>
          <w:rFonts w:ascii="Times New Roman" w:hAnsi="Times New Roman" w:cs="Times New Roman"/>
          <w:i/>
          <w:color w:val="auto"/>
          <w:lang w:val="pt-BR"/>
        </w:rPr>
        <w:t xml:space="preserve">-executividade. </w:t>
      </w:r>
      <w:r w:rsidRPr="00A63855">
        <w:rPr>
          <w:rFonts w:ascii="Times New Roman" w:hAnsi="Times New Roman" w:cs="Times New Roman"/>
          <w:i/>
          <w:color w:val="auto"/>
          <w:u w:val="single"/>
          <w:lang w:val="pt-BR"/>
        </w:rPr>
        <w:t>Precedentes do STJ</w:t>
      </w:r>
      <w:r w:rsidRPr="00A63855">
        <w:rPr>
          <w:rFonts w:ascii="Times New Roman" w:hAnsi="Times New Roman" w:cs="Times New Roman"/>
          <w:i/>
          <w:color w:val="auto"/>
          <w:lang w:val="pt-BR"/>
        </w:rPr>
        <w:t xml:space="preserve">. Desse modo, a aplicação do princípio da irrecorribilidade imediata das decisões interlocutórias à hipótese configura-se em verdadeiro princípio da irrecorribilidade, tendo em vista que não será permitida a análise da matéria pelos Tribunais em momento posterior. Não se pode olvidar que, nos termos do artigo 897, “a”, da CLT, caberá agravo de petição contra as decisões do Juiz ou Presidente na fase de execução. Porém, tal preceito não faz nenhuma distinção quanto à sua natureza, seja interlocutória ou terminativa do feito. Afastado o óbice da irrecorribilidade imediata, caberia saber se para a interposição do agravo de petição contra a decisão que não conheceu ou rejeitou a exceção de </w:t>
      </w:r>
      <w:proofErr w:type="spellStart"/>
      <w:r w:rsidRPr="00A63855">
        <w:rPr>
          <w:rFonts w:ascii="Times New Roman" w:hAnsi="Times New Roman" w:cs="Times New Roman"/>
          <w:i/>
          <w:color w:val="auto"/>
          <w:lang w:val="pt-BR"/>
        </w:rPr>
        <w:t>pré</w:t>
      </w:r>
      <w:proofErr w:type="spellEnd"/>
      <w:r w:rsidRPr="00A63855">
        <w:rPr>
          <w:rFonts w:ascii="Times New Roman" w:hAnsi="Times New Roman" w:cs="Times New Roman"/>
          <w:i/>
          <w:color w:val="auto"/>
          <w:lang w:val="pt-BR"/>
        </w:rPr>
        <w:t xml:space="preserve">-executividade seria exigível a garantia do juízo. Pois bem, como já realçado, a exceção de </w:t>
      </w:r>
      <w:proofErr w:type="spellStart"/>
      <w:r w:rsidRPr="00A63855">
        <w:rPr>
          <w:rFonts w:ascii="Times New Roman" w:hAnsi="Times New Roman" w:cs="Times New Roman"/>
          <w:i/>
          <w:color w:val="auto"/>
          <w:lang w:val="pt-BR"/>
        </w:rPr>
        <w:t>pré</w:t>
      </w:r>
      <w:proofErr w:type="spellEnd"/>
      <w:r w:rsidRPr="00A63855">
        <w:rPr>
          <w:rFonts w:ascii="Times New Roman" w:hAnsi="Times New Roman" w:cs="Times New Roman"/>
          <w:i/>
          <w:color w:val="auto"/>
          <w:lang w:val="pt-BR"/>
        </w:rPr>
        <w:t xml:space="preserve">-executividade trata-se de uma construção doutrinária e, portanto, sem previsão expressa em lei, inexistindo para o manejo da referida demanda, diversamente do que ocorre com os embargos à execução, a necessidade do cumprimento da garantia do juízo. E se para o exame do mencionado incidente processual não há necessidade da garantia em comento, não se poderia estabelecê-la no momento em que a parte submeterá a decisão que rejeitou ou não conheceu da sua exceção à instância de segundo grau. A prevalecer o mencionado requisito, se estaria, por via transversa, obstaculizando o direito da parte ao contraditório e à ampla defesa, bem como ao devido processo legal, impedindo que a questão objeto da exceção de </w:t>
      </w:r>
      <w:proofErr w:type="spellStart"/>
      <w:r w:rsidRPr="00A63855">
        <w:rPr>
          <w:rFonts w:ascii="Times New Roman" w:hAnsi="Times New Roman" w:cs="Times New Roman"/>
          <w:i/>
          <w:color w:val="auto"/>
          <w:lang w:val="pt-BR"/>
        </w:rPr>
        <w:t>pré</w:t>
      </w:r>
      <w:proofErr w:type="spellEnd"/>
      <w:r w:rsidRPr="00A63855">
        <w:rPr>
          <w:rFonts w:ascii="Times New Roman" w:hAnsi="Times New Roman" w:cs="Times New Roman"/>
          <w:i/>
          <w:color w:val="auto"/>
          <w:lang w:val="pt-BR"/>
        </w:rPr>
        <w:t xml:space="preserve">-executividade seja analisada pelo Colegiado Regional e, por conseguinte, por essa instância extraordinária, o que iria de encontro à própria finalidade do instituto </w:t>
      </w:r>
      <w:r w:rsidRPr="00A63855">
        <w:rPr>
          <w:rFonts w:ascii="Times New Roman" w:hAnsi="Times New Roman" w:cs="Times New Roman"/>
          <w:i/>
          <w:color w:val="auto"/>
          <w:lang w:val="pt-BR"/>
        </w:rPr>
        <w:lastRenderedPageBreak/>
        <w:t xml:space="preserve">processual. Ademais, se fosse cabível a garantia do juízo, o que não é o caso, ela deveria ser exigida desde o tempo do manejo da exceção de </w:t>
      </w:r>
      <w:proofErr w:type="spellStart"/>
      <w:r w:rsidRPr="00A63855">
        <w:rPr>
          <w:rFonts w:ascii="Times New Roman" w:hAnsi="Times New Roman" w:cs="Times New Roman"/>
          <w:i/>
          <w:color w:val="auto"/>
          <w:lang w:val="pt-BR"/>
        </w:rPr>
        <w:t>pré</w:t>
      </w:r>
      <w:proofErr w:type="spellEnd"/>
      <w:r w:rsidRPr="00A63855">
        <w:rPr>
          <w:rFonts w:ascii="Times New Roman" w:hAnsi="Times New Roman" w:cs="Times New Roman"/>
          <w:i/>
          <w:color w:val="auto"/>
          <w:lang w:val="pt-BR"/>
        </w:rPr>
        <w:t xml:space="preserve">-executividade, não se justificando o seu cumprimento apenas quando da interposição do agravo de petição. Assim, tem-se como passível de reforma a decisão que impõe para o conhecimento do agravo de petição a garantia do juízo, na circunstância em que não acolhida </w:t>
      </w:r>
      <w:proofErr w:type="gramStart"/>
      <w:r w:rsidRPr="00A63855">
        <w:rPr>
          <w:rFonts w:ascii="Times New Roman" w:hAnsi="Times New Roman" w:cs="Times New Roman"/>
          <w:i/>
          <w:color w:val="auto"/>
          <w:lang w:val="pt-BR"/>
        </w:rPr>
        <w:t>a</w:t>
      </w:r>
      <w:proofErr w:type="gramEnd"/>
      <w:r w:rsidRPr="00A63855">
        <w:rPr>
          <w:rFonts w:ascii="Times New Roman" w:hAnsi="Times New Roman" w:cs="Times New Roman"/>
          <w:i/>
          <w:color w:val="auto"/>
          <w:lang w:val="pt-BR"/>
        </w:rPr>
        <w:t xml:space="preserve"> exceção de </w:t>
      </w:r>
      <w:proofErr w:type="spellStart"/>
      <w:r w:rsidRPr="00A63855">
        <w:rPr>
          <w:rFonts w:ascii="Times New Roman" w:hAnsi="Times New Roman" w:cs="Times New Roman"/>
          <w:i/>
          <w:color w:val="auto"/>
          <w:lang w:val="pt-BR"/>
        </w:rPr>
        <w:t>pré</w:t>
      </w:r>
      <w:proofErr w:type="spellEnd"/>
      <w:r w:rsidRPr="00A63855">
        <w:rPr>
          <w:rFonts w:ascii="Times New Roman" w:hAnsi="Times New Roman" w:cs="Times New Roman"/>
          <w:i/>
          <w:color w:val="auto"/>
          <w:lang w:val="pt-BR"/>
        </w:rPr>
        <w:t xml:space="preserve">-executividade. </w:t>
      </w:r>
      <w:r w:rsidRPr="00A63855">
        <w:rPr>
          <w:rFonts w:ascii="Times New Roman" w:hAnsi="Times New Roman" w:cs="Times New Roman"/>
          <w:i/>
          <w:color w:val="auto"/>
          <w:u w:val="single"/>
          <w:lang w:val="pt-BR"/>
        </w:rPr>
        <w:t>Na hipótese</w:t>
      </w:r>
      <w:r w:rsidRPr="00A63855">
        <w:rPr>
          <w:rFonts w:ascii="Times New Roman" w:hAnsi="Times New Roman" w:cs="Times New Roman"/>
          <w:i/>
          <w:color w:val="auto"/>
          <w:lang w:val="pt-BR"/>
        </w:rPr>
        <w:t xml:space="preserve">, o Tribunal Regional não conheceu do agravo de petição da executada, sob o fundamento de que, sendo a decisão que não acolheu a exceção de </w:t>
      </w:r>
      <w:proofErr w:type="spellStart"/>
      <w:r w:rsidRPr="00A63855">
        <w:rPr>
          <w:rFonts w:ascii="Times New Roman" w:hAnsi="Times New Roman" w:cs="Times New Roman"/>
          <w:i/>
          <w:color w:val="auto"/>
          <w:lang w:val="pt-BR"/>
        </w:rPr>
        <w:t>pré</w:t>
      </w:r>
      <w:proofErr w:type="spellEnd"/>
      <w:r w:rsidRPr="00A63855">
        <w:rPr>
          <w:rFonts w:ascii="Times New Roman" w:hAnsi="Times New Roman" w:cs="Times New Roman"/>
          <w:i/>
          <w:color w:val="auto"/>
          <w:lang w:val="pt-BR"/>
        </w:rPr>
        <w:t xml:space="preserve">-executividade de índole interlocutória, não caberia recurso imediato. Também por entender que para a interposição do agravo de petição seria necessária </w:t>
      </w:r>
      <w:proofErr w:type="gramStart"/>
      <w:r w:rsidRPr="00A63855">
        <w:rPr>
          <w:rFonts w:ascii="Times New Roman" w:hAnsi="Times New Roman" w:cs="Times New Roman"/>
          <w:i/>
          <w:color w:val="auto"/>
          <w:lang w:val="pt-BR"/>
        </w:rPr>
        <w:t>a</w:t>
      </w:r>
      <w:proofErr w:type="gramEnd"/>
      <w:r w:rsidRPr="00A63855">
        <w:rPr>
          <w:rFonts w:ascii="Times New Roman" w:hAnsi="Times New Roman" w:cs="Times New Roman"/>
          <w:i/>
          <w:color w:val="auto"/>
          <w:lang w:val="pt-BR"/>
        </w:rPr>
        <w:t xml:space="preserve"> garantia do juízo. Ao assim decidir, acabou por afrontar os princípios do contraditório, da ampla defesa e do devido processo legal, em violação do artigo 5º, LIV e LV, da Constituição Federal. </w:t>
      </w:r>
      <w:proofErr w:type="gramStart"/>
      <w:r w:rsidRPr="00A63855">
        <w:rPr>
          <w:rFonts w:ascii="Times New Roman" w:hAnsi="Times New Roman" w:cs="Times New Roman"/>
          <w:i/>
          <w:color w:val="auto"/>
          <w:lang w:val="pt-BR"/>
        </w:rPr>
        <w:t>Recurso de revista de que se conhece e a que se dá provimento.”</w:t>
      </w:r>
      <w:proofErr w:type="gramEnd"/>
      <w:r w:rsidRPr="00A63855">
        <w:rPr>
          <w:rFonts w:ascii="Times New Roman" w:hAnsi="Times New Roman" w:cs="Times New Roman"/>
          <w:b/>
          <w:color w:val="auto"/>
          <w:lang w:val="pt-BR"/>
        </w:rPr>
        <w:t xml:space="preserve"> </w:t>
      </w:r>
      <w:r w:rsidRPr="00A63855">
        <w:rPr>
          <w:rFonts w:ascii="Times New Roman" w:hAnsi="Times New Roman" w:cs="Times New Roman"/>
          <w:color w:val="auto"/>
          <w:lang w:val="pt-BR"/>
        </w:rPr>
        <w:t>(</w:t>
      </w:r>
      <w:hyperlink r:id="rId16" w:history="1">
        <w:r w:rsidRPr="00A63855">
          <w:rPr>
            <w:rStyle w:val="Hyperlink"/>
            <w:rFonts w:ascii="Times New Roman" w:hAnsi="Times New Roman"/>
            <w:lang w:val="pt-BR"/>
          </w:rPr>
          <w:t>TST-ARR-19700-68.1986.5.02.0002</w:t>
        </w:r>
      </w:hyperlink>
      <w:r w:rsidRPr="00A63855">
        <w:rPr>
          <w:rFonts w:ascii="Times New Roman" w:hAnsi="Times New Roman" w:cs="Times New Roman"/>
          <w:bCs/>
          <w:color w:val="auto"/>
          <w:lang w:val="pt-BR"/>
        </w:rPr>
        <w:t>, 4ª Turma, rel. Min. Guilherme Augusto Caputo Bastos, julgado em 13/5/2020.)</w:t>
      </w:r>
      <w:r w:rsidRPr="00A63855">
        <w:rPr>
          <w:rFonts w:ascii="Times New Roman" w:hAnsi="Times New Roman" w:cs="Times New Roman"/>
          <w:b/>
          <w:bCs/>
          <w:color w:val="auto"/>
          <w:lang w:val="pt-BR"/>
        </w:rPr>
        <w:t xml:space="preserve">  </w:t>
      </w:r>
    </w:p>
    <w:p w:rsidR="00A63855" w:rsidRDefault="00A63855" w:rsidP="00A63855">
      <w:pPr>
        <w:pStyle w:val="SemEspaamento"/>
        <w:rPr>
          <w:sz w:val="20"/>
          <w:szCs w:val="20"/>
        </w:rPr>
      </w:pPr>
    </w:p>
    <w:p w:rsidR="00A63855" w:rsidRDefault="00A63855" w:rsidP="00A63855">
      <w:pPr>
        <w:jc w:val="both"/>
        <w:outlineLvl w:val="0"/>
        <w:rPr>
          <w:rFonts w:eastAsiaTheme="minorEastAsia"/>
          <w:b/>
          <w:i/>
          <w:color w:val="000000"/>
          <w:sz w:val="24"/>
          <w:szCs w:val="24"/>
        </w:rPr>
      </w:pPr>
      <w:r w:rsidRPr="00A63855">
        <w:rPr>
          <w:i/>
          <w:sz w:val="24"/>
          <w:szCs w:val="24"/>
        </w:rPr>
        <w:t>“</w:t>
      </w:r>
      <w:r w:rsidRPr="00A63855">
        <w:rPr>
          <w:sz w:val="24"/>
          <w:szCs w:val="24"/>
        </w:rPr>
        <w:t xml:space="preserve">[...] </w:t>
      </w:r>
      <w:r w:rsidRPr="00A63855">
        <w:rPr>
          <w:i/>
          <w:sz w:val="24"/>
          <w:szCs w:val="24"/>
        </w:rPr>
        <w:t>RECURSO DE REVISTA. DANOS MORAIS. VALOR ARBITRADO. REDUÇÃO. Conforme narrado no acórdão regional, o autor sofreu acidente de trabalho que lhe renderam</w:t>
      </w:r>
      <w:r>
        <w:rPr>
          <w:i/>
          <w:sz w:val="24"/>
          <w:szCs w:val="24"/>
        </w:rPr>
        <w:t xml:space="preserve"> sequelas físicas desde amputações (antebraço, dedos dos dois pés e 5º metatarso), cicatrizes </w:t>
      </w:r>
      <w:proofErr w:type="gramStart"/>
      <w:r>
        <w:rPr>
          <w:i/>
          <w:sz w:val="24"/>
          <w:szCs w:val="24"/>
        </w:rPr>
        <w:t>diversas</w:t>
      </w:r>
      <w:proofErr w:type="gramEnd"/>
      <w:r>
        <w:rPr>
          <w:i/>
          <w:sz w:val="24"/>
          <w:szCs w:val="24"/>
        </w:rPr>
        <w:t>, bem como, incapacidade laboral permanente para exercer a função de motorista. A respeito do valor arbitrado a título de danos morais ao autor, o Regional, em razão de haver considerado haver culpa concorrente do reclamante para o infortúnio, decidiu reduzir o montante da condenação consignado na r. sentença, de R$ 800.000,00 (oitocentos mil reais) para R$ 400.000,00 (quatrocentos mil reais). O Regional, contudo, ao fixar o valor da indenização por danos morais decorrentes de acidente de trabalho em R$ 400.000,00 (quatrocentos mil reais), o fez em desconformidade aos princípios da razoabilidade e da proporcionalidade, a gravidade da lesão e o caráter pedagógico da condenação. Assim sendo, incorreu a decisão regional em ofensa ao art. 944 do CC. Recurso de revista conhecido e provido.”</w:t>
      </w:r>
      <w:r>
        <w:rPr>
          <w:sz w:val="24"/>
          <w:szCs w:val="24"/>
        </w:rPr>
        <w:t xml:space="preserve"> (</w:t>
      </w:r>
      <w:hyperlink r:id="rId17" w:history="1">
        <w:r>
          <w:rPr>
            <w:rStyle w:val="Hyperlink"/>
            <w:sz w:val="24"/>
            <w:szCs w:val="24"/>
          </w:rPr>
          <w:t>TST-ARR-716-26.2015.5.10.0801</w:t>
        </w:r>
      </w:hyperlink>
      <w:r>
        <w:rPr>
          <w:sz w:val="24"/>
          <w:szCs w:val="24"/>
        </w:rPr>
        <w:t>, 5ª Turma, rel. Min. Breno Medeiros, julgado em 6/5/2020.)</w:t>
      </w:r>
    </w:p>
    <w:p w:rsidR="00A63855" w:rsidRDefault="00A63855" w:rsidP="00A63855">
      <w:pPr>
        <w:pStyle w:val="SemEspaamento"/>
        <w:rPr>
          <w:sz w:val="20"/>
          <w:szCs w:val="20"/>
        </w:rPr>
      </w:pPr>
    </w:p>
    <w:p w:rsidR="00A63855" w:rsidRDefault="00A63855" w:rsidP="00A63855">
      <w:pPr>
        <w:jc w:val="both"/>
        <w:outlineLvl w:val="0"/>
        <w:rPr>
          <w:sz w:val="24"/>
          <w:szCs w:val="24"/>
        </w:rPr>
      </w:pPr>
      <w:r>
        <w:rPr>
          <w:i/>
          <w:sz w:val="24"/>
          <w:szCs w:val="24"/>
        </w:rPr>
        <w:t>“</w:t>
      </w:r>
      <w:r w:rsidRPr="00A63855">
        <w:rPr>
          <w:i/>
          <w:sz w:val="24"/>
          <w:szCs w:val="24"/>
        </w:rPr>
        <w:t xml:space="preserve">RECURSO DE REVISTA INTERPOSTO NA VIGÊNCIA DA LEI Nº 13.467/2017. CUIDADORA DE IDOSO. CONCEITO DE EMPREGADOR PREVISTO NA LEI COMPLEMENTAR Nº 150/2015. TRANSCENDÊNCIA JURÍDICA. CONFIGURAÇÃO. </w:t>
      </w:r>
      <w:proofErr w:type="gramStart"/>
      <w:r>
        <w:rPr>
          <w:i/>
          <w:sz w:val="24"/>
          <w:szCs w:val="24"/>
        </w:rPr>
        <w:t>1</w:t>
      </w:r>
      <w:proofErr w:type="gramEnd"/>
      <w:r>
        <w:rPr>
          <w:i/>
          <w:sz w:val="24"/>
          <w:szCs w:val="24"/>
        </w:rPr>
        <w:t xml:space="preserve">. De acordo com o artigo 896-A da CLT, com redação conferida pela Lei nº 13.467/2017, no recurso de revista, o Tribunal Superior do Trabalho examinará, de forma prévia, se a causa oferece transcendência com relação aos reflexos gerais de natureza econômica, política, social ou jurídica. 2. Na esteira do inciso IV do § 1º do referido dispositivo, por sua vez, constitui indicador de transcendência jurídica a existência de questão nova em torno da interpretação da legislação trabalhista. 3. Discute-se, no caso em análise, a responsabilidade solidária do filho da idosa que admitiu a parte reclamante, na qualidade de administrador dos bens de sua genitora, de acordo com o artigo 1º da Lei Complementar nº 150/2015. 4. Considerando que o número de precedentes no âmbito do Tribunal Superior do Trabalho sobre a matéria é reduzido, ressaltando-se, ainda, que nos referidos casos, os recursos foram dirimidos sob a ótica de aspectos processuais que limitam o conhecimento do recurso de revista, apelo de natureza extraordinária, conclui-se pela configuração da transcendência jurídica. 5. Anota-se, ainda, a existência de aresto divergente, autorizando o conhecimento do recurso de revista de acordo com a alínea “a” do artigo 896 Consolidado. 6. Dispõe o artigo 1º da Lei Complementar nº 150/2015, que, “ao empregado doméstico, assim considerado aquele que presta serviços de forma contínua, subordinada, onerosa e pessoal e de finalidade não lucrativa à pessoa ou à família, no âmbito residencial destas, por mais de 2 (dois) dias por semana, aplica-se o disposto nesta Lei” (destaquei). 7. A moldura fática do acórdão regional, infensa de alteração em sede de recurso de revista, é no sentido de que o filho da idosa que admitiu a reclamante, além de não residir na mesma residência de sua mãe, em que </w:t>
      </w:r>
      <w:proofErr w:type="gramStart"/>
      <w:r>
        <w:rPr>
          <w:i/>
          <w:sz w:val="24"/>
          <w:szCs w:val="24"/>
        </w:rPr>
        <w:t>ocorria</w:t>
      </w:r>
      <w:proofErr w:type="gramEnd"/>
      <w:r>
        <w:rPr>
          <w:i/>
          <w:sz w:val="24"/>
          <w:szCs w:val="24"/>
        </w:rPr>
        <w:t xml:space="preserve"> a prestação dos serviços, era mero administrador dos bens de sua genitora, restando rechaçada a tese lançada pelo Juízo de origem que o primeiro reclamado era o chefe da família. 8. </w:t>
      </w:r>
      <w:r>
        <w:rPr>
          <w:i/>
          <w:sz w:val="24"/>
          <w:szCs w:val="24"/>
        </w:rPr>
        <w:lastRenderedPageBreak/>
        <w:t xml:space="preserve">Considerando que o filho da contratante não residia com a mãe e era apenas o administrator do patrimônio da genitora, deve ser mantida a conclusão do Tribunal Regional de inexistência de responsabilidade solidária deste, na medida em que não se extrai da exegese do artigo 1° da Lei Complementar nº 150/2015 a configuração de empregador doméstico pelo interesse e dever de assistência dos filhos aos pais. </w:t>
      </w:r>
      <w:proofErr w:type="gramStart"/>
      <w:r>
        <w:rPr>
          <w:i/>
          <w:sz w:val="24"/>
          <w:szCs w:val="24"/>
        </w:rPr>
        <w:t>Recurso de revista conhecido e não provido.”</w:t>
      </w:r>
      <w:proofErr w:type="gramEnd"/>
      <w:r>
        <w:rPr>
          <w:i/>
          <w:sz w:val="24"/>
          <w:szCs w:val="24"/>
        </w:rPr>
        <w:t xml:space="preserve"> </w:t>
      </w:r>
      <w:r>
        <w:rPr>
          <w:sz w:val="24"/>
          <w:szCs w:val="24"/>
        </w:rPr>
        <w:t>(</w:t>
      </w:r>
      <w:hyperlink r:id="rId18" w:history="1">
        <w:r>
          <w:rPr>
            <w:rStyle w:val="Hyperlink"/>
            <w:sz w:val="24"/>
            <w:szCs w:val="24"/>
          </w:rPr>
          <w:t>TST-RR-11036-97.2018.5.03.0099</w:t>
        </w:r>
      </w:hyperlink>
      <w:r>
        <w:rPr>
          <w:sz w:val="24"/>
          <w:szCs w:val="24"/>
        </w:rPr>
        <w:t xml:space="preserve">, 5ª Turma, rel. Des. </w:t>
      </w:r>
      <w:proofErr w:type="spellStart"/>
      <w:r>
        <w:rPr>
          <w:sz w:val="24"/>
          <w:szCs w:val="24"/>
        </w:rPr>
        <w:t>Conv</w:t>
      </w:r>
      <w:proofErr w:type="spellEnd"/>
      <w:r>
        <w:rPr>
          <w:sz w:val="24"/>
          <w:szCs w:val="24"/>
        </w:rPr>
        <w:t xml:space="preserve">. João Pedro </w:t>
      </w:r>
      <w:proofErr w:type="spellStart"/>
      <w:r>
        <w:rPr>
          <w:sz w:val="24"/>
          <w:szCs w:val="24"/>
        </w:rPr>
        <w:t>Silvestrin</w:t>
      </w:r>
      <w:proofErr w:type="spellEnd"/>
      <w:r>
        <w:rPr>
          <w:sz w:val="24"/>
          <w:szCs w:val="24"/>
        </w:rPr>
        <w:t>, julgado em 6/5/2020.)</w:t>
      </w:r>
    </w:p>
    <w:p w:rsidR="00543122" w:rsidRDefault="00543122" w:rsidP="00543122">
      <w:pPr>
        <w:jc w:val="both"/>
        <w:rPr>
          <w:rFonts w:eastAsiaTheme="minorHAnsi"/>
          <w:color w:val="000000"/>
          <w:sz w:val="24"/>
          <w:szCs w:val="24"/>
          <w:lang w:eastAsia="en-US"/>
        </w:rPr>
      </w:pPr>
    </w:p>
    <w:p w:rsidR="00543122" w:rsidRDefault="00543122" w:rsidP="00543122">
      <w:pPr>
        <w:jc w:val="both"/>
        <w:outlineLvl w:val="0"/>
        <w:rPr>
          <w:rFonts w:eastAsiaTheme="minorEastAsia"/>
          <w:b/>
          <w:i/>
          <w:color w:val="000000"/>
          <w:sz w:val="24"/>
          <w:szCs w:val="24"/>
        </w:rPr>
      </w:pPr>
    </w:p>
    <w:p w:rsidR="00543122" w:rsidRDefault="00543122" w:rsidP="00237380">
      <w:pPr>
        <w:jc w:val="both"/>
        <w:rPr>
          <w:i/>
          <w:sz w:val="24"/>
          <w:szCs w:val="24"/>
        </w:rPr>
      </w:pPr>
      <w:bookmarkStart w:id="2" w:name="_GoBack"/>
      <w:bookmarkEnd w:id="2"/>
    </w:p>
    <w:bookmarkEnd w:id="0"/>
    <w:bookmarkEnd w:id="1"/>
    <w:p w:rsidR="00CA4AE6" w:rsidRPr="004B3120" w:rsidRDefault="00CA4AE6" w:rsidP="00C6738C">
      <w:pPr>
        <w:rPr>
          <w:sz w:val="10"/>
          <w:szCs w:val="10"/>
        </w:rPr>
      </w:pPr>
    </w:p>
    <w:p w:rsidR="00CA4AE6" w:rsidRPr="004B3120" w:rsidRDefault="00CA4AE6" w:rsidP="00C6738C">
      <w:pPr>
        <w:rPr>
          <w:sz w:val="10"/>
          <w:szCs w:val="10"/>
        </w:rPr>
      </w:pPr>
    </w:p>
    <w:p w:rsidR="00CA4AE6" w:rsidRPr="004B3120" w:rsidRDefault="00CA4AE6" w:rsidP="00C6738C">
      <w:pPr>
        <w:rPr>
          <w:sz w:val="10"/>
          <w:szCs w:val="10"/>
        </w:rPr>
      </w:pPr>
    </w:p>
    <w:p w:rsidR="00E3622E" w:rsidRPr="004B3120" w:rsidRDefault="00E3622E" w:rsidP="00C6738C">
      <w:pPr>
        <w:rPr>
          <w:sz w:val="10"/>
          <w:szCs w:val="10"/>
        </w:rPr>
      </w:pPr>
    </w:p>
    <w:p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4B3120">
        <w:rPr>
          <w:b w:val="0"/>
          <w:bCs w:val="0"/>
          <w:snapToGrid w:val="0"/>
          <w:sz w:val="25"/>
          <w:szCs w:val="25"/>
        </w:rPr>
        <w:t xml:space="preserve">Informativo TST é mantido pela </w:t>
      </w:r>
    </w:p>
    <w:p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4B3120">
        <w:rPr>
          <w:b w:val="0"/>
          <w:bCs w:val="0"/>
          <w:snapToGrid w:val="0"/>
          <w:sz w:val="25"/>
          <w:szCs w:val="25"/>
        </w:rPr>
        <w:t>Coordenadoria de Jurisprudência – CJUR</w:t>
      </w:r>
    </w:p>
    <w:p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614F1" w:rsidRPr="004B312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Informações/Sugestões/Críticas: (61)3043</w:t>
      </w:r>
      <w:r w:rsidR="00352B27" w:rsidRPr="004B3120">
        <w:rPr>
          <w:snapToGrid w:val="0"/>
          <w:sz w:val="25"/>
          <w:szCs w:val="25"/>
        </w:rPr>
        <w:t>-</w:t>
      </w:r>
      <w:r w:rsidRPr="004B3120">
        <w:rPr>
          <w:snapToGrid w:val="0"/>
          <w:sz w:val="25"/>
          <w:szCs w:val="25"/>
        </w:rPr>
        <w:t>4</w:t>
      </w:r>
      <w:r w:rsidR="000303C3" w:rsidRPr="004B3120">
        <w:rPr>
          <w:snapToGrid w:val="0"/>
          <w:sz w:val="25"/>
          <w:szCs w:val="25"/>
        </w:rPr>
        <w:t>612</w:t>
      </w:r>
      <w:r w:rsidR="007F02D5" w:rsidRPr="004B3120">
        <w:rPr>
          <w:snapToGrid w:val="0"/>
          <w:sz w:val="25"/>
          <w:szCs w:val="25"/>
        </w:rPr>
        <w:t xml:space="preserve"> ou </w:t>
      </w:r>
      <w:hyperlink r:id="rId19" w:history="1">
        <w:r w:rsidR="005F0522" w:rsidRPr="004B3120">
          <w:rPr>
            <w:rStyle w:val="Hyperlink"/>
            <w:snapToGrid w:val="0"/>
            <w:sz w:val="25"/>
            <w:szCs w:val="25"/>
          </w:rPr>
          <w:t>cjur@tst.jus.br</w:t>
        </w:r>
      </w:hyperlink>
    </w:p>
    <w:p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B15004"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acessar todas as edições: </w:t>
      </w:r>
      <w:hyperlink r:id="rId20" w:history="1">
        <w:r w:rsidR="00B15004" w:rsidRPr="004B3120">
          <w:rPr>
            <w:rStyle w:val="Hyperlink"/>
            <w:snapToGrid w:val="0"/>
            <w:sz w:val="25"/>
            <w:szCs w:val="25"/>
          </w:rPr>
          <w:t>http://www.tst.jus.br/web/guest/informativo-tst</w:t>
        </w:r>
      </w:hyperlink>
    </w:p>
    <w:p w:rsidR="00B15004" w:rsidRPr="004B3120"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receber via </w:t>
      </w:r>
      <w:r w:rsidRPr="004B3120">
        <w:rPr>
          <w:i/>
          <w:snapToGrid w:val="0"/>
          <w:sz w:val="25"/>
          <w:szCs w:val="25"/>
        </w:rPr>
        <w:t>e-mail</w:t>
      </w:r>
      <w:r w:rsidRPr="004B3120">
        <w:rPr>
          <w:snapToGrid w:val="0"/>
          <w:sz w:val="25"/>
          <w:szCs w:val="25"/>
        </w:rPr>
        <w:t xml:space="preserve">: </w:t>
      </w:r>
      <w:hyperlink r:id="rId21" w:history="1">
        <w:r w:rsidRPr="004B3120">
          <w:rPr>
            <w:rStyle w:val="Hyperlink"/>
            <w:snapToGrid w:val="0"/>
            <w:sz w:val="25"/>
            <w:szCs w:val="25"/>
          </w:rPr>
          <w:t>http://www.tst.jus.br/push</w:t>
        </w:r>
      </w:hyperlink>
    </w:p>
    <w:p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4B3120" w:rsidSect="00D11B24">
      <w:headerReference w:type="default" r:id="rId22"/>
      <w:footerReference w:type="default" r:id="rId23"/>
      <w:headerReference w:type="first" r:id="rId24"/>
      <w:footerReference w:type="first" r:id="rId25"/>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1FF" w:rsidRDefault="00E931FF">
      <w:r>
        <w:separator/>
      </w:r>
    </w:p>
  </w:endnote>
  <w:endnote w:type="continuationSeparator" w:id="0">
    <w:p w:rsidR="00E931FF" w:rsidRDefault="00E9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FF" w:rsidRDefault="00E931FF">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64A29">
      <w:rPr>
        <w:rStyle w:val="Nmerodepgina"/>
        <w:noProof/>
      </w:rPr>
      <w:t>7</w:t>
    </w:r>
    <w:r>
      <w:rPr>
        <w:rStyle w:val="Nmerodepgina"/>
      </w:rPr>
      <w:fldChar w:fldCharType="end"/>
    </w:r>
  </w:p>
  <w:p w:rsidR="00E931FF" w:rsidRDefault="00E931FF">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FF" w:rsidRDefault="00E931FF">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192C9D">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1FF" w:rsidRDefault="00E931FF">
      <w:r>
        <w:separator/>
      </w:r>
    </w:p>
  </w:footnote>
  <w:footnote w:type="continuationSeparator" w:id="0">
    <w:p w:rsidR="00E931FF" w:rsidRDefault="00E93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FF" w:rsidRPr="008420B2" w:rsidRDefault="006717E0">
    <w:pPr>
      <w:pStyle w:val="Corpodetexto"/>
      <w:jc w:val="right"/>
      <w:rPr>
        <w:sz w:val="24"/>
        <w:szCs w:val="24"/>
        <w14:shadow w14:blurRad="50800" w14:dist="38100" w14:dir="2700000" w14:sx="100000" w14:sy="100000" w14:kx="0" w14:ky="0" w14:algn="tl">
          <w14:srgbClr w14:val="000000">
            <w14:alpha w14:val="60000"/>
          </w14:srgbClr>
        </w14:shadow>
      </w:rPr>
    </w:pPr>
    <w:r w:rsidRPr="00BF2ED4">
      <w:rPr>
        <w:color w:val="006699"/>
      </w:rPr>
      <w:t>Informativo</w:t>
    </w:r>
    <w:r>
      <w:rPr>
        <w:color w:val="006699"/>
      </w:rPr>
      <w:t xml:space="preserve"> TST – nº 2</w:t>
    </w:r>
    <w:r w:rsidR="00A63855">
      <w:rPr>
        <w:color w:val="006699"/>
      </w:rPr>
      <w:t>18</w:t>
    </w:r>
  </w:p>
  <w:p w:rsidR="00E931FF" w:rsidRDefault="00E931FF" w:rsidP="00A01E4F">
    <w:pPr>
      <w:pStyle w:val="Cabealho"/>
      <w:jc w:val="right"/>
      <w:rPr>
        <w:i/>
        <w:iCs/>
      </w:rPr>
    </w:pPr>
    <w:r>
      <w:rPr>
        <w:noProof/>
      </w:rPr>
      <mc:AlternateContent>
        <mc:Choice Requires="wps">
          <w:drawing>
            <wp:anchor distT="0" distB="0" distL="114300" distR="114300" simplePos="0" relativeHeight="251657216" behindDoc="0" locked="0" layoutInCell="0" allowOverlap="1" wp14:anchorId="2F94C282" wp14:editId="78F6C65F">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Pr="003C0554">
      <w:rPr>
        <w:iCs/>
      </w:rPr>
      <w:t xml:space="preserve"> </w:t>
    </w:r>
    <w:r w:rsidR="00A63855" w:rsidRPr="006717E0">
      <w:rPr>
        <w:i/>
        <w:iCs/>
        <w:color w:val="005DA2"/>
      </w:rPr>
      <w:t xml:space="preserve">Período: </w:t>
    </w:r>
    <w:proofErr w:type="gramStart"/>
    <w:r w:rsidR="00852ABC">
      <w:rPr>
        <w:i/>
        <w:iCs/>
        <w:color w:val="005DA2"/>
      </w:rPr>
      <w:t>4</w:t>
    </w:r>
    <w:proofErr w:type="gramEnd"/>
    <w:r w:rsidR="00A63855">
      <w:rPr>
        <w:i/>
        <w:iCs/>
        <w:color w:val="005DA2"/>
      </w:rPr>
      <w:t xml:space="preserve"> </w:t>
    </w:r>
    <w:r w:rsidR="00A63855" w:rsidRPr="006717E0">
      <w:rPr>
        <w:i/>
        <w:iCs/>
        <w:color w:val="005DA2"/>
      </w:rPr>
      <w:t>a</w:t>
    </w:r>
    <w:r w:rsidR="00A63855">
      <w:rPr>
        <w:i/>
        <w:iCs/>
        <w:color w:val="005DA2"/>
      </w:rPr>
      <w:t>1</w:t>
    </w:r>
    <w:r w:rsidR="00852ABC">
      <w:rPr>
        <w:i/>
        <w:iCs/>
        <w:color w:val="005DA2"/>
      </w:rPr>
      <w:t>5</w:t>
    </w:r>
    <w:r w:rsidR="00A63855" w:rsidRPr="006717E0">
      <w:rPr>
        <w:i/>
        <w:iCs/>
        <w:color w:val="005DA2"/>
      </w:rPr>
      <w:t xml:space="preserve"> de</w:t>
    </w:r>
    <w:r w:rsidR="00A63855">
      <w:rPr>
        <w:i/>
        <w:iCs/>
        <w:color w:val="005DA2"/>
      </w:rPr>
      <w:t xml:space="preserve"> maio de 2020</w:t>
    </w:r>
  </w:p>
  <w:p w:rsidR="00E931FF" w:rsidRPr="005D1DE4" w:rsidRDefault="00E931FF"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FF" w:rsidRDefault="006717E0">
    <w:pPr>
      <w:pStyle w:val="Cabealho"/>
    </w:pPr>
    <w:r>
      <w:rPr>
        <w:noProof/>
      </w:rPr>
      <w:drawing>
        <wp:inline distT="0" distB="0" distL="0" distR="0" wp14:anchorId="421A8152" wp14:editId="0DDFFC83">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rsidR="006717E0" w:rsidRDefault="006717E0">
    <w:pPr>
      <w:pStyle w:val="Cabealho"/>
    </w:pPr>
    <w:r>
      <w:rPr>
        <w:rFonts w:ascii="Bebas Neue Regular" w:hAnsi="Bebas Neue Regular"/>
        <w:noProof/>
        <w:color w:val="006699"/>
        <w:sz w:val="30"/>
      </w:rPr>
      <w:drawing>
        <wp:inline distT="0" distB="0" distL="0" distR="0" wp14:anchorId="64E6D945" wp14:editId="072A284D">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6717E0" w:rsidRDefault="006717E0">
    <w:pPr>
      <w:pStyle w:val="Cabealho"/>
    </w:pPr>
  </w:p>
  <w:p w:rsidR="00E931FF" w:rsidRPr="006717E0" w:rsidRDefault="00E931FF" w:rsidP="00075BDB">
    <w:pPr>
      <w:pStyle w:val="Cabealho"/>
      <w:tabs>
        <w:tab w:val="clear" w:pos="4419"/>
        <w:tab w:val="clear" w:pos="8838"/>
        <w:tab w:val="left" w:pos="2793"/>
      </w:tabs>
      <w:jc w:val="right"/>
      <w:rPr>
        <w:b/>
        <w:color w:val="005DA2"/>
        <w:sz w:val="40"/>
        <w:szCs w:val="40"/>
      </w:rPr>
    </w:pPr>
    <w:r>
      <w:tab/>
    </w:r>
    <w:r>
      <w:tab/>
    </w:r>
    <w:r>
      <w:tab/>
    </w:r>
    <w:r>
      <w:tab/>
    </w:r>
    <w:r>
      <w:tab/>
    </w:r>
    <w:r>
      <w:tab/>
    </w:r>
    <w:r w:rsidRPr="006717E0">
      <w:rPr>
        <w:b/>
        <w:color w:val="005DA2"/>
        <w:sz w:val="40"/>
        <w:szCs w:val="40"/>
      </w:rPr>
      <w:t>Nº 2</w:t>
    </w:r>
    <w:r w:rsidR="00A63855">
      <w:rPr>
        <w:b/>
        <w:color w:val="005DA2"/>
        <w:sz w:val="40"/>
        <w:szCs w:val="40"/>
      </w:rPr>
      <w:t>18</w:t>
    </w:r>
  </w:p>
  <w:p w:rsidR="00E931FF" w:rsidRPr="006717E0" w:rsidRDefault="00E931FF">
    <w:pPr>
      <w:pStyle w:val="Cabealho"/>
      <w:jc w:val="right"/>
      <w:rPr>
        <w:i/>
        <w:iCs/>
        <w:color w:val="005DA2"/>
        <w:sz w:val="10"/>
        <w:szCs w:val="10"/>
      </w:rPr>
    </w:pPr>
  </w:p>
  <w:p w:rsidR="00E931FF" w:rsidRPr="006717E0" w:rsidRDefault="00E931FF" w:rsidP="009A16E8">
    <w:pPr>
      <w:pStyle w:val="Cabealho"/>
      <w:jc w:val="right"/>
      <w:rPr>
        <w:i/>
        <w:iCs/>
        <w:color w:val="005DA2"/>
      </w:rPr>
    </w:pPr>
    <w:r w:rsidRPr="006717E0">
      <w:rPr>
        <w:i/>
        <w:iCs/>
        <w:color w:val="005DA2"/>
      </w:rPr>
      <w:t xml:space="preserve">Período: </w:t>
    </w:r>
    <w:r w:rsidR="00852ABC">
      <w:rPr>
        <w:i/>
        <w:iCs/>
        <w:color w:val="005DA2"/>
      </w:rPr>
      <w:t>4</w:t>
    </w:r>
    <w:r w:rsidR="00543122">
      <w:rPr>
        <w:i/>
        <w:iCs/>
        <w:color w:val="005DA2"/>
      </w:rPr>
      <w:t xml:space="preserve"> </w:t>
    </w:r>
    <w:r w:rsidR="00D9627B">
      <w:rPr>
        <w:i/>
        <w:iCs/>
        <w:color w:val="005DA2"/>
      </w:rPr>
      <w:t xml:space="preserve">a </w:t>
    </w:r>
    <w:r w:rsidR="00A63855">
      <w:rPr>
        <w:i/>
        <w:iCs/>
        <w:color w:val="005DA2"/>
      </w:rPr>
      <w:t>1</w:t>
    </w:r>
    <w:r w:rsidR="00852ABC">
      <w:rPr>
        <w:i/>
        <w:iCs/>
        <w:color w:val="005DA2"/>
      </w:rPr>
      <w:t>5</w:t>
    </w:r>
    <w:r w:rsidRPr="006717E0">
      <w:rPr>
        <w:i/>
        <w:iCs/>
        <w:color w:val="005DA2"/>
      </w:rPr>
      <w:t xml:space="preserve"> de</w:t>
    </w:r>
    <w:r w:rsidR="00A63855">
      <w:rPr>
        <w:i/>
        <w:iCs/>
        <w:color w:val="005DA2"/>
      </w:rPr>
      <w:t xml:space="preserve"> maio de 2020</w:t>
    </w:r>
  </w:p>
  <w:p w:rsidR="00E931FF" w:rsidRDefault="00E931FF"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132A3"/>
    <w:rsid w:val="0001790D"/>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0F260C"/>
    <w:rsid w:val="00106A93"/>
    <w:rsid w:val="0011575C"/>
    <w:rsid w:val="0011692E"/>
    <w:rsid w:val="00122C2A"/>
    <w:rsid w:val="001257D7"/>
    <w:rsid w:val="001365EE"/>
    <w:rsid w:val="00136E86"/>
    <w:rsid w:val="00137564"/>
    <w:rsid w:val="00137DC1"/>
    <w:rsid w:val="00141630"/>
    <w:rsid w:val="00142C28"/>
    <w:rsid w:val="001444DA"/>
    <w:rsid w:val="00152238"/>
    <w:rsid w:val="0015612D"/>
    <w:rsid w:val="00161CDE"/>
    <w:rsid w:val="00161E91"/>
    <w:rsid w:val="00163142"/>
    <w:rsid w:val="001648F5"/>
    <w:rsid w:val="00167E80"/>
    <w:rsid w:val="00176D15"/>
    <w:rsid w:val="0018296E"/>
    <w:rsid w:val="00183803"/>
    <w:rsid w:val="00184590"/>
    <w:rsid w:val="0018640B"/>
    <w:rsid w:val="00187A37"/>
    <w:rsid w:val="00187BEF"/>
    <w:rsid w:val="0019151D"/>
    <w:rsid w:val="001920CD"/>
    <w:rsid w:val="00192C9D"/>
    <w:rsid w:val="00193208"/>
    <w:rsid w:val="001932B7"/>
    <w:rsid w:val="00194264"/>
    <w:rsid w:val="00197B15"/>
    <w:rsid w:val="001B025A"/>
    <w:rsid w:val="001B2C08"/>
    <w:rsid w:val="001C04D2"/>
    <w:rsid w:val="001C21FB"/>
    <w:rsid w:val="001C271F"/>
    <w:rsid w:val="001C3281"/>
    <w:rsid w:val="001C5885"/>
    <w:rsid w:val="001C6C93"/>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D1D"/>
    <w:rsid w:val="002156DC"/>
    <w:rsid w:val="002168DE"/>
    <w:rsid w:val="00222CF6"/>
    <w:rsid w:val="00223F6E"/>
    <w:rsid w:val="00224AC2"/>
    <w:rsid w:val="00227004"/>
    <w:rsid w:val="00230183"/>
    <w:rsid w:val="0023559D"/>
    <w:rsid w:val="00237380"/>
    <w:rsid w:val="002402B0"/>
    <w:rsid w:val="002449F9"/>
    <w:rsid w:val="00255732"/>
    <w:rsid w:val="00257B4A"/>
    <w:rsid w:val="00260B37"/>
    <w:rsid w:val="002635ED"/>
    <w:rsid w:val="002662BA"/>
    <w:rsid w:val="00266A22"/>
    <w:rsid w:val="00266D49"/>
    <w:rsid w:val="00271C5C"/>
    <w:rsid w:val="00271E67"/>
    <w:rsid w:val="002730B5"/>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B0750"/>
    <w:rsid w:val="002B4738"/>
    <w:rsid w:val="002B6377"/>
    <w:rsid w:val="002C2904"/>
    <w:rsid w:val="002C6261"/>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6053"/>
    <w:rsid w:val="003971B2"/>
    <w:rsid w:val="003A0E52"/>
    <w:rsid w:val="003A1335"/>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E3694"/>
    <w:rsid w:val="003F2078"/>
    <w:rsid w:val="003F5EA7"/>
    <w:rsid w:val="004034A8"/>
    <w:rsid w:val="0040506F"/>
    <w:rsid w:val="0041011C"/>
    <w:rsid w:val="0041353C"/>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31B7"/>
    <w:rsid w:val="0047749E"/>
    <w:rsid w:val="00486521"/>
    <w:rsid w:val="00486DFC"/>
    <w:rsid w:val="00490C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749C"/>
    <w:rsid w:val="004C759F"/>
    <w:rsid w:val="004D6000"/>
    <w:rsid w:val="004D60CD"/>
    <w:rsid w:val="004D6415"/>
    <w:rsid w:val="004D697F"/>
    <w:rsid w:val="004D71E8"/>
    <w:rsid w:val="004E393E"/>
    <w:rsid w:val="004E39DA"/>
    <w:rsid w:val="004E4507"/>
    <w:rsid w:val="004E4619"/>
    <w:rsid w:val="004F0A7D"/>
    <w:rsid w:val="004F5040"/>
    <w:rsid w:val="005059F5"/>
    <w:rsid w:val="00513789"/>
    <w:rsid w:val="0051538E"/>
    <w:rsid w:val="00517E01"/>
    <w:rsid w:val="005208C8"/>
    <w:rsid w:val="00521EEC"/>
    <w:rsid w:val="00530B90"/>
    <w:rsid w:val="00536EDA"/>
    <w:rsid w:val="005405E7"/>
    <w:rsid w:val="00543122"/>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8D7"/>
    <w:rsid w:val="00584F82"/>
    <w:rsid w:val="00591DFA"/>
    <w:rsid w:val="005A30AA"/>
    <w:rsid w:val="005A4ED6"/>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64EC"/>
    <w:rsid w:val="0066084C"/>
    <w:rsid w:val="00661B23"/>
    <w:rsid w:val="006628FD"/>
    <w:rsid w:val="00665956"/>
    <w:rsid w:val="00665CCF"/>
    <w:rsid w:val="006717E0"/>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F66"/>
    <w:rsid w:val="006D306E"/>
    <w:rsid w:val="006D4497"/>
    <w:rsid w:val="006D7C49"/>
    <w:rsid w:val="006E1A9C"/>
    <w:rsid w:val="006E3B5C"/>
    <w:rsid w:val="006E5D21"/>
    <w:rsid w:val="006F1AAE"/>
    <w:rsid w:val="006F62EB"/>
    <w:rsid w:val="006F6C15"/>
    <w:rsid w:val="00700B1B"/>
    <w:rsid w:val="007023BC"/>
    <w:rsid w:val="007029CF"/>
    <w:rsid w:val="00707022"/>
    <w:rsid w:val="0070727E"/>
    <w:rsid w:val="007101D6"/>
    <w:rsid w:val="00710D3A"/>
    <w:rsid w:val="0071315F"/>
    <w:rsid w:val="007159C7"/>
    <w:rsid w:val="00720057"/>
    <w:rsid w:val="00721942"/>
    <w:rsid w:val="00722BE7"/>
    <w:rsid w:val="00723134"/>
    <w:rsid w:val="00730CC7"/>
    <w:rsid w:val="00732DF2"/>
    <w:rsid w:val="0073442D"/>
    <w:rsid w:val="00735B8F"/>
    <w:rsid w:val="007403B3"/>
    <w:rsid w:val="00750B85"/>
    <w:rsid w:val="00752730"/>
    <w:rsid w:val="007568FD"/>
    <w:rsid w:val="007614F1"/>
    <w:rsid w:val="007618C5"/>
    <w:rsid w:val="00764066"/>
    <w:rsid w:val="00764D55"/>
    <w:rsid w:val="00766B7B"/>
    <w:rsid w:val="0077600F"/>
    <w:rsid w:val="007760AE"/>
    <w:rsid w:val="00776118"/>
    <w:rsid w:val="00781C77"/>
    <w:rsid w:val="00790F13"/>
    <w:rsid w:val="00793A1C"/>
    <w:rsid w:val="00796745"/>
    <w:rsid w:val="007A28FF"/>
    <w:rsid w:val="007A4009"/>
    <w:rsid w:val="007A4F78"/>
    <w:rsid w:val="007A6AF4"/>
    <w:rsid w:val="007A7125"/>
    <w:rsid w:val="007B0F83"/>
    <w:rsid w:val="007B5D65"/>
    <w:rsid w:val="007C0A4F"/>
    <w:rsid w:val="007D0081"/>
    <w:rsid w:val="007D19FC"/>
    <w:rsid w:val="007D29A1"/>
    <w:rsid w:val="007D2B4E"/>
    <w:rsid w:val="007D2DB0"/>
    <w:rsid w:val="007D2EE9"/>
    <w:rsid w:val="007D469A"/>
    <w:rsid w:val="007D6D94"/>
    <w:rsid w:val="007D6F8C"/>
    <w:rsid w:val="007E069C"/>
    <w:rsid w:val="007E094E"/>
    <w:rsid w:val="007E0EA7"/>
    <w:rsid w:val="007E26A1"/>
    <w:rsid w:val="007E37B1"/>
    <w:rsid w:val="007E3F23"/>
    <w:rsid w:val="007E53A4"/>
    <w:rsid w:val="007F02D5"/>
    <w:rsid w:val="007F142E"/>
    <w:rsid w:val="007F289C"/>
    <w:rsid w:val="007F2BBE"/>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409D3"/>
    <w:rsid w:val="008420B2"/>
    <w:rsid w:val="0084319F"/>
    <w:rsid w:val="00843F5F"/>
    <w:rsid w:val="00844374"/>
    <w:rsid w:val="00844FEB"/>
    <w:rsid w:val="00845559"/>
    <w:rsid w:val="0084797B"/>
    <w:rsid w:val="00852ABC"/>
    <w:rsid w:val="008532E4"/>
    <w:rsid w:val="00854DB8"/>
    <w:rsid w:val="00854EF2"/>
    <w:rsid w:val="00855623"/>
    <w:rsid w:val="00855D99"/>
    <w:rsid w:val="0086211B"/>
    <w:rsid w:val="008622CF"/>
    <w:rsid w:val="008627C6"/>
    <w:rsid w:val="00863B86"/>
    <w:rsid w:val="008652A2"/>
    <w:rsid w:val="008706CD"/>
    <w:rsid w:val="00871F69"/>
    <w:rsid w:val="008722F9"/>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E5117"/>
    <w:rsid w:val="008E7D58"/>
    <w:rsid w:val="008F26CB"/>
    <w:rsid w:val="008F36EC"/>
    <w:rsid w:val="008F3D95"/>
    <w:rsid w:val="008F6509"/>
    <w:rsid w:val="008F79D9"/>
    <w:rsid w:val="009027C8"/>
    <w:rsid w:val="00910EEF"/>
    <w:rsid w:val="00920B0C"/>
    <w:rsid w:val="00922D1B"/>
    <w:rsid w:val="00930461"/>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41D"/>
    <w:rsid w:val="009A5D37"/>
    <w:rsid w:val="009A610E"/>
    <w:rsid w:val="009A6BD9"/>
    <w:rsid w:val="009A76A2"/>
    <w:rsid w:val="009B289E"/>
    <w:rsid w:val="009B320F"/>
    <w:rsid w:val="009B41F7"/>
    <w:rsid w:val="009B479C"/>
    <w:rsid w:val="009B6012"/>
    <w:rsid w:val="009B6455"/>
    <w:rsid w:val="009C0EBA"/>
    <w:rsid w:val="009C102D"/>
    <w:rsid w:val="009C2A4F"/>
    <w:rsid w:val="009C4834"/>
    <w:rsid w:val="009D10FB"/>
    <w:rsid w:val="009D1BDE"/>
    <w:rsid w:val="009D232F"/>
    <w:rsid w:val="009D2FB1"/>
    <w:rsid w:val="009D312C"/>
    <w:rsid w:val="009D4C59"/>
    <w:rsid w:val="009D7F91"/>
    <w:rsid w:val="009E20EF"/>
    <w:rsid w:val="009E26EE"/>
    <w:rsid w:val="009E534D"/>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40D9C"/>
    <w:rsid w:val="00A51749"/>
    <w:rsid w:val="00A521B6"/>
    <w:rsid w:val="00A56962"/>
    <w:rsid w:val="00A62DD3"/>
    <w:rsid w:val="00A6382F"/>
    <w:rsid w:val="00A63855"/>
    <w:rsid w:val="00A6412C"/>
    <w:rsid w:val="00A72FAF"/>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F77DF"/>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A4636"/>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E555C"/>
    <w:rsid w:val="00BF0693"/>
    <w:rsid w:val="00BF6308"/>
    <w:rsid w:val="00C028BC"/>
    <w:rsid w:val="00C070DE"/>
    <w:rsid w:val="00C07598"/>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4666E"/>
    <w:rsid w:val="00C51600"/>
    <w:rsid w:val="00C54185"/>
    <w:rsid w:val="00C57E92"/>
    <w:rsid w:val="00C60B4A"/>
    <w:rsid w:val="00C61DAD"/>
    <w:rsid w:val="00C64A29"/>
    <w:rsid w:val="00C65BDB"/>
    <w:rsid w:val="00C66C95"/>
    <w:rsid w:val="00C6738C"/>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9627B"/>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31469"/>
    <w:rsid w:val="00E3296A"/>
    <w:rsid w:val="00E35639"/>
    <w:rsid w:val="00E361AB"/>
    <w:rsid w:val="00E3622E"/>
    <w:rsid w:val="00E4188A"/>
    <w:rsid w:val="00E420AA"/>
    <w:rsid w:val="00E428CA"/>
    <w:rsid w:val="00E42D22"/>
    <w:rsid w:val="00E432CC"/>
    <w:rsid w:val="00E47FF2"/>
    <w:rsid w:val="00E50711"/>
    <w:rsid w:val="00E52522"/>
    <w:rsid w:val="00E531C9"/>
    <w:rsid w:val="00E60AD3"/>
    <w:rsid w:val="00E60EDA"/>
    <w:rsid w:val="00E62BBC"/>
    <w:rsid w:val="00E67BAE"/>
    <w:rsid w:val="00E711AE"/>
    <w:rsid w:val="00E716F3"/>
    <w:rsid w:val="00E76789"/>
    <w:rsid w:val="00E774F6"/>
    <w:rsid w:val="00E931FF"/>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2A67"/>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463D"/>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5243"/>
    <w:rsid w:val="00F6746D"/>
    <w:rsid w:val="00F675D5"/>
    <w:rsid w:val="00F74361"/>
    <w:rsid w:val="00F753D1"/>
    <w:rsid w:val="00F7766D"/>
    <w:rsid w:val="00F777B1"/>
    <w:rsid w:val="00F811CD"/>
    <w:rsid w:val="00F82D8F"/>
    <w:rsid w:val="00F83F62"/>
    <w:rsid w:val="00F907EB"/>
    <w:rsid w:val="00F9711D"/>
    <w:rsid w:val="00FA011F"/>
    <w:rsid w:val="00FA1DCF"/>
    <w:rsid w:val="00FA3E3A"/>
    <w:rsid w:val="00FA7544"/>
    <w:rsid w:val="00FA75E0"/>
    <w:rsid w:val="00FA7771"/>
    <w:rsid w:val="00FB0AFB"/>
    <w:rsid w:val="00FB0C06"/>
    <w:rsid w:val="00FB0DC9"/>
    <w:rsid w:val="00FB20B1"/>
    <w:rsid w:val="00FB27AA"/>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247&amp;digitoTst=06&amp;anoTst=2011&amp;orgaoTst=5&amp;tribunalTst=02&amp;varaTst=0263&amp;submit=Consultar" TargetMode="External"/><Relationship Id="rId18" Type="http://schemas.openxmlformats.org/officeDocument/2006/relationships/hyperlink" Target="http://aplicacao4.tst.jus.br/consultaProcessual/consultaTstNumUnica.do?consulta=Consultar&amp;conscsjt=&amp;numeroTst=11036&amp;digitoTst=97&amp;anoTst=2018&amp;orgaoTst=5&amp;tribunalTst=03&amp;varaTst=0099&amp;submit=Consulta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st.jus.br/push" TargetMode="External"/><Relationship Id="rId7" Type="http://schemas.openxmlformats.org/officeDocument/2006/relationships/footnotes" Target="footnotes.xml"/><Relationship Id="rId12" Type="http://schemas.openxmlformats.org/officeDocument/2006/relationships/hyperlink" Target="http://aplicacao4.tst.jus.br/consultaProcessual/resumoForm.do?consulta=1&amp;numeroInt=33823&amp;anoInt=2016&amp;qtdAcesso=56939749" TargetMode="External"/><Relationship Id="rId17" Type="http://schemas.openxmlformats.org/officeDocument/2006/relationships/hyperlink" Target="http://aplicacao4.tst.jus.br/consultaProcessual/resumoForm.do?consulta=1&amp;numeroInt=145704&amp;anoInt=2018&amp;qtdAcesso=5900164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aplicacao4.tst.jus.br/consultaProcessual/consultaTstNumUnica.do?consulta=Consultar&amp;conscsjt=&amp;numeroTst=19700&amp;digitoTst=68&amp;anoTst=1986&amp;orgaoTst=5&amp;tribunalTst=02&amp;varaTst=0002" TargetMode="External"/><Relationship Id="rId20" Type="http://schemas.openxmlformats.org/officeDocument/2006/relationships/hyperlink" Target="http://www.tst.jus.br/web/guest/informativo-t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457&amp;digitoTst=47&amp;anoTst=2015&amp;orgaoTst=5&amp;tribunalTst=&amp;varaTst="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aplicacao4.tst.jus.br/consultaProcessual/consultaTstNumUnica.do?consulta=Consultar&amp;conscsjt=&amp;numeroTst=281&amp;digitoTst=72&amp;anoTst=2016&amp;orgaoTst=5&amp;tribunalTst=10&amp;varaTst=0104&amp;submit=Consultar" TargetMode="External"/><Relationship Id="rId23" Type="http://schemas.openxmlformats.org/officeDocument/2006/relationships/footer" Target="footer1.xml"/><Relationship Id="rId10" Type="http://schemas.openxmlformats.org/officeDocument/2006/relationships/hyperlink" Target="http://aplicacao4.tst.jus.br/consultaProcessual/consultaTstNumUnica.do?consulta=Consultar&amp;conscsjt=&amp;numeroTst=154&amp;digitoTst=58&amp;anoTst=2019&amp;orgaoTst=5&amp;tribunalTst=&amp;varaTst=" TargetMode="External"/><Relationship Id="rId19" Type="http://schemas.openxmlformats.org/officeDocument/2006/relationships/hyperlink" Target="mailto:cjur@tst.jus.br" TargetMode="Externa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1000662&amp;digitoTst=58&amp;anoTst=2019&amp;orgaoTst=5&amp;tribunalTst=00&amp;varaTst=0000&amp;submit=Consultar" TargetMode="External"/><Relationship Id="rId14" Type="http://schemas.openxmlformats.org/officeDocument/2006/relationships/hyperlink" Target="http://aplicacao4.tst.jus.br/consultaProcessual/consultaTstNumUnica.do?consulta=Consultar&amp;conscsjt=&amp;numeroTst=20556&amp;digitoTst=23&amp;anoTst=2018&amp;orgaoTst=5&amp;tribunalTst=04&amp;varaTst=0271&amp;submit=Consultar"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18C25-EF90-4335-9DD2-AC5BA425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4041</Words>
  <Characters>24639</Characters>
  <Application>Microsoft Office Word</Application>
  <DocSecurity>0</DocSecurity>
  <Lines>205</Lines>
  <Paragraphs>57</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28623</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Aline Tacira De Araujo Cherulli Edreira</cp:lastModifiedBy>
  <cp:revision>10</cp:revision>
  <cp:lastPrinted>2019-10-29T20:50:00Z</cp:lastPrinted>
  <dcterms:created xsi:type="dcterms:W3CDTF">2019-11-06T21:32:00Z</dcterms:created>
  <dcterms:modified xsi:type="dcterms:W3CDTF">2020-05-19T20:15:00Z</dcterms:modified>
</cp:coreProperties>
</file>