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rsidTr="00E3622E">
        <w:trPr>
          <w:trHeight w:val="537"/>
        </w:trPr>
        <w:tc>
          <w:tcPr>
            <w:tcW w:w="9538" w:type="dxa"/>
            <w:tcBorders>
              <w:top w:val="single" w:sz="4" w:space="0" w:color="auto"/>
            </w:tcBorders>
          </w:tcPr>
          <w:p w:rsidR="00E3622E" w:rsidRPr="004B3120" w:rsidRDefault="00C26DFB" w:rsidP="00DC50EB">
            <w:pPr>
              <w:pStyle w:val="Cabealho"/>
              <w:tabs>
                <w:tab w:val="clear" w:pos="4419"/>
                <w:tab w:val="clear" w:pos="8838"/>
              </w:tabs>
              <w:jc w:val="both"/>
            </w:pPr>
            <w:r w:rsidRPr="004B3120">
              <w:t>Este Informativo, elaborado a partir de notas tomadas nas sessões de julgamentos,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rsidR="00730CC7" w:rsidRPr="004B3120" w:rsidRDefault="00730CC7" w:rsidP="00DC50EB">
            <w:pPr>
              <w:pStyle w:val="Cabealho"/>
              <w:tabs>
                <w:tab w:val="clear" w:pos="4419"/>
                <w:tab w:val="clear" w:pos="8838"/>
              </w:tabs>
              <w:jc w:val="both"/>
              <w:rPr>
                <w:sz w:val="10"/>
                <w:szCs w:val="10"/>
              </w:rPr>
            </w:pPr>
          </w:p>
        </w:tc>
      </w:tr>
    </w:tbl>
    <w:p w:rsidR="006717E0" w:rsidRPr="006717E0" w:rsidRDefault="00543122" w:rsidP="006717E0">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 xml:space="preserve">SUBSEÇÃO </w:t>
      </w:r>
      <w:r w:rsidR="006717E0" w:rsidRPr="006717E0">
        <w:rPr>
          <w:rFonts w:ascii="Times New Roman" w:hAnsi="Times New Roman" w:cs="Times New Roman"/>
          <w:b/>
          <w:bCs/>
          <w:iCs/>
          <w:sz w:val="28"/>
          <w:lang w:val="pt-BR"/>
        </w:rPr>
        <w:t>I ESPECIALIZADA EM DISSÍDIOS INDIVIDUAIS</w:t>
      </w:r>
    </w:p>
    <w:p w:rsidR="00543122" w:rsidRPr="00543122" w:rsidRDefault="00543122" w:rsidP="00237380">
      <w:pPr>
        <w:adjustRightInd w:val="0"/>
        <w:jc w:val="both"/>
        <w:rPr>
          <w:u w:val="single"/>
          <w:lang w:eastAsia="zh-CN"/>
        </w:rPr>
      </w:pPr>
    </w:p>
    <w:p w:rsidR="00543122" w:rsidRDefault="00543122" w:rsidP="00543122">
      <w:pPr>
        <w:adjustRightInd w:val="0"/>
        <w:jc w:val="both"/>
        <w:rPr>
          <w:b/>
          <w:bCs/>
          <w:i/>
          <w:iCs/>
          <w:sz w:val="24"/>
          <w:szCs w:val="24"/>
        </w:rPr>
      </w:pPr>
      <w:r>
        <w:rPr>
          <w:b/>
          <w:bCs/>
          <w:i/>
          <w:iCs/>
          <w:sz w:val="24"/>
          <w:szCs w:val="24"/>
        </w:rPr>
        <w:t xml:space="preserve">Representação comercial autônoma. Acordo extrajudicial homologado pela Justiça comum. Posterior ajuizamento de reclamação trabalhista. Pedido de reconhecimento de vínculo de emprego. Coisa julgada. Não configuração. </w:t>
      </w:r>
    </w:p>
    <w:p w:rsidR="00543122" w:rsidRDefault="00543122" w:rsidP="00543122">
      <w:pPr>
        <w:jc w:val="both"/>
        <w:rPr>
          <w:sz w:val="24"/>
          <w:u w:val="single"/>
        </w:rPr>
      </w:pPr>
      <w:r>
        <w:rPr>
          <w:bCs/>
          <w:iCs/>
          <w:sz w:val="24"/>
          <w:szCs w:val="24"/>
        </w:rPr>
        <w:t xml:space="preserve">Não faz coisa julgada perante a Justiça do Trabalho o acordo extrajudicial homologado pela Justiça comum em que o reclamante, sua empresa e a empresa ré, em instrumento particular de distrato, confissão e quitação de dívida, deram ampla, geral e irrestrita quitação da relação jurídica decorrente do contrato de representação comercial mantido entre as partes. No caso, não se verifica os requisitos configuradores da coisa julgada, pois os pedidos formulados são distintos. Enquanto a reclamação trabalhista visa o reconhecimento do vínculo de emprego, a sentença homologatória teve por objeto o acordo envolvendo uma relação jurídica comercial. Ademais, compete à Justiça do Trabalho a análise do preenchimento dos requisitos estabelecidos nos </w:t>
      </w:r>
      <w:proofErr w:type="spellStart"/>
      <w:r>
        <w:rPr>
          <w:bCs/>
          <w:iCs/>
          <w:sz w:val="24"/>
          <w:szCs w:val="24"/>
        </w:rPr>
        <w:t>arts</w:t>
      </w:r>
      <w:proofErr w:type="spellEnd"/>
      <w:r>
        <w:rPr>
          <w:bCs/>
          <w:iCs/>
          <w:sz w:val="24"/>
          <w:szCs w:val="24"/>
        </w:rPr>
        <w:t xml:space="preserve">. 2° e 3° da CLT e a decisão quanto à existência ou não de vínculo de emprego. </w:t>
      </w:r>
      <w:r>
        <w:rPr>
          <w:sz w:val="24"/>
        </w:rPr>
        <w:t xml:space="preserve">Sob esses fundamentos, a SBDI-I, em sua composição plena, por unanimidade, conheceu do recurso de embargos, por divergência jurisprudencial, e, no mérito, por maioria, negou-lhe provimento, mantendo, portanto, a decisão recorrida que afastou a coisa julgada e determinou o retorno dos autos ao TRT de origem para o prosseguimento do julgamento. Vencidos os Ministros Maria Cristina </w:t>
      </w:r>
      <w:proofErr w:type="spellStart"/>
      <w:r>
        <w:rPr>
          <w:sz w:val="24"/>
        </w:rPr>
        <w:t>Irigoyen</w:t>
      </w:r>
      <w:proofErr w:type="spellEnd"/>
      <w:r>
        <w:rPr>
          <w:sz w:val="24"/>
        </w:rPr>
        <w:t xml:space="preserve"> </w:t>
      </w:r>
      <w:proofErr w:type="spellStart"/>
      <w:r>
        <w:rPr>
          <w:sz w:val="24"/>
        </w:rPr>
        <w:t>Peduzzi</w:t>
      </w:r>
      <w:proofErr w:type="spellEnd"/>
      <w:r>
        <w:rPr>
          <w:sz w:val="24"/>
        </w:rPr>
        <w:t xml:space="preserve">, Brito Pereira, Breno Medeiros, Alexandre Luiz Ramos e Walmir Oliveira da </w:t>
      </w:r>
      <w:proofErr w:type="gramStart"/>
      <w:r>
        <w:rPr>
          <w:sz w:val="24"/>
        </w:rPr>
        <w:t>Costa .</w:t>
      </w:r>
      <w:proofErr w:type="gramEnd"/>
      <w:r>
        <w:rPr>
          <w:sz w:val="24"/>
        </w:rPr>
        <w:t xml:space="preserve"> </w:t>
      </w:r>
      <w:hyperlink r:id="rId9" w:history="1">
        <w:r>
          <w:rPr>
            <w:rStyle w:val="Hyperlink"/>
            <w:sz w:val="24"/>
          </w:rPr>
          <w:t>TST-E-ED-RR-115-05.2010.5.04.0561</w:t>
        </w:r>
      </w:hyperlink>
      <w:r>
        <w:rPr>
          <w:sz w:val="24"/>
          <w:u w:val="single"/>
        </w:rPr>
        <w:t xml:space="preserve">, SBDI-I, rel. Min. Augusto César Leite de Carvalho, </w:t>
      </w:r>
      <w:proofErr w:type="gramStart"/>
      <w:r>
        <w:rPr>
          <w:sz w:val="24"/>
          <w:u w:val="single"/>
        </w:rPr>
        <w:t>24.10.2019</w:t>
      </w:r>
      <w:proofErr w:type="gramEnd"/>
    </w:p>
    <w:p w:rsidR="00543122" w:rsidRPr="00543122" w:rsidRDefault="00543122" w:rsidP="00543122">
      <w:pPr>
        <w:jc w:val="both"/>
        <w:rPr>
          <w:u w:val="single"/>
        </w:rPr>
      </w:pPr>
    </w:p>
    <w:p w:rsidR="00543122" w:rsidRDefault="00543122" w:rsidP="00543122">
      <w:pPr>
        <w:jc w:val="both"/>
        <w:rPr>
          <w:rFonts w:cstheme="minorBidi"/>
          <w:b/>
          <w:i/>
          <w:sz w:val="24"/>
          <w:szCs w:val="24"/>
        </w:rPr>
      </w:pPr>
      <w:r>
        <w:rPr>
          <w:b/>
          <w:i/>
          <w:sz w:val="24"/>
          <w:szCs w:val="24"/>
        </w:rPr>
        <w:t xml:space="preserve">Ação civil pública. Ministério Público do Trabalho. Cabimento. Obrigação de não fazer. Não concessão de vale-transporte em dinheiro. Ausência de pedido de nulidade da norma coletiva em que amparado o pagamento. </w:t>
      </w:r>
    </w:p>
    <w:p w:rsidR="00543122" w:rsidRDefault="00543122" w:rsidP="00543122">
      <w:pPr>
        <w:jc w:val="both"/>
        <w:rPr>
          <w:sz w:val="24"/>
          <w:szCs w:val="24"/>
        </w:rPr>
      </w:pPr>
      <w:r>
        <w:rPr>
          <w:sz w:val="24"/>
          <w:szCs w:val="24"/>
        </w:rPr>
        <w:t xml:space="preserve">É cabível ação civil pública em que o Ministério Público do Trabalho requer que a empresa ré se abstenha de conceder a seus empregados o vale-transporte em dinheiro, sem, todavia, formular pedido de nulidade da norma coletiva que ensejou a prática adotada pela empregadora. No caso, a validade e a eficácia da cláusula coletiva </w:t>
      </w:r>
      <w:proofErr w:type="gramStart"/>
      <w:r>
        <w:rPr>
          <w:sz w:val="24"/>
          <w:szCs w:val="24"/>
        </w:rPr>
        <w:t>foi questionada</w:t>
      </w:r>
      <w:proofErr w:type="gramEnd"/>
      <w:r>
        <w:rPr>
          <w:sz w:val="24"/>
          <w:szCs w:val="24"/>
        </w:rPr>
        <w:t xml:space="preserve"> apenas como causa de pedir, ensejando provimento </w:t>
      </w:r>
      <w:proofErr w:type="spellStart"/>
      <w:r>
        <w:rPr>
          <w:i/>
          <w:sz w:val="24"/>
          <w:szCs w:val="24"/>
        </w:rPr>
        <w:t>incidenter</w:t>
      </w:r>
      <w:proofErr w:type="spellEnd"/>
      <w:r>
        <w:rPr>
          <w:i/>
          <w:sz w:val="24"/>
          <w:szCs w:val="24"/>
        </w:rPr>
        <w:t xml:space="preserve"> tantum</w:t>
      </w:r>
      <w:r>
        <w:rPr>
          <w:sz w:val="24"/>
          <w:szCs w:val="24"/>
        </w:rPr>
        <w:t xml:space="preserve">. Ademais, como a pretensão formulada pelo MPT não é de nulidade expressa e total da cláusula da norma coletiva com eficácia </w:t>
      </w:r>
      <w:proofErr w:type="gramStart"/>
      <w:r>
        <w:rPr>
          <w:i/>
          <w:sz w:val="24"/>
          <w:szCs w:val="24"/>
        </w:rPr>
        <w:t>ultra partes</w:t>
      </w:r>
      <w:proofErr w:type="gramEnd"/>
      <w:r>
        <w:rPr>
          <w:sz w:val="24"/>
          <w:szCs w:val="24"/>
        </w:rPr>
        <w:t>, mas de cumprimento de obrigação de não fazer cominada com aplicação de penalidade por eventual descumprimento, a ação cabível é a ação civil pública e não ação anulatória, a qual teria natureza exclusivamente declaratória e competência funcional para julgamento do TRT ou do TST, e não da Vara do Trabalho. Sob esse entendimento, a SBDI-I,</w:t>
      </w:r>
      <w:r>
        <w:t xml:space="preserve"> </w:t>
      </w:r>
      <w:r>
        <w:rPr>
          <w:sz w:val="24"/>
          <w:szCs w:val="24"/>
        </w:rPr>
        <w:t xml:space="preserve">em sua composição plena, por unanimidade, conheceu dos embargos, por divergência jurisprudencial e, no mérito, por maioria, negou-lhes provimento para manter a decisão </w:t>
      </w:r>
      <w:proofErr w:type="spellStart"/>
      <w:r>
        <w:rPr>
          <w:sz w:val="24"/>
          <w:szCs w:val="24"/>
        </w:rPr>
        <w:t>turmária</w:t>
      </w:r>
      <w:proofErr w:type="spellEnd"/>
      <w:r>
        <w:rPr>
          <w:sz w:val="24"/>
          <w:szCs w:val="24"/>
        </w:rPr>
        <w:t xml:space="preserve"> que reconhecera a legitimidade ativa do MPT para propor ação civil pública na espécie. Vencidos os Ministros Márcio Eurico Vitral Amaro, Breno Medeiros, Alexandre </w:t>
      </w:r>
      <w:r>
        <w:rPr>
          <w:sz w:val="24"/>
          <w:szCs w:val="24"/>
        </w:rPr>
        <w:lastRenderedPageBreak/>
        <w:t xml:space="preserve">Luiz Ramos e Renato de Lacerda Paiva. </w:t>
      </w:r>
      <w:hyperlink r:id="rId10" w:history="1">
        <w:r>
          <w:rPr>
            <w:rStyle w:val="Hyperlink"/>
            <w:sz w:val="24"/>
            <w:szCs w:val="24"/>
          </w:rPr>
          <w:t>TST-E-RR-62600-91.2009.5.01.0421</w:t>
        </w:r>
      </w:hyperlink>
      <w:r>
        <w:rPr>
          <w:sz w:val="24"/>
          <w:szCs w:val="24"/>
          <w:u w:val="single"/>
        </w:rPr>
        <w:t xml:space="preserve">, SBDI-I, rel. Min. Augusto César Leite de Carvalho, </w:t>
      </w:r>
      <w:proofErr w:type="gramStart"/>
      <w:r>
        <w:rPr>
          <w:sz w:val="24"/>
          <w:szCs w:val="24"/>
          <w:u w:val="single"/>
        </w:rPr>
        <w:t>24.10.2019</w:t>
      </w:r>
      <w:proofErr w:type="gramEnd"/>
    </w:p>
    <w:p w:rsidR="00543122" w:rsidRDefault="00543122" w:rsidP="00237380">
      <w:pPr>
        <w:adjustRightInd w:val="0"/>
        <w:jc w:val="both"/>
        <w:rPr>
          <w:sz w:val="24"/>
          <w:szCs w:val="24"/>
          <w:u w:val="single"/>
          <w:lang w:eastAsia="zh-CN"/>
        </w:rPr>
      </w:pPr>
    </w:p>
    <w:p w:rsidR="00543122" w:rsidRPr="006717E0" w:rsidRDefault="00543122" w:rsidP="0054312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II ESPECIALIZADA EM DISSÍDIOS INDIVIDUAIS</w:t>
      </w:r>
    </w:p>
    <w:p w:rsidR="00543122" w:rsidRPr="00543122" w:rsidRDefault="00543122" w:rsidP="00543122">
      <w:pPr>
        <w:adjustRightInd w:val="0"/>
        <w:jc w:val="both"/>
        <w:rPr>
          <w:b/>
          <w:bCs/>
          <w:i/>
          <w:iCs/>
        </w:rPr>
      </w:pPr>
    </w:p>
    <w:p w:rsidR="00543122" w:rsidRDefault="00543122" w:rsidP="00543122">
      <w:pPr>
        <w:adjustRightInd w:val="0"/>
        <w:jc w:val="both"/>
        <w:rPr>
          <w:b/>
          <w:bCs/>
          <w:i/>
          <w:iCs/>
          <w:sz w:val="24"/>
          <w:szCs w:val="24"/>
        </w:rPr>
      </w:pPr>
      <w:r>
        <w:rPr>
          <w:b/>
          <w:bCs/>
          <w:i/>
          <w:iCs/>
          <w:sz w:val="24"/>
          <w:szCs w:val="24"/>
        </w:rPr>
        <w:t>Ação rescisória. Art. 485, VII, do CPC de 1973.  Alegação de documento novo. Fato não suscitado, nem apreciado no processo matriz. Impossibilidade do corte rescisório.</w:t>
      </w:r>
    </w:p>
    <w:p w:rsidR="00543122" w:rsidRDefault="00543122" w:rsidP="00543122">
      <w:pPr>
        <w:jc w:val="both"/>
        <w:rPr>
          <w:sz w:val="24"/>
          <w:szCs w:val="22"/>
          <w:u w:val="single"/>
        </w:rPr>
      </w:pPr>
      <w:r>
        <w:rPr>
          <w:bCs/>
          <w:iCs/>
          <w:sz w:val="24"/>
          <w:szCs w:val="24"/>
        </w:rPr>
        <w:t xml:space="preserve">A hipótese de desconstituição de decisão transitada em julgado prevista no art. 485, VII, do CPC de 1973 pressupõe a obtenção de documento novo referente a fato alegado na ação matriz. No caso, o autor pretende a desconstituição da decisão que indeferiu a indenização substitutiva da estabilidade provisória no emprego e as multas dos </w:t>
      </w:r>
      <w:proofErr w:type="spellStart"/>
      <w:r>
        <w:rPr>
          <w:bCs/>
          <w:iCs/>
          <w:sz w:val="24"/>
          <w:szCs w:val="24"/>
        </w:rPr>
        <w:t>arts</w:t>
      </w:r>
      <w:proofErr w:type="spellEnd"/>
      <w:r>
        <w:rPr>
          <w:bCs/>
          <w:iCs/>
          <w:sz w:val="24"/>
          <w:szCs w:val="24"/>
        </w:rPr>
        <w:t xml:space="preserve">. 467 e 477 da CLT invocando a existência de documentos novos que comprovariam a sucessão de empregadores e, consequentemente, a possibilidade de o sucessor responder pelos pleitos inicialmente indeferidos. Todavia, a questão da sucessão empresarial não foi suscitada por nenhuma das partes no processo principal, nem foi objeto de apreciação pela decisão rescindenda, o que inviabiliza, portanto, o corte rescisório fundado no inciso VII do art. 485 do CPC de 1973. </w:t>
      </w:r>
      <w:r>
        <w:rPr>
          <w:sz w:val="24"/>
        </w:rPr>
        <w:t xml:space="preserve">Sob esses fundamentos, a SBDI-II, por unanimidade, conheceu do recurso ordinário do autor e, no mérito, negou-lhe provimento. </w:t>
      </w:r>
      <w:hyperlink r:id="rId11" w:history="1">
        <w:r>
          <w:rPr>
            <w:rStyle w:val="Hyperlink"/>
            <w:sz w:val="24"/>
          </w:rPr>
          <w:t>TST-RO-5120-28.2015.5.09.0000</w:t>
        </w:r>
      </w:hyperlink>
      <w:r>
        <w:rPr>
          <w:sz w:val="24"/>
          <w:u w:val="single"/>
        </w:rPr>
        <w:t xml:space="preserve">, SBDI-II, rel. Min. Luiz José Dezena da Silva, </w:t>
      </w:r>
      <w:proofErr w:type="gramStart"/>
      <w:r>
        <w:rPr>
          <w:sz w:val="24"/>
          <w:u w:val="single"/>
        </w:rPr>
        <w:t>22.10.2019</w:t>
      </w:r>
      <w:proofErr w:type="gramEnd"/>
    </w:p>
    <w:p w:rsidR="005848D7" w:rsidRPr="00543122" w:rsidRDefault="005848D7" w:rsidP="00F53215">
      <w:pPr>
        <w:jc w:val="both"/>
        <w:rPr>
          <w:sz w:val="24"/>
          <w:szCs w:val="24"/>
          <w:u w:val="single"/>
        </w:rPr>
      </w:pPr>
    </w:p>
    <w:p w:rsidR="009A76A2" w:rsidRPr="006717E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TURMAS</w:t>
      </w:r>
    </w:p>
    <w:p w:rsidR="009A76A2" w:rsidRPr="004B3120"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rsidR="004B3120" w:rsidRPr="004B3120" w:rsidRDefault="004B3120" w:rsidP="004B3120">
      <w:pPr>
        <w:jc w:val="both"/>
        <w:outlineLvl w:val="0"/>
        <w:rPr>
          <w:rFonts w:eastAsiaTheme="minorEastAsia"/>
          <w:b/>
          <w:i/>
          <w:color w:val="000000"/>
        </w:rPr>
      </w:pPr>
      <w:bookmarkStart w:id="0" w:name="Ementa"/>
      <w:bookmarkStart w:id="1" w:name="tempEmenta"/>
    </w:p>
    <w:p w:rsidR="00543122" w:rsidRDefault="00543122" w:rsidP="00543122">
      <w:pPr>
        <w:jc w:val="both"/>
        <w:outlineLvl w:val="0"/>
        <w:rPr>
          <w:sz w:val="24"/>
          <w:szCs w:val="24"/>
        </w:rPr>
      </w:pPr>
      <w:r>
        <w:rPr>
          <w:rFonts w:eastAsiaTheme="minorEastAsia"/>
          <w:i/>
          <w:color w:val="000000"/>
          <w:sz w:val="24"/>
          <w:szCs w:val="24"/>
        </w:rPr>
        <w:t>“(...</w:t>
      </w:r>
      <w:proofErr w:type="gramStart"/>
      <w:r>
        <w:rPr>
          <w:rFonts w:eastAsiaTheme="minorEastAsia"/>
          <w:i/>
          <w:color w:val="000000"/>
          <w:sz w:val="24"/>
          <w:szCs w:val="24"/>
        </w:rPr>
        <w:t>)</w:t>
      </w:r>
      <w:r>
        <w:rPr>
          <w:i/>
          <w:sz w:val="24"/>
          <w:szCs w:val="24"/>
        </w:rPr>
        <w:t>INDENIZAÇÃO</w:t>
      </w:r>
      <w:proofErr w:type="gramEnd"/>
      <w:r>
        <w:rPr>
          <w:i/>
          <w:sz w:val="24"/>
          <w:szCs w:val="24"/>
        </w:rPr>
        <w:t xml:space="preserve"> POR DANOS MORAIS. REVISTAS FEITAS NO ARMÁRIO DO EMPREGADO SEM O SEU CONHECIMENTO. DANO MORAL CONFIGURADO. Trata-se de pedido de dano moral em razão de revista pessoal e nos armários do reclamante sem o seu consentimento. Não se olvidando do entendimento consolidado na jurisprudência desta Corte, de que o poder diretivo e fiscalizador do empregador permite a realização de revista visual em bolsas e pertences dos empregados, desde que procedida de forma impessoal, geral e sem contato físico ou exposição do funcionário a situação humilhante e vexatória. Entretanto, o fato de a revista ser feita, exclusivamente, nos pertences dos empregados não afasta, por si só, eventual direito à indenização por dano moral, pois a revista também deve ser realizada sem violação à intimidade e à dignidade dos trabalhadores. E, no caso em exame, a situação fática narrada no acórdão regional afasta a aplicação, neste feito, de tal entendimento desta Corte superior. Assim, ainda que não tenha havido contato físico, a revista realizada no armário do obreiro sem o seu conhecimento implicou exposição indevida da sua intimidade e evidente abuso do poder fiscalizatório do empregador, razão pela qual o reclamante faz jus à indenização por danos morais.</w:t>
      </w:r>
      <w:r w:rsidR="00D06058">
        <w:rPr>
          <w:i/>
          <w:sz w:val="24"/>
          <w:szCs w:val="24"/>
        </w:rPr>
        <w:t xml:space="preserve"> </w:t>
      </w:r>
      <w:r>
        <w:rPr>
          <w:i/>
          <w:sz w:val="24"/>
          <w:szCs w:val="24"/>
        </w:rPr>
        <w:t>Recurso de revista não conhecido. (...)”</w:t>
      </w:r>
      <w:r>
        <w:rPr>
          <w:sz w:val="24"/>
          <w:szCs w:val="24"/>
        </w:rPr>
        <w:t xml:space="preserve"> (</w:t>
      </w:r>
      <w:hyperlink r:id="rId12" w:history="1">
        <w:r>
          <w:rPr>
            <w:rStyle w:val="Hyperlink"/>
            <w:sz w:val="24"/>
            <w:szCs w:val="24"/>
          </w:rPr>
          <w:t>TST-RR-29-09.2010.5.09.0007</w:t>
        </w:r>
      </w:hyperlink>
      <w:r>
        <w:rPr>
          <w:sz w:val="24"/>
          <w:szCs w:val="24"/>
        </w:rPr>
        <w:t>, 2ª Turma, rel. Min. José Roberto Freire Pimenta, julgado em 23.10.2019)</w:t>
      </w:r>
    </w:p>
    <w:p w:rsidR="00543122" w:rsidRPr="00543122" w:rsidRDefault="00543122" w:rsidP="00543122">
      <w:pPr>
        <w:jc w:val="both"/>
        <w:outlineLvl w:val="0"/>
      </w:pPr>
    </w:p>
    <w:p w:rsidR="00543122" w:rsidRDefault="00543122" w:rsidP="00543122">
      <w:pPr>
        <w:jc w:val="both"/>
        <w:rPr>
          <w:i/>
          <w:color w:val="000000"/>
          <w:sz w:val="24"/>
          <w:szCs w:val="24"/>
        </w:rPr>
      </w:pPr>
      <w:r>
        <w:rPr>
          <w:i/>
          <w:sz w:val="24"/>
          <w:szCs w:val="24"/>
        </w:rPr>
        <w:t>“(...</w:t>
      </w:r>
      <w:proofErr w:type="gramStart"/>
      <w:r>
        <w:rPr>
          <w:i/>
          <w:sz w:val="24"/>
          <w:szCs w:val="24"/>
        </w:rPr>
        <w:t>)</w:t>
      </w:r>
      <w:r>
        <w:rPr>
          <w:i/>
          <w:color w:val="000000"/>
          <w:sz w:val="24"/>
          <w:szCs w:val="24"/>
        </w:rPr>
        <w:t>AÇÃO</w:t>
      </w:r>
      <w:proofErr w:type="gramEnd"/>
      <w:r>
        <w:rPr>
          <w:i/>
          <w:color w:val="000000"/>
          <w:sz w:val="24"/>
          <w:szCs w:val="24"/>
        </w:rPr>
        <w:t xml:space="preserve"> CIVIL PÚBLICA. TRABALHO NO SETOR DE SELEÇÃO MANUAL DE CASTANHAS EM ESTEIRA. PAUSAS PREVISTAS NA NORMA REGULAMENTAR 17 DO MINISTÉRIO DO TRABALHO E EMPREGO. NORMA DE SAÚDE E SEGURANÇA DO TRABALHO.</w:t>
      </w:r>
      <w:r w:rsidR="00D06058">
        <w:rPr>
          <w:i/>
          <w:color w:val="000000"/>
          <w:sz w:val="24"/>
          <w:szCs w:val="24"/>
        </w:rPr>
        <w:t xml:space="preserve"> </w:t>
      </w:r>
      <w:bookmarkStart w:id="2" w:name="_GoBack"/>
      <w:bookmarkEnd w:id="2"/>
      <w:r>
        <w:rPr>
          <w:i/>
          <w:color w:val="000000"/>
          <w:sz w:val="24"/>
          <w:szCs w:val="24"/>
        </w:rPr>
        <w:t xml:space="preserve">Trata-se de pedido da reclamada de exclusão da obrigação que lhe foi imposta de conceder pausas aos seus empregados de dez minutos a cada hora trabalhada. O artigo 7º, inciso XXII, da Constituição Federal inclui, no rol dos direitos fundamentais, a redução dos riscos inerentes ao trabalho, por meio de normas de saúde, higiene e segurança. Com vistas ao cumprimento dessa disposição constitucional, a Norma Regulamentar 17 do Ministério do Trabalho e Emprego assegura a concessão de pausas para as atividades que exijam sobrecarga muscular ou dinâmica do pescoço, ombros, dorso e membros superiores e inferiores. Com efeito, o artigo 4º da LICC dispõe que, "quando a lei for omissa, o juiz decidirá o caso de acordo com a analogia, os costumes e os princípios gerais de direito". Também o artigo 8º da CLT autoriza a analogia como fonte do direito, ao dispor, em seu caput, que "as autoridades administrativas e a Justiça do Trabalho, na </w:t>
      </w:r>
      <w:r>
        <w:rPr>
          <w:i/>
          <w:color w:val="000000"/>
          <w:sz w:val="24"/>
          <w:szCs w:val="24"/>
        </w:rPr>
        <w:lastRenderedPageBreak/>
        <w:t xml:space="preserve">falta de disposições legais ou contratuais, decidirão, conforme o caso, pela jurisprudência, por analogia, por </w:t>
      </w:r>
      <w:proofErr w:type="spellStart"/>
      <w:r>
        <w:rPr>
          <w:i/>
          <w:color w:val="000000"/>
          <w:sz w:val="24"/>
          <w:szCs w:val="24"/>
        </w:rPr>
        <w:t>eqüidade</w:t>
      </w:r>
      <w:proofErr w:type="spellEnd"/>
      <w:r>
        <w:rPr>
          <w:i/>
          <w:color w:val="000000"/>
          <w:sz w:val="24"/>
          <w:szCs w:val="24"/>
        </w:rPr>
        <w:t xml:space="preserve"> e outros princípios e normas gerais de direito, principalmente do direito do trabalho, e, ainda, de acordo com os usos e costumes, o direito comparado, mas sempre de maneira que nenhum interesse de classe ou particular prevaleça sobre o interesse público". Desse modo, ainda que a NR-17 não estabeleça a duração dos intervalos para os trabalhadores que desenvolvem suas atividades nos moldes previstos no item 17.6.3, não desobriga o empregador do cumprimento da norma. Do contrário, a garantia do descanso trazida pela norma revelar-se-ia inócua, simplesmente por falta de disposição expressa acerca do tempo de duração do intervalo, ficando o empregado, a parte hipossuficiente da relação jurídica, sem a proteção necessária à sua </w:t>
      </w:r>
      <w:proofErr w:type="gramStart"/>
      <w:r>
        <w:rPr>
          <w:i/>
          <w:color w:val="000000"/>
          <w:sz w:val="24"/>
          <w:szCs w:val="24"/>
        </w:rPr>
        <w:t>saúde</w:t>
      </w:r>
      <w:proofErr w:type="gramEnd"/>
      <w:r>
        <w:rPr>
          <w:i/>
          <w:color w:val="000000"/>
          <w:sz w:val="24"/>
          <w:szCs w:val="24"/>
        </w:rPr>
        <w:t xml:space="preserve"> e à segurança no trabalho. Nessas condições, a condenação da reclamada à concessão de dez minutos de intervalo a cada cinquenta minutos trabalhados, pela aplicação da Norma Regulamentadora nº 17 do Ministério do Trabalho e Emprego, encontra respaldo legal e </w:t>
      </w:r>
      <w:proofErr w:type="spellStart"/>
      <w:proofErr w:type="gramStart"/>
      <w:r>
        <w:rPr>
          <w:i/>
          <w:color w:val="000000"/>
          <w:sz w:val="24"/>
          <w:szCs w:val="24"/>
        </w:rPr>
        <w:t>constitucional.</w:t>
      </w:r>
      <w:proofErr w:type="gramEnd"/>
      <w:r>
        <w:rPr>
          <w:i/>
          <w:color w:val="000000"/>
          <w:sz w:val="24"/>
          <w:szCs w:val="24"/>
        </w:rPr>
        <w:t>Agravo</w:t>
      </w:r>
      <w:proofErr w:type="spellEnd"/>
      <w:r>
        <w:rPr>
          <w:i/>
          <w:color w:val="000000"/>
          <w:sz w:val="24"/>
          <w:szCs w:val="24"/>
        </w:rPr>
        <w:t xml:space="preserve"> de instrumento desprovido.(...)” </w:t>
      </w:r>
      <w:r>
        <w:rPr>
          <w:color w:val="000000"/>
          <w:sz w:val="24"/>
          <w:szCs w:val="24"/>
        </w:rPr>
        <w:t>(</w:t>
      </w:r>
      <w:hyperlink r:id="rId13" w:history="1">
        <w:r>
          <w:rPr>
            <w:rStyle w:val="Hyperlink"/>
            <w:sz w:val="24"/>
            <w:szCs w:val="24"/>
          </w:rPr>
          <w:t>TST-AIRR-260-09.2015.5.21.0013</w:t>
        </w:r>
      </w:hyperlink>
      <w:r>
        <w:rPr>
          <w:color w:val="000000"/>
          <w:sz w:val="24"/>
          <w:szCs w:val="24"/>
        </w:rPr>
        <w:t xml:space="preserve">, 2ª Turma, rel. Min. José Roberto Freire Pimenta, julgado em 23.10.2019) </w:t>
      </w:r>
    </w:p>
    <w:p w:rsidR="00543122" w:rsidRPr="00543122" w:rsidRDefault="00543122" w:rsidP="00543122">
      <w:pPr>
        <w:jc w:val="both"/>
        <w:rPr>
          <w:rFonts w:asciiTheme="minorHAnsi" w:hAnsiTheme="minorHAnsi" w:cstheme="minorBidi"/>
        </w:rPr>
      </w:pPr>
    </w:p>
    <w:p w:rsidR="00543122" w:rsidRDefault="00543122" w:rsidP="00543122">
      <w:pPr>
        <w:jc w:val="both"/>
        <w:rPr>
          <w:color w:val="000000"/>
          <w:sz w:val="24"/>
          <w:szCs w:val="24"/>
        </w:rPr>
      </w:pPr>
      <w:r>
        <w:rPr>
          <w:sz w:val="24"/>
          <w:szCs w:val="24"/>
        </w:rPr>
        <w:t>“</w:t>
      </w:r>
      <w:r>
        <w:rPr>
          <w:i/>
          <w:sz w:val="24"/>
          <w:szCs w:val="24"/>
        </w:rPr>
        <w:t>(...</w:t>
      </w:r>
      <w:proofErr w:type="gramStart"/>
      <w:r>
        <w:rPr>
          <w:i/>
          <w:sz w:val="24"/>
          <w:szCs w:val="24"/>
        </w:rPr>
        <w:t>)</w:t>
      </w:r>
      <w:r>
        <w:rPr>
          <w:i/>
          <w:color w:val="000000"/>
          <w:sz w:val="24"/>
          <w:szCs w:val="24"/>
        </w:rPr>
        <w:t>INDENIZAÇÃO</w:t>
      </w:r>
      <w:proofErr w:type="gramEnd"/>
      <w:r>
        <w:rPr>
          <w:i/>
          <w:color w:val="000000"/>
          <w:sz w:val="24"/>
          <w:szCs w:val="24"/>
        </w:rPr>
        <w:t xml:space="preserve"> POR DANOS MORAIS. MONITORAMENTO POR CÂMERA NO VESTIÁRIO. ABUSO DO PODER DE DIREÇÃO DA EMPREGADORA. Trata-se de pedido de indenização por dano moral, sob a alegação de violação da privacidade da empregada por monitoramento do vestiário por meio de câmera. O direito à privacidade configura um poder jurídico fundamental do cidadão, possuindo </w:t>
      </w:r>
      <w:r>
        <w:rPr>
          <w:i/>
          <w:iCs/>
          <w:color w:val="000000"/>
          <w:sz w:val="24"/>
          <w:szCs w:val="24"/>
        </w:rPr>
        <w:t xml:space="preserve">status </w:t>
      </w:r>
      <w:r>
        <w:rPr>
          <w:i/>
          <w:color w:val="000000"/>
          <w:sz w:val="24"/>
          <w:szCs w:val="24"/>
        </w:rPr>
        <w:t xml:space="preserve">constitucional, insculpido no artigo 5º, inciso X, da Constituição Federal. Representa, na verdade, uma grande conquista do indivíduo, frente ao Estado, constituindo um direito subjetivo oponível </w:t>
      </w:r>
      <w:r>
        <w:rPr>
          <w:i/>
          <w:iCs/>
          <w:color w:val="000000"/>
          <w:sz w:val="24"/>
          <w:szCs w:val="24"/>
        </w:rPr>
        <w:t>erga omnes</w:t>
      </w:r>
      <w:r>
        <w:rPr>
          <w:i/>
          <w:color w:val="000000"/>
          <w:sz w:val="24"/>
          <w:szCs w:val="24"/>
        </w:rPr>
        <w:t>, de forma que exija uma omissão social, a fim de que a vida privada do ser humano não sofra violações. Esse direito alberga todas as manifestações da esfera íntima, privada e da personalidade. Segundo Matos Pereira, constitui "o conjunto de informação acerca do indivíduo que ele pode decidir manter sob seu exclusivo controle, ou comunicar, decidindo a quem, quando, onde e em que condições, sem a isso poder ser legalmente sujeito" (</w:t>
      </w:r>
      <w:r>
        <w:rPr>
          <w:i/>
          <w:iCs/>
          <w:color w:val="000000"/>
          <w:sz w:val="24"/>
          <w:szCs w:val="24"/>
        </w:rPr>
        <w:t xml:space="preserve">apud, </w:t>
      </w:r>
      <w:r>
        <w:rPr>
          <w:i/>
          <w:color w:val="000000"/>
          <w:sz w:val="24"/>
          <w:szCs w:val="24"/>
        </w:rPr>
        <w:t xml:space="preserve">SILVA, José Afonso da, Curso de Direito Constitucional Positivo, 33ª edição, editora Malheiros, 2009, p. 206). O ordenamento jurídico pátrio, com vistas a conferir efetividade a esse direito, estabeleceu diversos dispositivos cujo escopo é garantir-lhe a inviolabilidade e, em caso de violação, a efetiva reparação ao lesado e punição do algoz. No caso dos autos, consta da decisão recorrida que houve a instalação de câmeras nos vestiários dos empregados. O dano, nesses casos, é </w:t>
      </w:r>
      <w:r>
        <w:rPr>
          <w:i/>
          <w:iCs/>
          <w:color w:val="000000"/>
          <w:sz w:val="24"/>
          <w:szCs w:val="24"/>
        </w:rPr>
        <w:t xml:space="preserve">in </w:t>
      </w:r>
      <w:proofErr w:type="spellStart"/>
      <w:r>
        <w:rPr>
          <w:i/>
          <w:iCs/>
          <w:color w:val="000000"/>
          <w:sz w:val="24"/>
          <w:szCs w:val="24"/>
        </w:rPr>
        <w:t>re</w:t>
      </w:r>
      <w:proofErr w:type="spellEnd"/>
      <w:r>
        <w:rPr>
          <w:i/>
          <w:iCs/>
          <w:color w:val="000000"/>
          <w:sz w:val="24"/>
          <w:szCs w:val="24"/>
        </w:rPr>
        <w:t xml:space="preserve"> </w:t>
      </w:r>
      <w:proofErr w:type="spellStart"/>
      <w:r>
        <w:rPr>
          <w:i/>
          <w:iCs/>
          <w:color w:val="000000"/>
          <w:sz w:val="24"/>
          <w:szCs w:val="24"/>
        </w:rPr>
        <w:t>ipsa</w:t>
      </w:r>
      <w:proofErr w:type="spellEnd"/>
      <w:r>
        <w:rPr>
          <w:i/>
          <w:color w:val="000000"/>
          <w:sz w:val="24"/>
          <w:szCs w:val="24"/>
        </w:rPr>
        <w:t xml:space="preserve">, ou seja, advém do simples fato de violar a privacidade da reclamante no momento em que necessita utilizar o vestiário, causando-lhe, inequivocamente, constrangimento e intimidação, e ferindo o seu direito constitucionalmente garantido. Não há perquirir acerca de prejuízos ou mesmo de comprovação para configurar dano moral, derivando a lesão, inexoravelmente, do próprio fato ofensivo. Presente, pois, o dano moral, consistente na violação da privacidade da autora, causando-lhe </w:t>
      </w:r>
      <w:proofErr w:type="gramStart"/>
      <w:r>
        <w:rPr>
          <w:i/>
          <w:color w:val="000000"/>
          <w:sz w:val="24"/>
          <w:szCs w:val="24"/>
        </w:rPr>
        <w:t>constrangimento</w:t>
      </w:r>
      <w:proofErr w:type="gramEnd"/>
      <w:r>
        <w:rPr>
          <w:i/>
          <w:color w:val="000000"/>
          <w:sz w:val="24"/>
          <w:szCs w:val="24"/>
        </w:rPr>
        <w:t xml:space="preserve"> e intimidação ao utilizar o vestiário sob a supervisão de câmeras de filmagem. Por outro lado, a conduta da empregadora revela-se abusiva, pois o seu poder diretivo não autoriza a instalação de câmera de segurança no vestiário dos empregados. Verifica-se, então, que a reclamada, ao instalar câmera de segurança no vestiário dos empregados, agiu com abuso do seu poder diretivo, configurando essa conduta um ato ilícito, nos termos do disposto no artigo 187 do Código Civil. Na hipótese em que o dano advém de abuso de direito, é despicienda a configuração da culpa </w:t>
      </w:r>
      <w:r>
        <w:rPr>
          <w:i/>
          <w:iCs/>
          <w:color w:val="000000"/>
          <w:sz w:val="24"/>
          <w:szCs w:val="24"/>
        </w:rPr>
        <w:t>lato sensu</w:t>
      </w:r>
      <w:r>
        <w:rPr>
          <w:i/>
          <w:color w:val="000000"/>
          <w:sz w:val="24"/>
          <w:szCs w:val="24"/>
        </w:rPr>
        <w:t xml:space="preserve"> ou culpa </w:t>
      </w:r>
      <w:r>
        <w:rPr>
          <w:i/>
          <w:iCs/>
          <w:color w:val="000000"/>
          <w:sz w:val="24"/>
          <w:szCs w:val="24"/>
        </w:rPr>
        <w:t xml:space="preserve">stricto sensu </w:t>
      </w:r>
      <w:r>
        <w:rPr>
          <w:i/>
          <w:color w:val="000000"/>
          <w:sz w:val="24"/>
          <w:szCs w:val="24"/>
        </w:rPr>
        <w:t xml:space="preserve">ou dolo, havendo ato ilícito, suficiente para ensejar o pagamento de indenização por dano moral, independentemente do elemento subjetivo da conduta. Nesse contexto, demonstrada a existência da conduta patronal comissiva, do dano sofrido pela empregada e do nexo de causalidade entre eles, exsurge a responsabilidade civil da reclamada oriunda do abuso do seu poder diretivo. </w:t>
      </w:r>
      <w:proofErr w:type="gramStart"/>
      <w:r>
        <w:rPr>
          <w:i/>
          <w:color w:val="000000"/>
          <w:sz w:val="24"/>
          <w:szCs w:val="24"/>
        </w:rPr>
        <w:t>Recurso de revista </w:t>
      </w:r>
      <w:r>
        <w:rPr>
          <w:bCs/>
          <w:i/>
          <w:color w:val="000000"/>
          <w:sz w:val="24"/>
          <w:szCs w:val="24"/>
        </w:rPr>
        <w:t>conhecido e provido.”</w:t>
      </w:r>
      <w:proofErr w:type="gramEnd"/>
      <w:r>
        <w:rPr>
          <w:bCs/>
          <w:color w:val="000000"/>
          <w:sz w:val="24"/>
          <w:szCs w:val="24"/>
        </w:rPr>
        <w:t xml:space="preserve"> (</w:t>
      </w:r>
      <w:hyperlink r:id="rId14" w:history="1">
        <w:r>
          <w:rPr>
            <w:rStyle w:val="Hyperlink"/>
            <w:bCs/>
            <w:sz w:val="24"/>
            <w:szCs w:val="24"/>
          </w:rPr>
          <w:t>TST-RR-24457-06.2017.5.24.0003</w:t>
        </w:r>
      </w:hyperlink>
      <w:r>
        <w:rPr>
          <w:bCs/>
          <w:color w:val="000000"/>
          <w:sz w:val="24"/>
          <w:szCs w:val="24"/>
        </w:rPr>
        <w:t>, 2ª Turma, rel. Min. José Roberto Freire Pimenta, julgado em 23.10.2019)</w:t>
      </w:r>
    </w:p>
    <w:p w:rsidR="00543122" w:rsidRPr="00543122" w:rsidRDefault="00543122" w:rsidP="00543122">
      <w:pPr>
        <w:jc w:val="both"/>
        <w:outlineLvl w:val="0"/>
        <w:rPr>
          <w:rFonts w:eastAsiaTheme="minorEastAsia"/>
          <w:b/>
          <w:i/>
          <w:color w:val="000000"/>
        </w:rPr>
      </w:pPr>
    </w:p>
    <w:p w:rsidR="00543122" w:rsidRDefault="00543122" w:rsidP="00543122">
      <w:pPr>
        <w:jc w:val="both"/>
        <w:rPr>
          <w:rFonts w:eastAsiaTheme="minorHAnsi"/>
          <w:color w:val="000000"/>
          <w:sz w:val="24"/>
          <w:szCs w:val="24"/>
          <w:lang w:eastAsia="en-US"/>
        </w:rPr>
      </w:pPr>
      <w:r>
        <w:rPr>
          <w:rFonts w:eastAsiaTheme="minorEastAsia"/>
          <w:i/>
          <w:color w:val="000000"/>
          <w:sz w:val="24"/>
          <w:szCs w:val="24"/>
        </w:rPr>
        <w:t>“</w:t>
      </w:r>
      <w:r>
        <w:rPr>
          <w:i/>
          <w:color w:val="000000"/>
          <w:sz w:val="24"/>
          <w:szCs w:val="24"/>
        </w:rPr>
        <w:t xml:space="preserve">RECURSO DE REVISTA INTERPOSTO SOB A ÉGIDE DA LEI Nº 13.015/2014 E DO NCPC – AÇÃO CIVIL PÚBLICA – INCOMPETÊNCIA DA JUSTIÇA DO TRABALHO – CONTRATO DE </w:t>
      </w:r>
      <w:r>
        <w:rPr>
          <w:i/>
          <w:color w:val="000000"/>
          <w:sz w:val="24"/>
          <w:szCs w:val="24"/>
        </w:rPr>
        <w:lastRenderedPageBreak/>
        <w:t xml:space="preserve">COGESTÃO DE ADMINISTRAÇÃO PRISIONAL – VALIDADE Cuida-se de Ação Civil Pública proposta com o intuito de impor obrigação de </w:t>
      </w:r>
      <w:proofErr w:type="gramStart"/>
      <w:r>
        <w:rPr>
          <w:i/>
          <w:color w:val="000000"/>
          <w:sz w:val="24"/>
          <w:szCs w:val="24"/>
        </w:rPr>
        <w:t>não-fazer</w:t>
      </w:r>
      <w:proofErr w:type="gramEnd"/>
      <w:r>
        <w:rPr>
          <w:i/>
          <w:color w:val="000000"/>
          <w:sz w:val="24"/>
          <w:szCs w:val="24"/>
        </w:rPr>
        <w:t xml:space="preserve"> consistente na vedação ao Estado de firmar contrato de cogestão do sistema prisional estadual com empresa privada. Diante da natureza administrativa do contrato, não há como reconhecer a competência desta Justiça Especializada para o julgamento da matéria. Recurso de Revista não conhecido.”</w:t>
      </w:r>
      <w:r>
        <w:rPr>
          <w:color w:val="000000"/>
          <w:sz w:val="24"/>
          <w:szCs w:val="24"/>
        </w:rPr>
        <w:t xml:space="preserve"> (</w:t>
      </w:r>
      <w:hyperlink r:id="rId15" w:history="1">
        <w:r>
          <w:rPr>
            <w:rStyle w:val="Hyperlink"/>
            <w:sz w:val="24"/>
            <w:szCs w:val="24"/>
          </w:rPr>
          <w:t>TST-RR-969-80.2010.5.20.0002</w:t>
        </w:r>
      </w:hyperlink>
      <w:r>
        <w:rPr>
          <w:color w:val="000000"/>
          <w:sz w:val="24"/>
          <w:szCs w:val="24"/>
        </w:rPr>
        <w:t xml:space="preserve">, 8ª Turma, rel. Min. Maria Cristina </w:t>
      </w:r>
      <w:proofErr w:type="spellStart"/>
      <w:r>
        <w:rPr>
          <w:color w:val="000000"/>
          <w:sz w:val="24"/>
          <w:szCs w:val="24"/>
        </w:rPr>
        <w:t>Irigoyen</w:t>
      </w:r>
      <w:proofErr w:type="spellEnd"/>
      <w:r>
        <w:rPr>
          <w:color w:val="000000"/>
          <w:sz w:val="24"/>
          <w:szCs w:val="24"/>
        </w:rPr>
        <w:t xml:space="preserve"> </w:t>
      </w:r>
      <w:proofErr w:type="spellStart"/>
      <w:r>
        <w:rPr>
          <w:color w:val="000000"/>
          <w:sz w:val="24"/>
          <w:szCs w:val="24"/>
        </w:rPr>
        <w:t>Peduzzi</w:t>
      </w:r>
      <w:proofErr w:type="spellEnd"/>
      <w:r>
        <w:rPr>
          <w:color w:val="000000"/>
          <w:sz w:val="24"/>
          <w:szCs w:val="24"/>
        </w:rPr>
        <w:t>, julgado em 23.10.2019)</w:t>
      </w:r>
    </w:p>
    <w:p w:rsidR="00543122" w:rsidRDefault="00543122" w:rsidP="00543122">
      <w:pPr>
        <w:jc w:val="both"/>
        <w:outlineLvl w:val="0"/>
        <w:rPr>
          <w:rFonts w:eastAsiaTheme="minorEastAsia"/>
          <w:b/>
          <w:i/>
          <w:color w:val="000000"/>
          <w:sz w:val="24"/>
          <w:szCs w:val="24"/>
        </w:rPr>
      </w:pPr>
    </w:p>
    <w:p w:rsidR="00543122" w:rsidRDefault="00543122" w:rsidP="00543122">
      <w:pPr>
        <w:jc w:val="both"/>
        <w:outlineLvl w:val="0"/>
        <w:rPr>
          <w:rFonts w:eastAsiaTheme="minorEastAsia"/>
          <w:b/>
          <w:i/>
          <w:color w:val="000000"/>
          <w:sz w:val="24"/>
          <w:szCs w:val="24"/>
        </w:rPr>
      </w:pPr>
    </w:p>
    <w:p w:rsidR="00543122" w:rsidRDefault="00543122" w:rsidP="00237380">
      <w:pPr>
        <w:jc w:val="both"/>
        <w:rPr>
          <w:i/>
          <w:sz w:val="24"/>
          <w:szCs w:val="24"/>
        </w:rPr>
      </w:pPr>
    </w:p>
    <w:bookmarkEnd w:id="0"/>
    <w:bookmarkEnd w:id="1"/>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E3622E" w:rsidRPr="004B3120" w:rsidRDefault="00E3622E" w:rsidP="00C6738C">
      <w:pPr>
        <w:rPr>
          <w:sz w:val="10"/>
          <w:szCs w:val="10"/>
        </w:rPr>
      </w:pP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4B3120">
        <w:rPr>
          <w:b w:val="0"/>
          <w:bCs w:val="0"/>
          <w:snapToGrid w:val="0"/>
          <w:sz w:val="25"/>
          <w:szCs w:val="25"/>
        </w:rPr>
        <w:t xml:space="preserve">Informativo TST é mantido pela </w:t>
      </w: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16" w:history="1">
        <w:r w:rsidR="005F0522" w:rsidRPr="004B3120">
          <w:rPr>
            <w:rStyle w:val="Hyperlink"/>
            <w:snapToGrid w:val="0"/>
            <w:sz w:val="25"/>
            <w:szCs w:val="25"/>
          </w:rPr>
          <w:t>cjur@tst.jus.br</w:t>
        </w:r>
      </w:hyperlink>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17" w:history="1">
        <w:r w:rsidR="00B15004" w:rsidRPr="004B3120">
          <w:rPr>
            <w:rStyle w:val="Hyperlink"/>
            <w:snapToGrid w:val="0"/>
            <w:sz w:val="25"/>
            <w:szCs w:val="25"/>
          </w:rPr>
          <w:t>http://www.tst.jus.br/web/guest/informativo-tst</w:t>
        </w:r>
      </w:hyperlink>
    </w:p>
    <w:p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18" w:history="1">
        <w:r w:rsidRPr="004B3120">
          <w:rPr>
            <w:rStyle w:val="Hyperlink"/>
            <w:snapToGrid w:val="0"/>
            <w:sz w:val="25"/>
            <w:szCs w:val="25"/>
          </w:rPr>
          <w:t>http://www.tst.jus.br/push</w:t>
        </w:r>
      </w:hyperlink>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19"/>
      <w:footerReference w:type="default" r:id="rId20"/>
      <w:headerReference w:type="first" r:id="rId21"/>
      <w:footerReference w:type="first" r:id="rId22"/>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1FF" w:rsidRDefault="00E931FF">
      <w:r>
        <w:separator/>
      </w:r>
    </w:p>
  </w:endnote>
  <w:endnote w:type="continuationSeparator" w:id="0">
    <w:p w:rsidR="00E931FF" w:rsidRDefault="00E9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FF" w:rsidRDefault="00E931FF">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6058">
      <w:rPr>
        <w:rStyle w:val="Nmerodepgina"/>
        <w:noProof/>
      </w:rPr>
      <w:t>4</w:t>
    </w:r>
    <w:r>
      <w:rPr>
        <w:rStyle w:val="Nmerodepgina"/>
      </w:rPr>
      <w:fldChar w:fldCharType="end"/>
    </w:r>
  </w:p>
  <w:p w:rsidR="00E931FF" w:rsidRDefault="00E931FF">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FF" w:rsidRDefault="00E931FF">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543122">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1FF" w:rsidRDefault="00E931FF">
      <w:r>
        <w:separator/>
      </w:r>
    </w:p>
  </w:footnote>
  <w:footnote w:type="continuationSeparator" w:id="0">
    <w:p w:rsidR="00E931FF" w:rsidRDefault="00E93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FF" w:rsidRPr="008420B2" w:rsidRDefault="006717E0">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Pr>
        <w:color w:val="006699"/>
      </w:rPr>
      <w:t xml:space="preserve"> TST – nº 2</w:t>
    </w:r>
    <w:r w:rsidR="00543122">
      <w:rPr>
        <w:color w:val="006699"/>
      </w:rPr>
      <w:t>10</w:t>
    </w:r>
  </w:p>
  <w:p w:rsidR="00E931FF" w:rsidRDefault="00E931FF"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14:anchorId="2DB92F05" wp14:editId="344DA7A3">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3C0554">
      <w:rPr>
        <w:iCs/>
      </w:rPr>
      <w:t xml:space="preserve"> </w:t>
    </w:r>
    <w:r w:rsidRPr="006717E0">
      <w:rPr>
        <w:i/>
        <w:iCs/>
        <w:color w:val="0070C0"/>
      </w:rPr>
      <w:t xml:space="preserve">Período: </w:t>
    </w:r>
    <w:r w:rsidR="00543122">
      <w:rPr>
        <w:i/>
        <w:iCs/>
        <w:color w:val="0070C0"/>
      </w:rPr>
      <w:t>22</w:t>
    </w:r>
    <w:r w:rsidRPr="006717E0">
      <w:rPr>
        <w:i/>
        <w:iCs/>
        <w:color w:val="0070C0"/>
      </w:rPr>
      <w:t xml:space="preserve"> a </w:t>
    </w:r>
    <w:r w:rsidR="00237380">
      <w:rPr>
        <w:i/>
        <w:iCs/>
        <w:color w:val="0070C0"/>
      </w:rPr>
      <w:t>2</w:t>
    </w:r>
    <w:r w:rsidR="00543122">
      <w:rPr>
        <w:i/>
        <w:iCs/>
        <w:color w:val="0070C0"/>
      </w:rPr>
      <w:t xml:space="preserve">8 </w:t>
    </w:r>
    <w:r w:rsidRPr="006717E0">
      <w:rPr>
        <w:i/>
        <w:iCs/>
        <w:color w:val="0070C0"/>
      </w:rPr>
      <w:t>de outubro</w:t>
    </w:r>
    <w:proofErr w:type="gramStart"/>
    <w:r w:rsidRPr="006717E0">
      <w:rPr>
        <w:i/>
        <w:iCs/>
        <w:color w:val="0070C0"/>
      </w:rPr>
      <w:t xml:space="preserve">  </w:t>
    </w:r>
    <w:proofErr w:type="gramEnd"/>
    <w:r w:rsidRPr="006717E0">
      <w:rPr>
        <w:i/>
        <w:iCs/>
        <w:color w:val="0070C0"/>
      </w:rPr>
      <w:t>de 2019</w:t>
    </w:r>
  </w:p>
  <w:p w:rsidR="00E931FF" w:rsidRPr="005D1DE4" w:rsidRDefault="00E931FF"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FF" w:rsidRDefault="006717E0">
    <w:pPr>
      <w:pStyle w:val="Cabealho"/>
    </w:pPr>
    <w:r>
      <w:rPr>
        <w:noProof/>
      </w:rPr>
      <w:drawing>
        <wp:inline distT="0" distB="0" distL="0" distR="0" wp14:anchorId="6BDA38D6" wp14:editId="2DC35F9B">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rsidR="006717E0" w:rsidRDefault="006717E0">
    <w:pPr>
      <w:pStyle w:val="Cabealho"/>
    </w:pPr>
    <w:r>
      <w:rPr>
        <w:rFonts w:ascii="Bebas Neue Regular" w:hAnsi="Bebas Neue Regular"/>
        <w:noProof/>
        <w:color w:val="006699"/>
        <w:sz w:val="30"/>
      </w:rPr>
      <w:drawing>
        <wp:inline distT="0" distB="0" distL="0" distR="0" wp14:anchorId="3B378C82" wp14:editId="5D1630D7">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6717E0" w:rsidRDefault="006717E0">
    <w:pPr>
      <w:pStyle w:val="Cabealho"/>
    </w:pPr>
  </w:p>
  <w:p w:rsidR="00E931FF" w:rsidRPr="006717E0" w:rsidRDefault="00E931FF" w:rsidP="00075BDB">
    <w:pPr>
      <w:pStyle w:val="Cabealho"/>
      <w:tabs>
        <w:tab w:val="clear" w:pos="4419"/>
        <w:tab w:val="clear" w:pos="8838"/>
        <w:tab w:val="left" w:pos="2793"/>
      </w:tabs>
      <w:jc w:val="right"/>
      <w:rPr>
        <w:b/>
        <w:color w:val="005DA2"/>
        <w:sz w:val="40"/>
        <w:szCs w:val="40"/>
      </w:rPr>
    </w:pPr>
    <w:r>
      <w:tab/>
    </w:r>
    <w:r>
      <w:tab/>
    </w:r>
    <w:r>
      <w:tab/>
    </w:r>
    <w:r>
      <w:tab/>
    </w:r>
    <w:r>
      <w:tab/>
    </w:r>
    <w:r>
      <w:tab/>
    </w:r>
    <w:r w:rsidRPr="006717E0">
      <w:rPr>
        <w:b/>
        <w:color w:val="005DA2"/>
        <w:sz w:val="40"/>
        <w:szCs w:val="40"/>
      </w:rPr>
      <w:t>Nº 2</w:t>
    </w:r>
    <w:r w:rsidR="00543122">
      <w:rPr>
        <w:b/>
        <w:color w:val="005DA2"/>
        <w:sz w:val="40"/>
        <w:szCs w:val="40"/>
      </w:rPr>
      <w:t>10</w:t>
    </w:r>
  </w:p>
  <w:p w:rsidR="00E931FF" w:rsidRPr="006717E0" w:rsidRDefault="00E931FF">
    <w:pPr>
      <w:pStyle w:val="Cabealho"/>
      <w:jc w:val="right"/>
      <w:rPr>
        <w:i/>
        <w:iCs/>
        <w:color w:val="005DA2"/>
        <w:sz w:val="10"/>
        <w:szCs w:val="10"/>
      </w:rPr>
    </w:pPr>
  </w:p>
  <w:p w:rsidR="00E931FF" w:rsidRPr="006717E0" w:rsidRDefault="00E931FF" w:rsidP="009A16E8">
    <w:pPr>
      <w:pStyle w:val="Cabealho"/>
      <w:jc w:val="right"/>
      <w:rPr>
        <w:i/>
        <w:iCs/>
        <w:color w:val="005DA2"/>
      </w:rPr>
    </w:pPr>
    <w:r w:rsidRPr="006717E0">
      <w:rPr>
        <w:i/>
        <w:iCs/>
        <w:color w:val="005DA2"/>
      </w:rPr>
      <w:t xml:space="preserve">Período: </w:t>
    </w:r>
    <w:r w:rsidR="00543122">
      <w:rPr>
        <w:i/>
        <w:iCs/>
        <w:color w:val="005DA2"/>
      </w:rPr>
      <w:t xml:space="preserve">22 </w:t>
    </w:r>
    <w:r w:rsidRPr="006717E0">
      <w:rPr>
        <w:i/>
        <w:iCs/>
        <w:color w:val="005DA2"/>
      </w:rPr>
      <w:t xml:space="preserve">a </w:t>
    </w:r>
    <w:r w:rsidR="00237380">
      <w:rPr>
        <w:i/>
        <w:iCs/>
        <w:color w:val="005DA2"/>
      </w:rPr>
      <w:t>2</w:t>
    </w:r>
    <w:r w:rsidR="00543122">
      <w:rPr>
        <w:i/>
        <w:iCs/>
        <w:color w:val="005DA2"/>
      </w:rPr>
      <w:t>8</w:t>
    </w:r>
    <w:r w:rsidRPr="006717E0">
      <w:rPr>
        <w:i/>
        <w:iCs/>
        <w:color w:val="005DA2"/>
      </w:rPr>
      <w:t xml:space="preserve"> de outubro de 2019</w:t>
    </w:r>
  </w:p>
  <w:p w:rsidR="00E931FF" w:rsidRDefault="00E931FF"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106A93"/>
    <w:rsid w:val="0011575C"/>
    <w:rsid w:val="0011692E"/>
    <w:rsid w:val="00122C2A"/>
    <w:rsid w:val="001257D7"/>
    <w:rsid w:val="001365EE"/>
    <w:rsid w:val="00136E86"/>
    <w:rsid w:val="00137564"/>
    <w:rsid w:val="00137DC1"/>
    <w:rsid w:val="00141630"/>
    <w:rsid w:val="00142C28"/>
    <w:rsid w:val="001444DA"/>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37380"/>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36EDA"/>
    <w:rsid w:val="005405E7"/>
    <w:rsid w:val="00543122"/>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8D7"/>
    <w:rsid w:val="00584F82"/>
    <w:rsid w:val="00591DFA"/>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159C7"/>
    <w:rsid w:val="00720057"/>
    <w:rsid w:val="00721942"/>
    <w:rsid w:val="00722BE7"/>
    <w:rsid w:val="00723134"/>
    <w:rsid w:val="00730CC7"/>
    <w:rsid w:val="00732DF2"/>
    <w:rsid w:val="0073442D"/>
    <w:rsid w:val="00735B8F"/>
    <w:rsid w:val="007403B3"/>
    <w:rsid w:val="00750B85"/>
    <w:rsid w:val="00752730"/>
    <w:rsid w:val="007568FD"/>
    <w:rsid w:val="007614F1"/>
    <w:rsid w:val="007618C5"/>
    <w:rsid w:val="00764066"/>
    <w:rsid w:val="00764D55"/>
    <w:rsid w:val="00766B7B"/>
    <w:rsid w:val="0077600F"/>
    <w:rsid w:val="007760AE"/>
    <w:rsid w:val="00776118"/>
    <w:rsid w:val="00781C77"/>
    <w:rsid w:val="00790F13"/>
    <w:rsid w:val="00793A1C"/>
    <w:rsid w:val="00796745"/>
    <w:rsid w:val="007A28FF"/>
    <w:rsid w:val="007A4009"/>
    <w:rsid w:val="007A4F78"/>
    <w:rsid w:val="007A6AF4"/>
    <w:rsid w:val="007A7125"/>
    <w:rsid w:val="007B0F83"/>
    <w:rsid w:val="007B5D65"/>
    <w:rsid w:val="007C0A4F"/>
    <w:rsid w:val="007D0081"/>
    <w:rsid w:val="007D19FC"/>
    <w:rsid w:val="007D29A1"/>
    <w:rsid w:val="007D2B4E"/>
    <w:rsid w:val="007D2DB0"/>
    <w:rsid w:val="007D2EE9"/>
    <w:rsid w:val="007D469A"/>
    <w:rsid w:val="007D6D94"/>
    <w:rsid w:val="007D6F8C"/>
    <w:rsid w:val="007E069C"/>
    <w:rsid w:val="007E094E"/>
    <w:rsid w:val="007E0EA7"/>
    <w:rsid w:val="007E26A1"/>
    <w:rsid w:val="007E37B1"/>
    <w:rsid w:val="007E3F23"/>
    <w:rsid w:val="007E53A4"/>
    <w:rsid w:val="007F02D5"/>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409D3"/>
    <w:rsid w:val="008420B2"/>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79D9"/>
    <w:rsid w:val="009027C8"/>
    <w:rsid w:val="00910EEF"/>
    <w:rsid w:val="00920B0C"/>
    <w:rsid w:val="00922D1B"/>
    <w:rsid w:val="00930461"/>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40D9C"/>
    <w:rsid w:val="00A51749"/>
    <w:rsid w:val="00A521B6"/>
    <w:rsid w:val="00A56962"/>
    <w:rsid w:val="00A62DD3"/>
    <w:rsid w:val="00A6382F"/>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E555C"/>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188A"/>
    <w:rsid w:val="00E420AA"/>
    <w:rsid w:val="00E428CA"/>
    <w:rsid w:val="00E42D22"/>
    <w:rsid w:val="00E432CC"/>
    <w:rsid w:val="00E47FF2"/>
    <w:rsid w:val="00E50711"/>
    <w:rsid w:val="00E52522"/>
    <w:rsid w:val="00E531C9"/>
    <w:rsid w:val="00E60AD3"/>
    <w:rsid w:val="00E60EDA"/>
    <w:rsid w:val="00E62BBC"/>
    <w:rsid w:val="00E67BAE"/>
    <w:rsid w:val="00E711AE"/>
    <w:rsid w:val="00E716F3"/>
    <w:rsid w:val="00E76789"/>
    <w:rsid w:val="00E774F6"/>
    <w:rsid w:val="00E931F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resumoForm.do?consulta=1&amp;numeroInt=137754&amp;anoInt=2018" TargetMode="External"/><Relationship Id="rId18" Type="http://schemas.openxmlformats.org/officeDocument/2006/relationships/hyperlink" Target="http://www.tst.jus.br/pus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aplicacao4.tst.jus.br/consultaProcessual/resumoForm.do?consulta=1&amp;numeroInt=250831&amp;anoInt=2013" TargetMode="External"/><Relationship Id="rId17" Type="http://schemas.openxmlformats.org/officeDocument/2006/relationships/hyperlink" Target="http://www.tst.jus.br/web/guest/informativo-tst" TargetMode="External"/><Relationship Id="rId2" Type="http://schemas.openxmlformats.org/officeDocument/2006/relationships/numbering" Target="numbering.xml"/><Relationship Id="rId16" Type="http://schemas.openxmlformats.org/officeDocument/2006/relationships/hyperlink" Target="mailto:cjur@tst.jus.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5120&amp;digitoTst=28&amp;anoTst=2015&amp;orgaoTst=5&amp;tribunalTst=09&amp;varaTst=0000&amp;submit=Consulta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plicacao4.tst.jus.br/consultaProcessual/resumoForm.do?consulta=1&amp;numeroInt=211264&amp;anoInt=2016" TargetMode="External"/><Relationship Id="rId23" Type="http://schemas.openxmlformats.org/officeDocument/2006/relationships/fontTable" Target="fontTable.xml"/><Relationship Id="rId10" Type="http://schemas.openxmlformats.org/officeDocument/2006/relationships/hyperlink" Target="http://aplicacao5.tst.jus.br/consultaProcessual/resumoForm.do?consulta=1&amp;numeroInt=184068&amp;anoInt=2013"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5120&amp;digitoTst=28&amp;anoTst=2015&amp;orgaoTst=5&amp;tribunalTst=09&amp;varaTst=0000&amp;submit=Consultar" TargetMode="External"/><Relationship Id="rId14" Type="http://schemas.openxmlformats.org/officeDocument/2006/relationships/hyperlink" Target="http://aplicacao4.tst.jus.br/consultaProcessual/resumoForm.do?consulta=1&amp;numeroInt=12794&amp;anoInt=2019"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B251-6BD0-48DC-B0DA-6E7C25A1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1911</Words>
  <Characters>12100</Characters>
  <Application>Microsoft Office Word</Application>
  <DocSecurity>0</DocSecurity>
  <Lines>100</Lines>
  <Paragraphs>27</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13984</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c037092</cp:lastModifiedBy>
  <cp:revision>4</cp:revision>
  <cp:lastPrinted>2019-10-29T20:50:00Z</cp:lastPrinted>
  <dcterms:created xsi:type="dcterms:W3CDTF">2019-11-06T21:32:00Z</dcterms:created>
  <dcterms:modified xsi:type="dcterms:W3CDTF">2019-11-06T21:42:00Z</dcterms:modified>
</cp:coreProperties>
</file>