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020CD0" w:rsidTr="00E3622E">
        <w:trPr>
          <w:trHeight w:val="537"/>
        </w:trPr>
        <w:tc>
          <w:tcPr>
            <w:tcW w:w="9538" w:type="dxa"/>
            <w:tcBorders>
              <w:top w:val="single" w:sz="4" w:space="0" w:color="auto"/>
            </w:tcBorders>
          </w:tcPr>
          <w:p w:rsidR="00E3622E" w:rsidRPr="00020CD0" w:rsidRDefault="00C26DFB" w:rsidP="00DC50EB">
            <w:pPr>
              <w:pStyle w:val="Cabealho"/>
              <w:tabs>
                <w:tab w:val="clear" w:pos="4419"/>
                <w:tab w:val="clear" w:pos="8838"/>
              </w:tabs>
              <w:jc w:val="both"/>
            </w:pPr>
            <w:r w:rsidRPr="00020CD0">
              <w:t>Este Informativo, elaborado a partir de notas tomadas nas sessões de julgamentos, contém resumos não</w:t>
            </w:r>
            <w:r w:rsidR="00DC50EB" w:rsidRPr="00020CD0">
              <w:t xml:space="preserve"> </w:t>
            </w:r>
            <w:r w:rsidRPr="00020CD0">
              <w:t>oficiais de decisões proferidas pelo Tribunal. A fidelidade dos resumos ao conteúdo efetivo das decisões, embora seja uma das metas perseguidas neste trabalho, somente poderá ser aferida após a sua publicação no Diário</w:t>
            </w:r>
            <w:r w:rsidR="00980944" w:rsidRPr="00020CD0">
              <w:t xml:space="preserve"> Eletrônico </w:t>
            </w:r>
            <w:r w:rsidRPr="00020CD0">
              <w:t>da Justiça</w:t>
            </w:r>
            <w:r w:rsidR="00980944" w:rsidRPr="00020CD0">
              <w:t xml:space="preserve"> do Trabalho</w:t>
            </w:r>
            <w:r w:rsidRPr="00020CD0">
              <w:t>.</w:t>
            </w:r>
          </w:p>
          <w:p w:rsidR="00730CC7" w:rsidRPr="00020CD0" w:rsidRDefault="00730CC7" w:rsidP="00DC50EB">
            <w:pPr>
              <w:pStyle w:val="Cabealho"/>
              <w:tabs>
                <w:tab w:val="clear" w:pos="4419"/>
                <w:tab w:val="clear" w:pos="8838"/>
              </w:tabs>
              <w:jc w:val="both"/>
              <w:rPr>
                <w:sz w:val="10"/>
                <w:szCs w:val="10"/>
              </w:rPr>
            </w:pPr>
          </w:p>
        </w:tc>
      </w:tr>
    </w:tbl>
    <w:p w:rsidR="007D2DB0" w:rsidRPr="008420B2" w:rsidRDefault="007D2DB0" w:rsidP="007D2DB0">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8420B2">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7D2DB0" w:rsidRPr="001444DA" w:rsidRDefault="007D2DB0" w:rsidP="007D2DB0">
      <w:pPr>
        <w:jc w:val="both"/>
        <w:rPr>
          <w:rFonts w:eastAsia="Calibri"/>
          <w:b/>
          <w:i/>
          <w:sz w:val="10"/>
          <w:szCs w:val="10"/>
        </w:rPr>
      </w:pPr>
    </w:p>
    <w:p w:rsidR="001444DA" w:rsidRPr="006E7271" w:rsidRDefault="001444DA" w:rsidP="001444DA">
      <w:pPr>
        <w:shd w:val="clear" w:color="auto" w:fill="FFFFFF"/>
        <w:jc w:val="both"/>
        <w:rPr>
          <w:color w:val="000000"/>
          <w:sz w:val="24"/>
          <w:szCs w:val="24"/>
        </w:rPr>
      </w:pPr>
      <w:r w:rsidRPr="006E7271">
        <w:rPr>
          <w:b/>
          <w:bCs/>
          <w:i/>
          <w:iCs/>
          <w:color w:val="000000"/>
          <w:sz w:val="24"/>
          <w:szCs w:val="24"/>
        </w:rPr>
        <w:t>Professor. Distribuição da carga horária.  Art. 2º, § 4º, da Lei nº 11.738/2008. Descumprimento. Adicional de horas extras devido.  Decisão da SBDI-I que se inclina a contrariar decisões reiteradas de cinco ou mais turmas do Tribunal. Suspensão. Remessa dos autos ao Tribunal Pleno. Art. 72 do RITST.</w:t>
      </w:r>
    </w:p>
    <w:p w:rsidR="001444DA" w:rsidRPr="006E7271" w:rsidRDefault="001444DA" w:rsidP="001444DA">
      <w:pPr>
        <w:shd w:val="clear" w:color="auto" w:fill="FFFFFF"/>
        <w:jc w:val="both"/>
        <w:rPr>
          <w:color w:val="000000"/>
          <w:sz w:val="24"/>
          <w:szCs w:val="24"/>
        </w:rPr>
      </w:pPr>
      <w:r w:rsidRPr="006E7271">
        <w:rPr>
          <w:color w:val="000000"/>
          <w:sz w:val="24"/>
          <w:szCs w:val="24"/>
        </w:rPr>
        <w:t xml:space="preserve">A SBDI-I, em sua composição plena, por unanimidade, acolheu a proposta da Ministra Maria Cristina </w:t>
      </w:r>
      <w:proofErr w:type="spellStart"/>
      <w:r w:rsidRPr="006E7271">
        <w:rPr>
          <w:color w:val="000000"/>
          <w:sz w:val="24"/>
          <w:szCs w:val="24"/>
        </w:rPr>
        <w:t>Irigoyen</w:t>
      </w:r>
      <w:proofErr w:type="spellEnd"/>
      <w:r w:rsidRPr="006E7271">
        <w:rPr>
          <w:color w:val="000000"/>
          <w:sz w:val="24"/>
          <w:szCs w:val="24"/>
        </w:rPr>
        <w:t xml:space="preserve"> </w:t>
      </w:r>
      <w:proofErr w:type="spellStart"/>
      <w:r w:rsidRPr="006E7271">
        <w:rPr>
          <w:color w:val="000000"/>
          <w:sz w:val="24"/>
          <w:szCs w:val="24"/>
        </w:rPr>
        <w:t>Peduzzi</w:t>
      </w:r>
      <w:proofErr w:type="spellEnd"/>
      <w:r w:rsidRPr="006E7271">
        <w:rPr>
          <w:color w:val="000000"/>
          <w:sz w:val="24"/>
          <w:szCs w:val="24"/>
        </w:rPr>
        <w:t xml:space="preserve"> e, nos termos do art. 72 do RITST, decidiu suspender a proclamação do resultado do julgamento e remeter os autos ao Tribunal Pleno para que julgue o recurso de embargos em que se discute se é devido o pagamento do adicional de horas extraordinárias decorrentes do descumprimento do § 4º do art. 2º da Lei nº 11.738/2008, que estabeleceu para os profissionais do magistério público da educação básica o limite máximo de 2/3 da carga horária para o desempenho das atividades de interação com os educandos, destinando o 1/3 restante para </w:t>
      </w:r>
      <w:proofErr w:type="gramStart"/>
      <w:r w:rsidRPr="006E7271">
        <w:rPr>
          <w:color w:val="000000"/>
          <w:sz w:val="24"/>
          <w:szCs w:val="24"/>
        </w:rPr>
        <w:t>as demais atividades extraclasse</w:t>
      </w:r>
      <w:proofErr w:type="gramEnd"/>
      <w:r w:rsidRPr="006E7271">
        <w:rPr>
          <w:color w:val="000000"/>
          <w:sz w:val="24"/>
          <w:szCs w:val="24"/>
        </w:rPr>
        <w:t xml:space="preserve">. Na espécie, os Ministros Luiz Philippe Vieira de Mello Filho, relator, Alberto Luiz </w:t>
      </w:r>
      <w:proofErr w:type="spellStart"/>
      <w:r w:rsidRPr="006E7271">
        <w:rPr>
          <w:color w:val="000000"/>
          <w:sz w:val="24"/>
          <w:szCs w:val="24"/>
        </w:rPr>
        <w:t>Bresciani</w:t>
      </w:r>
      <w:proofErr w:type="spellEnd"/>
      <w:r w:rsidRPr="006E7271">
        <w:rPr>
          <w:color w:val="000000"/>
          <w:sz w:val="24"/>
          <w:szCs w:val="24"/>
        </w:rPr>
        <w:t xml:space="preserve"> de </w:t>
      </w:r>
      <w:proofErr w:type="spellStart"/>
      <w:r w:rsidRPr="006E7271">
        <w:rPr>
          <w:color w:val="000000"/>
          <w:sz w:val="24"/>
          <w:szCs w:val="24"/>
        </w:rPr>
        <w:t>Fontan</w:t>
      </w:r>
      <w:proofErr w:type="spellEnd"/>
      <w:r w:rsidRPr="006E7271">
        <w:rPr>
          <w:color w:val="000000"/>
          <w:sz w:val="24"/>
          <w:szCs w:val="24"/>
        </w:rPr>
        <w:t xml:space="preserve"> Pereira, Walmir Oliveira da Costa, Augusto César Leite de Carvalho, José Roberto Freire Pimenta, Hugo Carlos </w:t>
      </w:r>
      <w:proofErr w:type="spellStart"/>
      <w:r w:rsidRPr="006E7271">
        <w:rPr>
          <w:color w:val="000000"/>
          <w:sz w:val="24"/>
          <w:szCs w:val="24"/>
        </w:rPr>
        <w:t>Scheuermann</w:t>
      </w:r>
      <w:proofErr w:type="spellEnd"/>
      <w:r w:rsidRPr="006E7271">
        <w:rPr>
          <w:color w:val="000000"/>
          <w:sz w:val="24"/>
          <w:szCs w:val="24"/>
        </w:rPr>
        <w:t xml:space="preserve">, Cláudio Mascarenhas Brandão, Alexandre Luiz Ramos, Renato de Lacerda Paiva, </w:t>
      </w:r>
      <w:proofErr w:type="spellStart"/>
      <w:r w:rsidRPr="006E7271">
        <w:rPr>
          <w:color w:val="000000"/>
          <w:sz w:val="24"/>
          <w:szCs w:val="24"/>
        </w:rPr>
        <w:t>Lelio</w:t>
      </w:r>
      <w:proofErr w:type="spellEnd"/>
      <w:r w:rsidRPr="006E7271">
        <w:rPr>
          <w:color w:val="000000"/>
          <w:sz w:val="24"/>
          <w:szCs w:val="24"/>
        </w:rPr>
        <w:t xml:space="preserve"> Bentes Corrêa e Brito Pereira votaram no sentido de conhecer do recurso de embargos, por divergência jurisprudencial, e, no mérito, negar-lhes provimento para manter o acórdão </w:t>
      </w:r>
      <w:proofErr w:type="spellStart"/>
      <w:r w:rsidRPr="006E7271">
        <w:rPr>
          <w:color w:val="000000"/>
          <w:sz w:val="24"/>
          <w:szCs w:val="24"/>
        </w:rPr>
        <w:t>turmário</w:t>
      </w:r>
      <w:proofErr w:type="spellEnd"/>
      <w:r w:rsidRPr="006E7271">
        <w:rPr>
          <w:color w:val="000000"/>
          <w:sz w:val="24"/>
          <w:szCs w:val="24"/>
        </w:rPr>
        <w:t xml:space="preserve"> que, ao não conhecer do recurso de revista do reclamado, manteve a condenação ao pagamento do adicional de horas extras imposto pelo Tribunal Regional. De outra sorte, os Ministros Maria Cristina </w:t>
      </w:r>
      <w:proofErr w:type="spellStart"/>
      <w:r w:rsidRPr="006E7271">
        <w:rPr>
          <w:color w:val="000000"/>
          <w:sz w:val="24"/>
          <w:szCs w:val="24"/>
        </w:rPr>
        <w:t>Irigoyen</w:t>
      </w:r>
      <w:proofErr w:type="spellEnd"/>
      <w:r w:rsidRPr="006E7271">
        <w:rPr>
          <w:color w:val="000000"/>
          <w:sz w:val="24"/>
          <w:szCs w:val="24"/>
        </w:rPr>
        <w:t xml:space="preserve"> </w:t>
      </w:r>
      <w:proofErr w:type="spellStart"/>
      <w:r w:rsidRPr="006E7271">
        <w:rPr>
          <w:color w:val="000000"/>
          <w:sz w:val="24"/>
          <w:szCs w:val="24"/>
        </w:rPr>
        <w:t>Peduzzi</w:t>
      </w:r>
      <w:proofErr w:type="spellEnd"/>
      <w:r w:rsidRPr="006E7271">
        <w:rPr>
          <w:color w:val="000000"/>
          <w:sz w:val="24"/>
          <w:szCs w:val="24"/>
        </w:rPr>
        <w:t>, Márcio Eurico Vitral Amaro e Breno Medeiros votaram pelo provimento dos embargos para excluir da condenação o pagamento do adicional de horas extras e reflexos e julgar improcedentes os pedidos da reclamação trabalhista. </w:t>
      </w:r>
      <w:hyperlink r:id="rId9" w:history="1">
        <w:r w:rsidRPr="009956EB">
          <w:rPr>
            <w:color w:val="0000FF"/>
            <w:sz w:val="24"/>
            <w:szCs w:val="24"/>
            <w:u w:val="single"/>
            <w:lang w:val="en-US"/>
          </w:rPr>
          <w:t>TST-E-RR-10314-74.2015.5.15.0086</w:t>
        </w:r>
      </w:hyperlink>
      <w:r w:rsidRPr="009956EB">
        <w:rPr>
          <w:sz w:val="24"/>
          <w:szCs w:val="24"/>
          <w:u w:val="single"/>
          <w:lang w:val="en-US"/>
        </w:rPr>
        <w:t xml:space="preserve">, SBDI-I, rel. Min. </w:t>
      </w:r>
      <w:proofErr w:type="spellStart"/>
      <w:r w:rsidRPr="009956EB">
        <w:rPr>
          <w:sz w:val="24"/>
          <w:szCs w:val="24"/>
          <w:u w:val="single"/>
          <w:lang w:val="en-US"/>
        </w:rPr>
        <w:t>Luiz</w:t>
      </w:r>
      <w:proofErr w:type="spellEnd"/>
      <w:r w:rsidRPr="009956EB">
        <w:rPr>
          <w:sz w:val="24"/>
          <w:szCs w:val="24"/>
          <w:u w:val="single"/>
          <w:lang w:val="en-US"/>
        </w:rPr>
        <w:t xml:space="preserve"> Philippe Vieira de Mello </w:t>
      </w:r>
      <w:proofErr w:type="spellStart"/>
      <w:r w:rsidRPr="009956EB">
        <w:rPr>
          <w:sz w:val="24"/>
          <w:szCs w:val="24"/>
          <w:u w:val="single"/>
          <w:lang w:val="en-US"/>
        </w:rPr>
        <w:t>Filho</w:t>
      </w:r>
      <w:proofErr w:type="spellEnd"/>
      <w:r w:rsidRPr="009956EB">
        <w:rPr>
          <w:sz w:val="24"/>
          <w:szCs w:val="24"/>
          <w:u w:val="single"/>
          <w:lang w:val="en-US"/>
        </w:rPr>
        <w:t xml:space="preserve">, </w:t>
      </w:r>
      <w:proofErr w:type="gramStart"/>
      <w:r w:rsidRPr="009956EB">
        <w:rPr>
          <w:sz w:val="24"/>
          <w:szCs w:val="24"/>
          <w:u w:val="single"/>
          <w:lang w:val="en-US"/>
        </w:rPr>
        <w:t>6.6.2019</w:t>
      </w:r>
      <w:proofErr w:type="gramEnd"/>
    </w:p>
    <w:p w:rsidR="001444DA" w:rsidRPr="006E7271" w:rsidRDefault="001444DA" w:rsidP="001444DA">
      <w:pPr>
        <w:shd w:val="clear" w:color="auto" w:fill="FFFFFF"/>
        <w:jc w:val="both"/>
        <w:rPr>
          <w:color w:val="000000"/>
        </w:rPr>
      </w:pPr>
      <w:r w:rsidRPr="006E7271">
        <w:rPr>
          <w:b/>
          <w:bCs/>
          <w:i/>
          <w:iCs/>
          <w:color w:val="000000"/>
          <w:sz w:val="24"/>
          <w:szCs w:val="24"/>
        </w:rPr>
        <w:t> </w:t>
      </w:r>
    </w:p>
    <w:p w:rsidR="001444DA" w:rsidRPr="006E7271" w:rsidRDefault="001444DA" w:rsidP="001444DA">
      <w:pPr>
        <w:shd w:val="clear" w:color="auto" w:fill="FFFFFF"/>
        <w:jc w:val="both"/>
        <w:rPr>
          <w:color w:val="000000"/>
          <w:sz w:val="24"/>
          <w:szCs w:val="24"/>
        </w:rPr>
      </w:pPr>
      <w:r w:rsidRPr="006E7271">
        <w:rPr>
          <w:b/>
          <w:bCs/>
          <w:i/>
          <w:iCs/>
          <w:color w:val="000000"/>
          <w:sz w:val="24"/>
          <w:szCs w:val="24"/>
        </w:rPr>
        <w:t>Competência territorial. Domicílio do reclamante. Possibilidade. Desnecessidade de coincidir com o local da prestação de serviços ou com o da contratação ou arregimentação. Empresa de atuação nacional. Aplicação ampliativa do art. 651, </w:t>
      </w:r>
      <w:r w:rsidRPr="006E7271">
        <w:rPr>
          <w:i/>
          <w:iCs/>
          <w:color w:val="000000"/>
          <w:sz w:val="24"/>
          <w:szCs w:val="24"/>
        </w:rPr>
        <w:t>caput</w:t>
      </w:r>
      <w:r w:rsidRPr="006E7271">
        <w:rPr>
          <w:b/>
          <w:bCs/>
          <w:i/>
          <w:iCs/>
          <w:color w:val="000000"/>
          <w:sz w:val="24"/>
          <w:szCs w:val="24"/>
        </w:rPr>
        <w:t> e § 3º, da CLT.</w:t>
      </w:r>
    </w:p>
    <w:p w:rsidR="001444DA" w:rsidRDefault="001444DA" w:rsidP="001444DA">
      <w:pPr>
        <w:shd w:val="clear" w:color="auto" w:fill="FFFFFF"/>
        <w:jc w:val="both"/>
        <w:rPr>
          <w:szCs w:val="24"/>
        </w:rPr>
      </w:pPr>
      <w:r w:rsidRPr="006E7271">
        <w:rPr>
          <w:color w:val="000000"/>
          <w:sz w:val="24"/>
          <w:szCs w:val="24"/>
        </w:rPr>
        <w:t>É possível reconhecer a competência territorial do foro do domicílio do reclamante quando a empresa contratante tiver atuação em âmbito nacional, não havendo necessidade de coincidir o domicilio do empregado com o local da prestação de serviço ou com o da contratação ou arregimentação. Trata-se de interpretação ampliativa dos critérios objetivos do art. 651, </w:t>
      </w:r>
      <w:r w:rsidRPr="006E7271">
        <w:rPr>
          <w:i/>
          <w:iCs/>
          <w:color w:val="000000"/>
          <w:sz w:val="24"/>
          <w:szCs w:val="24"/>
        </w:rPr>
        <w:t>caput, </w:t>
      </w:r>
      <w:r w:rsidRPr="006E7271">
        <w:rPr>
          <w:color w:val="000000"/>
          <w:sz w:val="24"/>
          <w:szCs w:val="24"/>
        </w:rPr>
        <w:t>e § 3º, da CLT, de modo a garantir o acesso amplo à Justiça sem prejuízo do direito de defesa. No caso, restou consignado que a contratação do reclamante pela Petrobras, empresa notoriamente de atuação nacional, se deu em Salvador/BA, com prestação de serviços no Estado da Bahia e em Macaé/RJ, mas a ação foi ajuizada no domicílio do empregado, em Aracaju/SE, onde também se localiza uma das sedes da empresa reclamada. Sob esse entendimento, a SBDI-I, por unanimidade, conheceu dos embargos, por divergência jurisprudencial, e, no mérito, por maioria, negou-lhes provimento. Vencidos os Ministros Márcio Eurico Vitral Amaro, relator, Walmir Oliveira da Costa e Alexandre Luiz Ramos. </w:t>
      </w:r>
      <w:hyperlink r:id="rId10" w:history="1">
        <w:r w:rsidRPr="005250AE">
          <w:rPr>
            <w:rStyle w:val="Hyperlink"/>
            <w:sz w:val="24"/>
            <w:szCs w:val="24"/>
          </w:rPr>
          <w:t>TST-E-ED-RR-278-87.2015.5.20.0003</w:t>
        </w:r>
      </w:hyperlink>
      <w:r w:rsidRPr="00B4525E">
        <w:rPr>
          <w:sz w:val="24"/>
          <w:szCs w:val="24"/>
          <w:u w:val="single"/>
        </w:rPr>
        <w:t>, SBDI-I, rel. Min.</w:t>
      </w:r>
      <w:r>
        <w:rPr>
          <w:sz w:val="24"/>
          <w:szCs w:val="24"/>
          <w:u w:val="single"/>
        </w:rPr>
        <w:t xml:space="preserve"> </w:t>
      </w:r>
      <w:r w:rsidRPr="001D5AB3">
        <w:rPr>
          <w:sz w:val="24"/>
          <w:szCs w:val="24"/>
          <w:u w:val="single"/>
        </w:rPr>
        <w:t>Márcio Eurico Vitral Amaro</w:t>
      </w:r>
      <w:r>
        <w:rPr>
          <w:sz w:val="24"/>
          <w:szCs w:val="24"/>
          <w:u w:val="single"/>
        </w:rPr>
        <w:t xml:space="preserve">, red. p/ acórdão Min. </w:t>
      </w:r>
      <w:r w:rsidRPr="001D5AB3">
        <w:rPr>
          <w:sz w:val="24"/>
          <w:szCs w:val="24"/>
          <w:u w:val="single"/>
        </w:rPr>
        <w:t>Breno Medeiros</w:t>
      </w:r>
      <w:r w:rsidRPr="00B4525E">
        <w:rPr>
          <w:sz w:val="24"/>
          <w:szCs w:val="24"/>
          <w:u w:val="single"/>
        </w:rPr>
        <w:t xml:space="preserve">, </w:t>
      </w:r>
      <w:r>
        <w:rPr>
          <w:sz w:val="24"/>
          <w:szCs w:val="24"/>
          <w:u w:val="single"/>
        </w:rPr>
        <w:t xml:space="preserve">6.6.2019 </w:t>
      </w:r>
      <w:r w:rsidRPr="00CC4B1F">
        <w:rPr>
          <w:szCs w:val="24"/>
        </w:rPr>
        <w:t>(Cf. Informativo</w:t>
      </w:r>
      <w:r>
        <w:rPr>
          <w:szCs w:val="24"/>
        </w:rPr>
        <w:t>s</w:t>
      </w:r>
      <w:r w:rsidRPr="00CC4B1F">
        <w:rPr>
          <w:szCs w:val="24"/>
        </w:rPr>
        <w:t xml:space="preserve"> TST </w:t>
      </w:r>
      <w:proofErr w:type="spellStart"/>
      <w:r w:rsidRPr="00CC4B1F">
        <w:rPr>
          <w:szCs w:val="24"/>
        </w:rPr>
        <w:t>nº</w:t>
      </w:r>
      <w:r w:rsidRPr="00CC4B1F">
        <w:rPr>
          <w:szCs w:val="24"/>
          <w:vertAlign w:val="superscript"/>
        </w:rPr>
        <w:t>s</w:t>
      </w:r>
      <w:proofErr w:type="spellEnd"/>
      <w:r>
        <w:rPr>
          <w:szCs w:val="24"/>
        </w:rPr>
        <w:t xml:space="preserve"> </w:t>
      </w:r>
      <w:r w:rsidRPr="00CC4B1F">
        <w:rPr>
          <w:szCs w:val="24"/>
        </w:rPr>
        <w:t xml:space="preserve"> </w:t>
      </w:r>
      <w:hyperlink r:id="rId11" w:history="1">
        <w:r w:rsidRPr="00CC4B1F">
          <w:rPr>
            <w:rStyle w:val="Hyperlink"/>
            <w:szCs w:val="24"/>
          </w:rPr>
          <w:t>146</w:t>
        </w:r>
      </w:hyperlink>
      <w:r>
        <w:rPr>
          <w:szCs w:val="24"/>
        </w:rPr>
        <w:t xml:space="preserve">,  </w:t>
      </w:r>
      <w:hyperlink r:id="rId12" w:history="1">
        <w:r w:rsidRPr="00CC4B1F">
          <w:rPr>
            <w:rStyle w:val="Hyperlink"/>
            <w:szCs w:val="24"/>
          </w:rPr>
          <w:t>156</w:t>
        </w:r>
      </w:hyperlink>
      <w:proofErr w:type="gramStart"/>
      <w:r w:rsidRPr="00CC4B1F">
        <w:rPr>
          <w:szCs w:val="24"/>
        </w:rPr>
        <w:t>)</w:t>
      </w:r>
      <w:proofErr w:type="gramEnd"/>
    </w:p>
    <w:p w:rsidR="001444DA" w:rsidRPr="006E7271" w:rsidRDefault="001444DA" w:rsidP="001444DA">
      <w:pPr>
        <w:shd w:val="clear" w:color="auto" w:fill="FFFFFF"/>
        <w:jc w:val="both"/>
        <w:rPr>
          <w:color w:val="000000"/>
          <w:sz w:val="24"/>
          <w:szCs w:val="24"/>
        </w:rPr>
      </w:pPr>
      <w:r w:rsidRPr="006E7271">
        <w:rPr>
          <w:b/>
          <w:bCs/>
          <w:i/>
          <w:iCs/>
          <w:color w:val="000000"/>
          <w:sz w:val="24"/>
          <w:szCs w:val="24"/>
        </w:rPr>
        <w:lastRenderedPageBreak/>
        <w:t> Alegação de julgamento </w:t>
      </w:r>
      <w:r w:rsidRPr="006E7271">
        <w:rPr>
          <w:i/>
          <w:iCs/>
          <w:color w:val="000000"/>
          <w:sz w:val="24"/>
          <w:szCs w:val="24"/>
        </w:rPr>
        <w:t>citra petita </w:t>
      </w:r>
      <w:r w:rsidRPr="006E7271">
        <w:rPr>
          <w:b/>
          <w:bCs/>
          <w:i/>
          <w:iCs/>
          <w:color w:val="000000"/>
          <w:sz w:val="24"/>
          <w:szCs w:val="24"/>
        </w:rPr>
        <w:t>pelo Tribunal Regional.</w:t>
      </w:r>
      <w:r w:rsidRPr="006E7271">
        <w:rPr>
          <w:b/>
          <w:bCs/>
          <w:color w:val="000000"/>
          <w:sz w:val="24"/>
          <w:szCs w:val="24"/>
        </w:rPr>
        <w:t> </w:t>
      </w:r>
      <w:r w:rsidRPr="006E7271">
        <w:rPr>
          <w:b/>
          <w:bCs/>
          <w:i/>
          <w:iCs/>
          <w:color w:val="000000"/>
          <w:sz w:val="24"/>
          <w:szCs w:val="24"/>
        </w:rPr>
        <w:t>Análise da petição inicial em sede de recurso de revista. Possibilidade. Contrariedade à Súmula nº 126 do TST. Não configuração.</w:t>
      </w:r>
    </w:p>
    <w:p w:rsidR="001444DA" w:rsidRPr="006E7271" w:rsidRDefault="001444DA" w:rsidP="001444DA">
      <w:pPr>
        <w:shd w:val="clear" w:color="auto" w:fill="FFFFFF"/>
        <w:jc w:val="both"/>
        <w:rPr>
          <w:color w:val="000000"/>
          <w:sz w:val="24"/>
          <w:szCs w:val="24"/>
        </w:rPr>
      </w:pPr>
      <w:r w:rsidRPr="006E7271">
        <w:rPr>
          <w:color w:val="000000"/>
          <w:sz w:val="24"/>
          <w:szCs w:val="24"/>
        </w:rPr>
        <w:t>A análise de petição inicial por Turma do TST, para fins de apreciação de recurso de revista em que há alegação de julgamento </w:t>
      </w:r>
      <w:r w:rsidRPr="006E7271">
        <w:rPr>
          <w:i/>
          <w:iCs/>
          <w:color w:val="000000"/>
          <w:sz w:val="24"/>
          <w:szCs w:val="24"/>
        </w:rPr>
        <w:t>citra petita </w:t>
      </w:r>
      <w:r w:rsidRPr="006E7271">
        <w:rPr>
          <w:color w:val="000000"/>
          <w:sz w:val="24"/>
          <w:szCs w:val="24"/>
        </w:rPr>
        <w:t>pelo Tribunal Regional</w:t>
      </w:r>
      <w:r w:rsidRPr="006E7271">
        <w:rPr>
          <w:i/>
          <w:iCs/>
          <w:color w:val="000000"/>
          <w:sz w:val="24"/>
          <w:szCs w:val="24"/>
        </w:rPr>
        <w:t>,</w:t>
      </w:r>
      <w:r w:rsidRPr="006E7271">
        <w:rPr>
          <w:color w:val="000000"/>
          <w:sz w:val="24"/>
          <w:szCs w:val="24"/>
        </w:rPr>
        <w:t xml:space="preserve"> não contraria a Súmula n° 126 do TST, pois o confronto entre a exordial e o decidido pelo TRT é a única forma de examinar a referida alegação. Ademais, a peça inaugural do processo não constitui fato e nem prova dos autos, mas é verdadeiro ato processual cuja análise não se inclui na proibição de revolvimento de fatos e provas. No caso, a 6ª Turma do TST, ao entender que na causa de pedir foi narrada </w:t>
      </w:r>
      <w:proofErr w:type="gramStart"/>
      <w:r w:rsidRPr="006E7271">
        <w:rPr>
          <w:color w:val="000000"/>
          <w:sz w:val="24"/>
          <w:szCs w:val="24"/>
        </w:rPr>
        <w:t>a</w:t>
      </w:r>
      <w:proofErr w:type="gramEnd"/>
      <w:r w:rsidRPr="006E7271">
        <w:rPr>
          <w:color w:val="000000"/>
          <w:sz w:val="24"/>
          <w:szCs w:val="24"/>
        </w:rPr>
        <w:t xml:space="preserve"> prestação de horas extras sem concessão do intervalo intrajornada e que no pedido constou o pagamento de horas extras em razão da inobservância do referido intervalo, conheceu do recurso de revista interposto pelo reclamante por violação dos </w:t>
      </w:r>
      <w:proofErr w:type="spellStart"/>
      <w:r w:rsidRPr="006E7271">
        <w:rPr>
          <w:color w:val="000000"/>
          <w:sz w:val="24"/>
          <w:szCs w:val="24"/>
        </w:rPr>
        <w:t>arts</w:t>
      </w:r>
      <w:proofErr w:type="spellEnd"/>
      <w:r w:rsidRPr="006E7271">
        <w:rPr>
          <w:color w:val="000000"/>
          <w:sz w:val="24"/>
          <w:szCs w:val="24"/>
        </w:rPr>
        <w:t>. 128 e 460 do CPC de 1973 e, no mérito, deu-lhes provimento para determinar o retorno dos autos ao TRT para proferir novo julgamento quanto ao pedido de horas extras decorrentes da concessão parcial do intervalo intrajornada. Dessa decisão, a reclamada interpôs embargos, alegando haver contrariedade à Súmula nº 126 do TST. Diante da negativa de seguimento ao recurso, a empregadora, em agravo, reiterou a alegada contrariedade, ao fundamento de que a Turma partiu de premissa diversa da registrada pelo TRT, que consignara não haver na petição inicial tese de que o intervalo intrajornada deveria ser de uma hora, considerada a prorrogação habitual da jornada. Todavia, entendendo </w:t>
      </w:r>
      <w:r w:rsidRPr="006E7271">
        <w:rPr>
          <w:color w:val="00008B"/>
          <w:sz w:val="24"/>
          <w:szCs w:val="24"/>
        </w:rPr>
        <w:t>ter</w:t>
      </w:r>
      <w:r w:rsidRPr="006E7271">
        <w:rPr>
          <w:color w:val="000000"/>
          <w:sz w:val="24"/>
          <w:szCs w:val="24"/>
        </w:rPr>
        <w:t> havido mera análise da petição inicial, a SBDI-I, por unanimidade, negou provimento ao agravo para manter a decisão que denegara seguimento aos embargos. </w:t>
      </w:r>
      <w:hyperlink r:id="rId13" w:history="1">
        <w:r w:rsidRPr="00EE151F">
          <w:rPr>
            <w:rStyle w:val="Hyperlink"/>
            <w:sz w:val="24"/>
          </w:rPr>
          <w:t>TST-Ag-E-ED-ARR-1072-73.2014.5.03.0179</w:t>
        </w:r>
      </w:hyperlink>
      <w:r w:rsidRPr="00EE151F">
        <w:rPr>
          <w:sz w:val="24"/>
          <w:u w:val="single"/>
        </w:rPr>
        <w:t xml:space="preserve">, SBDI-I, rel. Min. José Roberto Freire Pimenta, </w:t>
      </w:r>
      <w:proofErr w:type="gramStart"/>
      <w:r w:rsidRPr="00EE151F">
        <w:rPr>
          <w:sz w:val="24"/>
          <w:u w:val="single"/>
        </w:rPr>
        <w:t>6.6.2019</w:t>
      </w:r>
      <w:proofErr w:type="gramEnd"/>
    </w:p>
    <w:p w:rsidR="001444DA" w:rsidRPr="001F3CD3" w:rsidRDefault="001444DA" w:rsidP="00883391">
      <w:pPr>
        <w:adjustRightInd w:val="0"/>
        <w:jc w:val="both"/>
        <w:rPr>
          <w:b/>
          <w:bCs/>
          <w:i/>
          <w:iCs/>
        </w:rPr>
      </w:pPr>
    </w:p>
    <w:p w:rsidR="009A76A2" w:rsidRPr="009A76A2"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9A76A2">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TURMAS</w:t>
      </w:r>
    </w:p>
    <w:p w:rsidR="009A76A2" w:rsidRPr="00FA56D7" w:rsidRDefault="009A76A2" w:rsidP="009A76A2">
      <w:pPr>
        <w:pStyle w:val="Cabealho"/>
        <w:tabs>
          <w:tab w:val="clear" w:pos="4419"/>
          <w:tab w:val="clear" w:pos="8838"/>
        </w:tabs>
        <w:jc w:val="center"/>
        <w:rPr>
          <w:i/>
        </w:rPr>
      </w:pPr>
      <w:r w:rsidRPr="00FA56D7">
        <w:rPr>
          <w:i/>
        </w:rPr>
        <w:t xml:space="preserve">Transcrição de ementas selecionadas </w:t>
      </w:r>
      <w:r w:rsidR="009D2FB1">
        <w:rPr>
          <w:i/>
        </w:rPr>
        <w:t>n</w:t>
      </w:r>
      <w:r w:rsidRPr="00FA56D7">
        <w:rPr>
          <w:i/>
        </w:rPr>
        <w:t>as sessões de julgamento das Turmas do TST.</w:t>
      </w:r>
    </w:p>
    <w:p w:rsidR="009B479C" w:rsidRPr="001F3CD3" w:rsidRDefault="009B479C" w:rsidP="009B479C">
      <w:pPr>
        <w:jc w:val="both"/>
        <w:rPr>
          <w:rFonts w:eastAsia="Calibri"/>
          <w:b/>
          <w:i/>
        </w:rPr>
      </w:pPr>
    </w:p>
    <w:p w:rsidR="001444DA" w:rsidRPr="001F3CD3" w:rsidRDefault="001444DA" w:rsidP="001444DA">
      <w:pPr>
        <w:shd w:val="clear" w:color="auto" w:fill="FFFFFF"/>
        <w:jc w:val="both"/>
        <w:rPr>
          <w:b/>
          <w:bCs/>
          <w:i/>
          <w:iCs/>
          <w:color w:val="000000"/>
          <w:sz w:val="24"/>
          <w:szCs w:val="24"/>
        </w:rPr>
      </w:pPr>
      <w:bookmarkStart w:id="0" w:name="tempEmenta"/>
      <w:r w:rsidRPr="006E7271">
        <w:rPr>
          <w:b/>
          <w:bCs/>
          <w:i/>
          <w:iCs/>
          <w:color w:val="000000"/>
          <w:sz w:val="24"/>
          <w:szCs w:val="24"/>
        </w:rPr>
        <w:t>Terceirização. Empresa de telefonia. Tese fixada pelo STF em repercussão geral. </w:t>
      </w:r>
      <w:proofErr w:type="spellStart"/>
      <w:r w:rsidRPr="006E7271">
        <w:rPr>
          <w:i/>
          <w:iCs/>
          <w:color w:val="000000"/>
          <w:sz w:val="24"/>
          <w:szCs w:val="24"/>
        </w:rPr>
        <w:t>Distinguishing</w:t>
      </w:r>
      <w:proofErr w:type="spellEnd"/>
      <w:r w:rsidRPr="006E7271">
        <w:rPr>
          <w:b/>
          <w:bCs/>
          <w:i/>
          <w:iCs/>
          <w:color w:val="000000"/>
          <w:sz w:val="24"/>
          <w:szCs w:val="24"/>
        </w:rPr>
        <w:t>.</w:t>
      </w:r>
    </w:p>
    <w:p w:rsidR="001444DA" w:rsidRPr="006E7271" w:rsidRDefault="001444DA" w:rsidP="001444DA">
      <w:pPr>
        <w:shd w:val="clear" w:color="auto" w:fill="FFFFFF"/>
        <w:jc w:val="both"/>
        <w:rPr>
          <w:color w:val="000000"/>
        </w:rPr>
      </w:pPr>
    </w:p>
    <w:p w:rsidR="001F3CD3" w:rsidRPr="001F3CD3" w:rsidRDefault="001444DA" w:rsidP="001F3CD3">
      <w:pPr>
        <w:pStyle w:val="Ementa"/>
        <w:ind w:left="567"/>
        <w:outlineLvl w:val="0"/>
        <w:rPr>
          <w:rFonts w:ascii="Times New Roman" w:hAnsi="Times New Roman" w:cs="Times New Roman"/>
          <w:color w:val="auto"/>
          <w:lang w:val="pt-BR"/>
        </w:rPr>
      </w:pPr>
      <w:bookmarkStart w:id="1" w:name="Ementa"/>
      <w:bookmarkEnd w:id="1"/>
      <w:r w:rsidRPr="006E7271">
        <w:rPr>
          <w:rFonts w:ascii="Times New Roman" w:hAnsi="Times New Roman" w:cs="Times New Roman"/>
          <w:i/>
          <w:iCs/>
          <w:color w:val="000000"/>
          <w:lang w:val="pt-BR"/>
        </w:rPr>
        <w:t xml:space="preserve"> “RECURSO DE REVISTA. RECURSO EXTRAORDINÁRIO. REPERCUSSÃO GERAL. RETRATAÇÃO. ART. 1.039 DO CPC. TERCEIRIZAÇÃO. TÉCNICO EM COMUTAÇÃO. EMPRESA DE TELEFONIA. TESE FIXADA PELO SUPREMO TRIBUNAL FEDERAL. ADPF 324, RE 928.252 E RE 791.932. DISTINGUISHING. SUBORDINAÇÃO DIRETA AO TOMADOR DOS SERVIÇOS. VÍNCULO DE EMPREGO CARACTERIZADO. JUÍZO DE RETRATAÇÃO NÃO EXERCIDO. </w:t>
      </w:r>
      <w:proofErr w:type="gramStart"/>
      <w:r w:rsidRPr="006E7271">
        <w:rPr>
          <w:rFonts w:ascii="Times New Roman" w:hAnsi="Times New Roman" w:cs="Times New Roman"/>
          <w:i/>
          <w:iCs/>
          <w:color w:val="000000"/>
          <w:lang w:val="pt-BR"/>
        </w:rPr>
        <w:t>1</w:t>
      </w:r>
      <w:proofErr w:type="gramEnd"/>
      <w:r w:rsidRPr="006E7271">
        <w:rPr>
          <w:rFonts w:ascii="Times New Roman" w:hAnsi="Times New Roman" w:cs="Times New Roman"/>
          <w:i/>
          <w:iCs/>
          <w:color w:val="000000"/>
          <w:lang w:val="pt-BR"/>
        </w:rPr>
        <w:t>. Em que pese o posicionamento firmado pelo Supremo Tribunal Federal no julgamento da ADPF 324 e do RE 958.252 e do RE 791.932, de repercussão geral, no sentido de que "é lícita a terceirização ou qualquer outra forma de divisão do trabalho entre pessoas jurídicas distintas, independentemente do objeto social das empresas envolvidas, mantida a responsabilidade subsidiária da empresa contratante", no caso, verifica-se distinção fático-jurídica (</w:t>
      </w:r>
      <w:proofErr w:type="spellStart"/>
      <w:r w:rsidRPr="006E7271">
        <w:rPr>
          <w:rFonts w:ascii="Times New Roman" w:hAnsi="Times New Roman" w:cs="Times New Roman"/>
          <w:i/>
          <w:iCs/>
          <w:color w:val="000000"/>
          <w:lang w:val="pt-BR"/>
        </w:rPr>
        <w:t>distinguishing</w:t>
      </w:r>
      <w:proofErr w:type="spellEnd"/>
      <w:r w:rsidRPr="006E7271">
        <w:rPr>
          <w:rFonts w:ascii="Times New Roman" w:hAnsi="Times New Roman" w:cs="Times New Roman"/>
          <w:i/>
          <w:iCs/>
          <w:color w:val="000000"/>
          <w:lang w:val="pt-BR"/>
        </w:rPr>
        <w:t>) em relação à tese ali fixada, uma vez que o reconhecimento do vínculo de emprego não resultou apenas do labor do autor em atividade-fim da tomadora dos serviços, mas da constatação da "presença de subordinação do autor em face da primeira ré, para quem prestava serviços diretamente, utilizando-se do espaço e equipamentos desta, nos mesmos moldes que antes fazia, quando era diretamente contratado pela primeira ré até o ano de 1999". 2. Verifica-se, assim, que o caso dos autos não se amolda à hipótese dirimida pelo STF, razão pela qual não há retratação a ser feita nos moldes do art. 1039 do CPC/2015 (art. 543-B, § 3º, CPC/73). 3. Impõe-se, nesse contexto, a manutenção do acórdão em que não conhecido o recurso de revista da primeira reclamada. Acórdão mantido.”</w:t>
      </w:r>
      <w:r w:rsidRPr="006E7271">
        <w:rPr>
          <w:rFonts w:ascii="Times New Roman" w:hAnsi="Times New Roman" w:cs="Times New Roman"/>
          <w:color w:val="000000"/>
          <w:lang w:val="pt-BR"/>
        </w:rPr>
        <w:t> </w:t>
      </w:r>
      <w:r w:rsidRPr="001F3CD3">
        <w:rPr>
          <w:rFonts w:ascii="Times New Roman" w:hAnsi="Times New Roman" w:cs="Times New Roman"/>
          <w:lang w:val="pt-BR"/>
        </w:rPr>
        <w:t>(</w:t>
      </w:r>
      <w:hyperlink r:id="rId14" w:history="1">
        <w:r w:rsidRPr="001F3CD3">
          <w:rPr>
            <w:rStyle w:val="Hyperlink"/>
            <w:rFonts w:ascii="Times New Roman" w:hAnsi="Times New Roman"/>
            <w:lang w:val="pt-BR"/>
          </w:rPr>
          <w:t>TST-RR-62900-79.2007.5.09.0072</w:t>
        </w:r>
      </w:hyperlink>
      <w:r w:rsidRPr="001F3CD3">
        <w:rPr>
          <w:rFonts w:ascii="Times New Roman" w:hAnsi="Times New Roman" w:cs="Times New Roman"/>
          <w:color w:val="auto"/>
          <w:lang w:val="pt-BR"/>
        </w:rPr>
        <w:t xml:space="preserve">, 1ª Turma, rel. Min. Hugo Carlos </w:t>
      </w:r>
      <w:proofErr w:type="spellStart"/>
      <w:r w:rsidRPr="001F3CD3">
        <w:rPr>
          <w:rFonts w:ascii="Times New Roman" w:hAnsi="Times New Roman" w:cs="Times New Roman"/>
          <w:color w:val="auto"/>
          <w:lang w:val="pt-BR"/>
        </w:rPr>
        <w:t>Scheuermann</w:t>
      </w:r>
      <w:proofErr w:type="spellEnd"/>
      <w:r w:rsidRPr="001F3CD3">
        <w:rPr>
          <w:rFonts w:ascii="Times New Roman" w:hAnsi="Times New Roman" w:cs="Times New Roman"/>
          <w:color w:val="auto"/>
          <w:lang w:val="pt-BR"/>
        </w:rPr>
        <w:t>, julgado em 5.6.2019)</w:t>
      </w:r>
    </w:p>
    <w:p w:rsidR="001F3CD3" w:rsidRDefault="001444DA" w:rsidP="001F3CD3">
      <w:pPr>
        <w:pStyle w:val="Ementa"/>
        <w:ind w:left="567"/>
        <w:outlineLvl w:val="0"/>
        <w:rPr>
          <w:rFonts w:ascii="Times New Roman" w:hAnsi="Times New Roman" w:cs="Times New Roman"/>
          <w:b/>
          <w:bCs/>
          <w:i/>
          <w:iCs/>
          <w:color w:val="000000"/>
          <w:lang w:val="pt-BR"/>
        </w:rPr>
      </w:pPr>
      <w:r w:rsidRPr="006E7271">
        <w:rPr>
          <w:rFonts w:ascii="Times New Roman" w:hAnsi="Times New Roman" w:cs="Times New Roman"/>
          <w:b/>
          <w:bCs/>
          <w:i/>
          <w:iCs/>
          <w:color w:val="000000"/>
          <w:lang w:val="pt-BR"/>
        </w:rPr>
        <w:t> </w:t>
      </w:r>
    </w:p>
    <w:p w:rsidR="001F3CD3" w:rsidRDefault="001F3CD3" w:rsidP="001F3CD3">
      <w:pPr>
        <w:pStyle w:val="Ementa"/>
        <w:ind w:left="567"/>
        <w:outlineLvl w:val="0"/>
        <w:rPr>
          <w:rFonts w:ascii="Times New Roman" w:hAnsi="Times New Roman" w:cs="Times New Roman"/>
          <w:b/>
          <w:bCs/>
          <w:i/>
          <w:iCs/>
          <w:color w:val="000000"/>
          <w:lang w:val="pt-BR"/>
        </w:rPr>
      </w:pPr>
    </w:p>
    <w:p w:rsidR="001F3CD3" w:rsidRDefault="001F3CD3" w:rsidP="001F3CD3">
      <w:pPr>
        <w:pStyle w:val="Ementa"/>
        <w:ind w:left="567"/>
        <w:outlineLvl w:val="0"/>
        <w:rPr>
          <w:rFonts w:ascii="Times New Roman" w:hAnsi="Times New Roman" w:cs="Times New Roman"/>
          <w:b/>
          <w:bCs/>
          <w:i/>
          <w:iCs/>
          <w:color w:val="000000"/>
          <w:lang w:val="pt-BR"/>
        </w:rPr>
      </w:pPr>
    </w:p>
    <w:p w:rsidR="001F3CD3" w:rsidRDefault="001F3CD3" w:rsidP="001F3CD3">
      <w:pPr>
        <w:pStyle w:val="Ementa"/>
        <w:ind w:left="567"/>
        <w:outlineLvl w:val="0"/>
        <w:rPr>
          <w:rFonts w:ascii="Times New Roman" w:hAnsi="Times New Roman" w:cs="Times New Roman"/>
          <w:b/>
          <w:bCs/>
          <w:i/>
          <w:iCs/>
          <w:color w:val="000000"/>
          <w:lang w:val="pt-BR"/>
        </w:rPr>
      </w:pPr>
    </w:p>
    <w:p w:rsidR="001F3CD3" w:rsidRPr="006E7271" w:rsidRDefault="001F3CD3" w:rsidP="001F3CD3">
      <w:pPr>
        <w:pStyle w:val="Ementa"/>
        <w:ind w:left="567"/>
        <w:outlineLvl w:val="0"/>
        <w:rPr>
          <w:rFonts w:ascii="Times New Roman" w:hAnsi="Times New Roman" w:cs="Times New Roman"/>
          <w:color w:val="000000"/>
          <w:sz w:val="20"/>
          <w:szCs w:val="20"/>
        </w:rPr>
      </w:pPr>
    </w:p>
    <w:p w:rsidR="001444DA" w:rsidRPr="001444DA" w:rsidRDefault="001444DA" w:rsidP="001444DA">
      <w:pPr>
        <w:shd w:val="clear" w:color="auto" w:fill="FFFFFF"/>
        <w:jc w:val="both"/>
        <w:rPr>
          <w:b/>
          <w:bCs/>
          <w:i/>
          <w:iCs/>
          <w:color w:val="000000"/>
          <w:sz w:val="24"/>
          <w:szCs w:val="24"/>
        </w:rPr>
      </w:pPr>
      <w:r w:rsidRPr="006E7271">
        <w:rPr>
          <w:b/>
          <w:bCs/>
          <w:i/>
          <w:iCs/>
          <w:color w:val="000000"/>
          <w:sz w:val="24"/>
          <w:szCs w:val="24"/>
        </w:rPr>
        <w:t>Categoria diferenciada. Representatividade sindical.</w:t>
      </w:r>
    </w:p>
    <w:p w:rsidR="001F3CD3" w:rsidRPr="006E7271" w:rsidRDefault="001F3CD3" w:rsidP="001444DA">
      <w:pPr>
        <w:shd w:val="clear" w:color="auto" w:fill="FFFFFF"/>
        <w:jc w:val="both"/>
        <w:rPr>
          <w:color w:val="000000"/>
          <w:sz w:val="10"/>
          <w:szCs w:val="10"/>
        </w:rPr>
      </w:pPr>
    </w:p>
    <w:p w:rsidR="001444DA" w:rsidRPr="006E7271" w:rsidRDefault="001444DA" w:rsidP="001444DA">
      <w:pPr>
        <w:shd w:val="clear" w:color="auto" w:fill="FFFFFF"/>
        <w:ind w:left="567"/>
        <w:jc w:val="both"/>
        <w:rPr>
          <w:color w:val="000000"/>
          <w:sz w:val="24"/>
          <w:szCs w:val="24"/>
        </w:rPr>
      </w:pPr>
      <w:proofErr w:type="gramStart"/>
      <w:r w:rsidRPr="006E7271">
        <w:rPr>
          <w:i/>
          <w:iCs/>
          <w:color w:val="000000"/>
          <w:sz w:val="24"/>
          <w:szCs w:val="24"/>
        </w:rPr>
        <w:t>“</w:t>
      </w:r>
      <w:r w:rsidRPr="006E7271">
        <w:rPr>
          <w:i/>
          <w:iCs/>
          <w:color w:val="000000"/>
          <w:sz w:val="24"/>
          <w:szCs w:val="24"/>
          <w:u w:val="single"/>
        </w:rPr>
        <w:t>(...)II - RECURSO DE REVISTA.</w:t>
      </w:r>
      <w:proofErr w:type="gramEnd"/>
      <w:r w:rsidRPr="006E7271">
        <w:rPr>
          <w:i/>
          <w:iCs/>
          <w:color w:val="000000"/>
          <w:sz w:val="24"/>
          <w:szCs w:val="24"/>
          <w:u w:val="single"/>
        </w:rPr>
        <w:t xml:space="preserve"> LEI  13.015/2014.</w:t>
      </w:r>
    </w:p>
    <w:p w:rsidR="001444DA" w:rsidRPr="006E7271" w:rsidRDefault="001444DA" w:rsidP="001444DA">
      <w:pPr>
        <w:shd w:val="clear" w:color="auto" w:fill="FFFFFF"/>
        <w:ind w:left="567"/>
        <w:jc w:val="both"/>
        <w:rPr>
          <w:color w:val="000000"/>
          <w:sz w:val="24"/>
          <w:szCs w:val="24"/>
        </w:rPr>
      </w:pPr>
      <w:r w:rsidRPr="006E7271">
        <w:rPr>
          <w:i/>
          <w:iCs/>
          <w:color w:val="000000"/>
          <w:sz w:val="24"/>
          <w:szCs w:val="24"/>
        </w:rPr>
        <w:t xml:space="preserve">REPRESENTATIVIDADE SINDICAL. CATEGORIA DIFERENCIADA. MOVIMENTAÇÃO DE MERCADORIAS. O Tribunal Regional manteve o indeferimento do pedido do Sindicato dos Trabalhadores na Movimentação de Mercadorias em Geral de Araras e Região de representatividade sindical de empregados pertencentes </w:t>
      </w:r>
      <w:proofErr w:type="gramStart"/>
      <w:r w:rsidRPr="006E7271">
        <w:rPr>
          <w:i/>
          <w:iCs/>
          <w:color w:val="000000"/>
          <w:sz w:val="24"/>
          <w:szCs w:val="24"/>
        </w:rPr>
        <w:t>a</w:t>
      </w:r>
      <w:proofErr w:type="gramEnd"/>
      <w:r w:rsidRPr="006E7271">
        <w:rPr>
          <w:i/>
          <w:iCs/>
          <w:color w:val="000000"/>
          <w:sz w:val="24"/>
          <w:szCs w:val="24"/>
        </w:rPr>
        <w:t xml:space="preserve"> categoria profissional diferenciada dos empregados movimentadores de mercadorias, por entender que a atividade preponderante da reclamada é a prestação de serviços a terceiros, estabelecendo que seus empregados, inclusive os que atuam na movimentação de mercadorias em geral, são representados pelo Sindicato dos Empregados em Empresas de Prestação de Serviços a Terceiros. Para esta Corte Superior, os trabalhadores que exercem atividade de movimentação de mercadorias em geral são regulados pela Lei 12.023/2009, que constitui estatuto próprio dessa categoria, independentemente da categoria econômica do empregador. Assim, ainda que a movimentação de mercadorias não seja a atividade principal do empregador, enquadra-se no conceito de categoria diferenciada, nos termos do art. 511, § 3º, da CLT, em face do estatuto próprio que regula o exercício dessa atividade profissional. Nesse quadro, verifica-se que a decisão do Tribunal Regional foi proferida em descompasso com a jurisprudência desta Corte Superior. Precedentes. Recurso de revista conhecido e </w:t>
      </w:r>
      <w:proofErr w:type="gramStart"/>
      <w:r w:rsidRPr="006E7271">
        <w:rPr>
          <w:i/>
          <w:iCs/>
          <w:color w:val="000000"/>
          <w:sz w:val="24"/>
          <w:szCs w:val="24"/>
        </w:rPr>
        <w:t>provido.</w:t>
      </w:r>
      <w:proofErr w:type="gramEnd"/>
      <w:r w:rsidRPr="006E7271">
        <w:rPr>
          <w:i/>
          <w:iCs/>
          <w:color w:val="000000"/>
          <w:sz w:val="24"/>
          <w:szCs w:val="24"/>
        </w:rPr>
        <w:t>”</w:t>
      </w:r>
      <w:r w:rsidRPr="006E7271">
        <w:rPr>
          <w:color w:val="000000"/>
          <w:sz w:val="24"/>
          <w:szCs w:val="24"/>
        </w:rPr>
        <w:t> </w:t>
      </w:r>
      <w:r w:rsidRPr="001444DA">
        <w:rPr>
          <w:bCs/>
          <w:sz w:val="24"/>
          <w:szCs w:val="24"/>
        </w:rPr>
        <w:t>(</w:t>
      </w:r>
      <w:hyperlink r:id="rId15" w:history="1">
        <w:r w:rsidRPr="001444DA">
          <w:rPr>
            <w:rStyle w:val="Hyperlink"/>
            <w:sz w:val="24"/>
            <w:szCs w:val="24"/>
          </w:rPr>
          <w:t>TST-ARR-2862-18.2013.5.15.0010</w:t>
        </w:r>
      </w:hyperlink>
      <w:r w:rsidRPr="001444DA">
        <w:rPr>
          <w:bCs/>
          <w:sz w:val="24"/>
          <w:szCs w:val="24"/>
        </w:rPr>
        <w:t xml:space="preserve">, 2ª Turma, rel. Min. Maria Helena </w:t>
      </w:r>
      <w:proofErr w:type="spellStart"/>
      <w:r w:rsidRPr="001444DA">
        <w:rPr>
          <w:bCs/>
          <w:sz w:val="24"/>
          <w:szCs w:val="24"/>
        </w:rPr>
        <w:t>Mallmann</w:t>
      </w:r>
      <w:proofErr w:type="spellEnd"/>
      <w:r w:rsidRPr="001444DA">
        <w:rPr>
          <w:bCs/>
          <w:sz w:val="24"/>
          <w:szCs w:val="24"/>
        </w:rPr>
        <w:t>, julgado em 5.6.2019)</w:t>
      </w:r>
    </w:p>
    <w:p w:rsidR="001444DA" w:rsidRPr="006E7271" w:rsidRDefault="001444DA" w:rsidP="001444DA">
      <w:pPr>
        <w:shd w:val="clear" w:color="auto" w:fill="FFFFFF"/>
        <w:ind w:left="567"/>
        <w:jc w:val="both"/>
        <w:rPr>
          <w:color w:val="000000"/>
        </w:rPr>
      </w:pPr>
      <w:r w:rsidRPr="006E7271">
        <w:rPr>
          <w:color w:val="000000"/>
          <w:sz w:val="24"/>
          <w:szCs w:val="24"/>
        </w:rPr>
        <w:t> </w:t>
      </w:r>
    </w:p>
    <w:p w:rsidR="001F3CD3" w:rsidRDefault="001444DA" w:rsidP="001F3CD3">
      <w:pPr>
        <w:shd w:val="clear" w:color="auto" w:fill="FFFFFF"/>
        <w:jc w:val="both"/>
        <w:rPr>
          <w:b/>
          <w:bCs/>
          <w:i/>
          <w:iCs/>
          <w:color w:val="000000"/>
          <w:sz w:val="10"/>
          <w:szCs w:val="10"/>
        </w:rPr>
      </w:pPr>
      <w:r w:rsidRPr="006E7271">
        <w:rPr>
          <w:b/>
          <w:bCs/>
          <w:i/>
          <w:iCs/>
          <w:color w:val="000000"/>
          <w:sz w:val="24"/>
          <w:szCs w:val="24"/>
        </w:rPr>
        <w:t xml:space="preserve">Reenquadramento sindical. Normas coletivas da categoria </w:t>
      </w:r>
      <w:proofErr w:type="gramStart"/>
      <w:r w:rsidRPr="006E7271">
        <w:rPr>
          <w:b/>
          <w:bCs/>
          <w:i/>
          <w:iCs/>
          <w:color w:val="000000"/>
          <w:sz w:val="24"/>
          <w:szCs w:val="24"/>
        </w:rPr>
        <w:t>anterior mais benéficas</w:t>
      </w:r>
      <w:proofErr w:type="gramEnd"/>
      <w:r w:rsidRPr="006E7271">
        <w:rPr>
          <w:b/>
          <w:bCs/>
          <w:i/>
          <w:iCs/>
          <w:color w:val="000000"/>
          <w:sz w:val="24"/>
          <w:szCs w:val="24"/>
        </w:rPr>
        <w:t>. Violação do princípio da boa-fé objetiva.</w:t>
      </w:r>
    </w:p>
    <w:p w:rsidR="001F3CD3" w:rsidRPr="001F3CD3" w:rsidRDefault="001444DA" w:rsidP="001F3CD3">
      <w:pPr>
        <w:shd w:val="clear" w:color="auto" w:fill="FFFFFF"/>
        <w:jc w:val="both"/>
        <w:rPr>
          <w:b/>
          <w:bCs/>
          <w:i/>
          <w:iCs/>
          <w:color w:val="000000"/>
          <w:sz w:val="24"/>
          <w:szCs w:val="24"/>
        </w:rPr>
      </w:pPr>
      <w:r w:rsidRPr="006E7271">
        <w:rPr>
          <w:b/>
          <w:bCs/>
          <w:i/>
          <w:iCs/>
          <w:color w:val="000000"/>
          <w:sz w:val="24"/>
          <w:szCs w:val="24"/>
        </w:rPr>
        <w:t> </w:t>
      </w:r>
    </w:p>
    <w:p w:rsidR="001444DA" w:rsidRPr="006E7271" w:rsidRDefault="001444DA" w:rsidP="001444DA">
      <w:pPr>
        <w:shd w:val="clear" w:color="auto" w:fill="FFFFFF"/>
        <w:ind w:left="567"/>
        <w:jc w:val="both"/>
        <w:rPr>
          <w:color w:val="000000"/>
          <w:sz w:val="24"/>
          <w:szCs w:val="24"/>
        </w:rPr>
      </w:pPr>
      <w:r w:rsidRPr="006E7271">
        <w:rPr>
          <w:i/>
          <w:iCs/>
          <w:color w:val="000000"/>
          <w:sz w:val="24"/>
          <w:szCs w:val="24"/>
        </w:rPr>
        <w:t>“(...) BENEFÍCIOS PREVISTOS EM NORMAS COLETIVAS ADOTADAS DURANTE TODO O PACTO LABORAL. NOVO ENQUADRAMENTO SINDICAL. NORMA MENOS FAVORÁVEL. PREJUÍZO AO EMPREGADO. VIOLAÇÃO DO PRINCÍPIO DA BOA-FÉ OBJETIVA. No caso ora em apreço, extrai-se da leitura do acórdão regional que, por ocasião da ruptura contratual, a autora foi surpreendida com a negativa da empregadora em conceder-lhe direitos previstos nas normas coletivas que eram correntemente aplicadas durante todo o pacto laboral, o que fez sob o fundamento de equívoco no enquadramento sindical adotado. Entretanto, ao determinar o reenquadramento, a ré deixou de cumprir as normas da categoria profissional até então observadas, mais benéficas que as do novo enquadramento e assim causou prejuízo à trabalhadora dispensada. Trata-se aqui da questão da boa-fé contratual e da aplicação de três princípios basilares de Direito do Trabalho: o da primazia da realidade, o da condição mais benéfica e o da razoabilidade. Deveras, o procedimento da ré, ao alterar a norma de conduta sedimentada para o desenvolvimento do contrato (artigo 422 do Código Civil), para não cumprir as normas coletivas sempre observadas pelas partes, invocando novas normas para negar-se ao cumprimento das anteriores, ofendeu o princípio da </w:t>
      </w:r>
      <w:r w:rsidRPr="006E7271">
        <w:rPr>
          <w:i/>
          <w:iCs/>
          <w:color w:val="000000"/>
          <w:sz w:val="24"/>
          <w:szCs w:val="24"/>
          <w:u w:val="single"/>
        </w:rPr>
        <w:t>boa-fé objetiva</w:t>
      </w:r>
      <w:r w:rsidRPr="006E7271">
        <w:rPr>
          <w:i/>
          <w:iCs/>
          <w:color w:val="000000"/>
          <w:sz w:val="24"/>
          <w:szCs w:val="24"/>
        </w:rPr>
        <w:t>. Por outro lado, pelo princípio da </w:t>
      </w:r>
      <w:r w:rsidRPr="006E7271">
        <w:rPr>
          <w:i/>
          <w:iCs/>
          <w:color w:val="000000"/>
          <w:sz w:val="24"/>
          <w:szCs w:val="24"/>
          <w:u w:val="single"/>
        </w:rPr>
        <w:t>primazia da realidade</w:t>
      </w:r>
      <w:r w:rsidRPr="006E7271">
        <w:rPr>
          <w:i/>
          <w:iCs/>
          <w:color w:val="000000"/>
          <w:sz w:val="24"/>
          <w:szCs w:val="24"/>
        </w:rPr>
        <w:t xml:space="preserve">, há de prevalecer </w:t>
      </w:r>
      <w:proofErr w:type="gramStart"/>
      <w:r w:rsidRPr="006E7271">
        <w:rPr>
          <w:i/>
          <w:iCs/>
          <w:color w:val="000000"/>
          <w:sz w:val="24"/>
          <w:szCs w:val="24"/>
        </w:rPr>
        <w:t>a</w:t>
      </w:r>
      <w:proofErr w:type="gramEnd"/>
      <w:r w:rsidRPr="006E7271">
        <w:rPr>
          <w:i/>
          <w:iCs/>
          <w:color w:val="000000"/>
          <w:sz w:val="24"/>
          <w:szCs w:val="24"/>
        </w:rPr>
        <w:t xml:space="preserve"> realidade dos fatos na execução do contrato, para fins de proteção das relações de trabalho. Com efeito, se as normas coletivas estabelecidas para o contrato de trabalho da reclamante foram as negociadas entre o SINDUSCON e a categoria econômica dos trabalhadores da construção civil, para o qual a empresa vertia as contribuições obrigatórias e eram mais benéficas do que as do adequado enquadramento, essa é a realidade a ser observada e, pelo princípio da </w:t>
      </w:r>
      <w:r w:rsidRPr="006E7271">
        <w:rPr>
          <w:i/>
          <w:iCs/>
          <w:color w:val="000000"/>
          <w:sz w:val="24"/>
          <w:szCs w:val="24"/>
          <w:u w:val="single"/>
        </w:rPr>
        <w:t>razoabilidade</w:t>
      </w:r>
      <w:r w:rsidRPr="006E7271">
        <w:rPr>
          <w:i/>
          <w:iCs/>
          <w:color w:val="000000"/>
          <w:sz w:val="24"/>
          <w:szCs w:val="24"/>
        </w:rPr>
        <w:t>, a solução capaz de realizar o direito, ou seja, a justiça do caso concreto (artigo 170, caput, da Constituição Federal). Finalmente, pelo princípio da </w:t>
      </w:r>
      <w:r w:rsidRPr="006E7271">
        <w:rPr>
          <w:i/>
          <w:iCs/>
          <w:color w:val="000000"/>
          <w:sz w:val="24"/>
          <w:szCs w:val="24"/>
          <w:u w:val="single"/>
        </w:rPr>
        <w:t xml:space="preserve">condição mais </w:t>
      </w:r>
      <w:proofErr w:type="gramStart"/>
      <w:r w:rsidRPr="006E7271">
        <w:rPr>
          <w:i/>
          <w:iCs/>
          <w:color w:val="000000"/>
          <w:sz w:val="24"/>
          <w:szCs w:val="24"/>
          <w:u w:val="single"/>
        </w:rPr>
        <w:t>benéfica</w:t>
      </w:r>
      <w:proofErr w:type="gramEnd"/>
      <w:r w:rsidRPr="006E7271">
        <w:rPr>
          <w:i/>
          <w:iCs/>
          <w:color w:val="000000"/>
          <w:sz w:val="24"/>
          <w:szCs w:val="24"/>
        </w:rPr>
        <w:t xml:space="preserve">, a norma posterior (do novo enquadramento) não pode suprimir ou reduzir direitos já incorporados ao patrimônio do empregado, porque mais benéfica a condição existente. </w:t>
      </w:r>
      <w:proofErr w:type="gramStart"/>
      <w:r w:rsidRPr="006E7271">
        <w:rPr>
          <w:i/>
          <w:iCs/>
          <w:color w:val="000000"/>
          <w:sz w:val="24"/>
          <w:szCs w:val="24"/>
        </w:rPr>
        <w:t>Outrossim</w:t>
      </w:r>
      <w:proofErr w:type="gramEnd"/>
      <w:r w:rsidRPr="006E7271">
        <w:rPr>
          <w:i/>
          <w:iCs/>
          <w:color w:val="000000"/>
          <w:sz w:val="24"/>
          <w:szCs w:val="24"/>
        </w:rPr>
        <w:t xml:space="preserve">, a cláusula geral de boa-fé </w:t>
      </w:r>
      <w:r w:rsidRPr="006E7271">
        <w:rPr>
          <w:i/>
          <w:iCs/>
          <w:color w:val="000000"/>
          <w:sz w:val="24"/>
          <w:szCs w:val="24"/>
        </w:rPr>
        <w:lastRenderedPageBreak/>
        <w:t xml:space="preserve">objetiva também abrange a máxima </w:t>
      </w:r>
      <w:proofErr w:type="spellStart"/>
      <w:r w:rsidRPr="006E7271">
        <w:rPr>
          <w:i/>
          <w:iCs/>
          <w:color w:val="000000"/>
          <w:sz w:val="24"/>
          <w:szCs w:val="24"/>
        </w:rPr>
        <w:t>nemo</w:t>
      </w:r>
      <w:proofErr w:type="spellEnd"/>
      <w:r w:rsidRPr="006E7271">
        <w:rPr>
          <w:i/>
          <w:iCs/>
          <w:color w:val="000000"/>
          <w:sz w:val="24"/>
          <w:szCs w:val="24"/>
        </w:rPr>
        <w:t xml:space="preserve"> </w:t>
      </w:r>
      <w:proofErr w:type="spellStart"/>
      <w:r w:rsidRPr="006E7271">
        <w:rPr>
          <w:i/>
          <w:iCs/>
          <w:color w:val="000000"/>
          <w:sz w:val="24"/>
          <w:szCs w:val="24"/>
        </w:rPr>
        <w:t>potest</w:t>
      </w:r>
      <w:proofErr w:type="spellEnd"/>
      <w:r w:rsidRPr="006E7271">
        <w:rPr>
          <w:i/>
          <w:iCs/>
          <w:color w:val="000000"/>
          <w:sz w:val="24"/>
          <w:szCs w:val="24"/>
        </w:rPr>
        <w:t xml:space="preserve"> </w:t>
      </w:r>
      <w:proofErr w:type="spellStart"/>
      <w:r w:rsidRPr="006E7271">
        <w:rPr>
          <w:i/>
          <w:iCs/>
          <w:color w:val="000000"/>
          <w:sz w:val="24"/>
          <w:szCs w:val="24"/>
        </w:rPr>
        <w:t>venire</w:t>
      </w:r>
      <w:proofErr w:type="spellEnd"/>
      <w:r w:rsidRPr="006E7271">
        <w:rPr>
          <w:i/>
          <w:iCs/>
          <w:color w:val="000000"/>
          <w:sz w:val="24"/>
          <w:szCs w:val="24"/>
        </w:rPr>
        <w:t xml:space="preserve"> contra </w:t>
      </w:r>
      <w:proofErr w:type="spellStart"/>
      <w:r w:rsidRPr="006E7271">
        <w:rPr>
          <w:i/>
          <w:iCs/>
          <w:color w:val="000000"/>
          <w:sz w:val="24"/>
          <w:szCs w:val="24"/>
        </w:rPr>
        <w:t>factum</w:t>
      </w:r>
      <w:proofErr w:type="spellEnd"/>
      <w:r w:rsidRPr="006E7271">
        <w:rPr>
          <w:i/>
          <w:iCs/>
          <w:color w:val="000000"/>
          <w:sz w:val="24"/>
          <w:szCs w:val="24"/>
        </w:rPr>
        <w:t xml:space="preserve"> </w:t>
      </w:r>
      <w:proofErr w:type="spellStart"/>
      <w:r w:rsidRPr="006E7271">
        <w:rPr>
          <w:i/>
          <w:iCs/>
          <w:color w:val="000000"/>
          <w:sz w:val="24"/>
          <w:szCs w:val="24"/>
        </w:rPr>
        <w:t>proprium</w:t>
      </w:r>
      <w:proofErr w:type="spellEnd"/>
      <w:r w:rsidRPr="006E7271">
        <w:rPr>
          <w:i/>
          <w:iCs/>
          <w:color w:val="000000"/>
          <w:sz w:val="24"/>
          <w:szCs w:val="24"/>
        </w:rPr>
        <w:t xml:space="preserve"> ("ninguém pode se voltar contra fato próprio"). Tal instituto estabelece a proibição de atitudes </w:t>
      </w:r>
      <w:proofErr w:type="gramStart"/>
      <w:r w:rsidRPr="006E7271">
        <w:rPr>
          <w:i/>
          <w:iCs/>
          <w:color w:val="000000"/>
          <w:sz w:val="24"/>
          <w:szCs w:val="24"/>
        </w:rPr>
        <w:t>contraditórias</w:t>
      </w:r>
      <w:proofErr w:type="gramEnd"/>
      <w:r w:rsidRPr="006E7271">
        <w:rPr>
          <w:i/>
          <w:iCs/>
          <w:color w:val="000000"/>
          <w:sz w:val="24"/>
          <w:szCs w:val="24"/>
        </w:rPr>
        <w:t xml:space="preserve"> das partes, evitando-se a frustração de expectativas legítimas do outro integrante da relação contratual, situação verificada in </w:t>
      </w:r>
      <w:proofErr w:type="spellStart"/>
      <w:r w:rsidRPr="006E7271">
        <w:rPr>
          <w:i/>
          <w:iCs/>
          <w:color w:val="000000"/>
          <w:sz w:val="24"/>
          <w:szCs w:val="24"/>
        </w:rPr>
        <w:t>casu</w:t>
      </w:r>
      <w:proofErr w:type="spellEnd"/>
      <w:r w:rsidRPr="006E7271">
        <w:rPr>
          <w:i/>
          <w:iCs/>
          <w:color w:val="000000"/>
          <w:sz w:val="24"/>
          <w:szCs w:val="24"/>
        </w:rPr>
        <w:t xml:space="preserve">. Destarte, por entender maculado o princípio da boa-fé objetiva no contrato de trabalho em análise, merece reforma o acórdão regional para restabelecimento da sentença que julgou procedente o pedido de condenação da ré ao deferimento dos direitos previstos nas normas coletivas anteriores ao reenquadramento. Recurso de revista conhecido por violação do artigo 422 do Código Civil e </w:t>
      </w:r>
      <w:proofErr w:type="gramStart"/>
      <w:r w:rsidRPr="006E7271">
        <w:rPr>
          <w:i/>
          <w:iCs/>
          <w:color w:val="000000"/>
          <w:sz w:val="24"/>
          <w:szCs w:val="24"/>
        </w:rPr>
        <w:t>provido.</w:t>
      </w:r>
      <w:proofErr w:type="gramEnd"/>
      <w:r w:rsidRPr="006E7271">
        <w:rPr>
          <w:i/>
          <w:iCs/>
          <w:color w:val="000000"/>
          <w:sz w:val="24"/>
          <w:szCs w:val="24"/>
        </w:rPr>
        <w:t>(...)”</w:t>
      </w:r>
      <w:r w:rsidRPr="006E7271">
        <w:rPr>
          <w:color w:val="000000"/>
          <w:sz w:val="24"/>
          <w:szCs w:val="24"/>
        </w:rPr>
        <w:t> </w:t>
      </w:r>
      <w:r w:rsidRPr="001444DA">
        <w:rPr>
          <w:sz w:val="24"/>
          <w:szCs w:val="24"/>
        </w:rPr>
        <w:t>(</w:t>
      </w:r>
      <w:hyperlink r:id="rId16" w:history="1">
        <w:r w:rsidRPr="001444DA">
          <w:rPr>
            <w:rStyle w:val="Hyperlink"/>
            <w:sz w:val="24"/>
            <w:szCs w:val="24"/>
          </w:rPr>
          <w:t>TST-RR-1214-79.2014.5.07.0013</w:t>
        </w:r>
      </w:hyperlink>
      <w:r w:rsidRPr="001444DA">
        <w:rPr>
          <w:sz w:val="24"/>
          <w:szCs w:val="24"/>
        </w:rPr>
        <w:t>, 3ª Turma, rel. Min. Alexandre Agra Belmonte, julgado em 5.6.2019)</w:t>
      </w:r>
    </w:p>
    <w:p w:rsidR="001444DA" w:rsidRPr="006E7271" w:rsidRDefault="001444DA" w:rsidP="001444DA">
      <w:pPr>
        <w:shd w:val="clear" w:color="auto" w:fill="FFFFFF"/>
        <w:ind w:left="567"/>
        <w:jc w:val="both"/>
        <w:rPr>
          <w:color w:val="000000"/>
        </w:rPr>
      </w:pPr>
      <w:r w:rsidRPr="006E7271">
        <w:rPr>
          <w:b/>
          <w:bCs/>
          <w:i/>
          <w:iCs/>
          <w:color w:val="000000"/>
          <w:sz w:val="24"/>
          <w:szCs w:val="24"/>
        </w:rPr>
        <w:t> </w:t>
      </w:r>
    </w:p>
    <w:p w:rsidR="001444DA" w:rsidRPr="006E7271" w:rsidRDefault="001444DA" w:rsidP="001444DA">
      <w:pPr>
        <w:shd w:val="clear" w:color="auto" w:fill="FFFFFF"/>
        <w:jc w:val="both"/>
        <w:rPr>
          <w:color w:val="000000"/>
          <w:sz w:val="24"/>
          <w:szCs w:val="24"/>
        </w:rPr>
      </w:pPr>
      <w:r w:rsidRPr="006E7271">
        <w:rPr>
          <w:b/>
          <w:bCs/>
          <w:i/>
          <w:iCs/>
          <w:color w:val="000000"/>
          <w:sz w:val="24"/>
          <w:szCs w:val="24"/>
        </w:rPr>
        <w:t>Réu revel. Advogado presente à audiência. Indeferimento de prazo para juntada de documentos. Cerceamento do direito de defesa. Alegação em razões finais escritas e não em protesto no momento da audiência. Transcendência jurídica.</w:t>
      </w:r>
    </w:p>
    <w:p w:rsidR="001444DA" w:rsidRPr="006E7271" w:rsidRDefault="001444DA" w:rsidP="001444DA">
      <w:pPr>
        <w:shd w:val="clear" w:color="auto" w:fill="FFFFFF"/>
        <w:ind w:left="567"/>
        <w:jc w:val="both"/>
        <w:rPr>
          <w:color w:val="000000"/>
        </w:rPr>
      </w:pPr>
      <w:r w:rsidRPr="006E7271">
        <w:rPr>
          <w:i/>
          <w:iCs/>
          <w:color w:val="000000"/>
          <w:sz w:val="24"/>
          <w:szCs w:val="24"/>
        </w:rPr>
        <w:t> </w:t>
      </w:r>
    </w:p>
    <w:p w:rsidR="001444DA" w:rsidRPr="006E7271" w:rsidRDefault="001444DA" w:rsidP="001444DA">
      <w:pPr>
        <w:shd w:val="clear" w:color="auto" w:fill="FFFFFF"/>
        <w:ind w:left="567"/>
        <w:jc w:val="both"/>
        <w:rPr>
          <w:color w:val="000000"/>
          <w:sz w:val="24"/>
          <w:szCs w:val="24"/>
        </w:rPr>
      </w:pPr>
      <w:r w:rsidRPr="006E7271">
        <w:rPr>
          <w:i/>
          <w:iCs/>
          <w:color w:val="000000"/>
          <w:sz w:val="24"/>
          <w:szCs w:val="24"/>
        </w:rPr>
        <w:t xml:space="preserve">“RECURSO DE REVISTA. LEI 13.467/2017. CERCEAMENTO DO DIREITO DE DEFESA. INDEFERIMENTO DE PRAZO PARA APRESENTAÇÃO DE CONTESTAÇÃO, DOCUMENTOS E PROVA ORAL FORMULADA PELA ADVOGADA DE RÉU REVEL. AUSÊNCIA DE PROTESTOS NA AUDIÊNCIA. DEFERIMENTO DE PRAZO PARA APRESENTAÇÃO DE RAZÕES FINAIS ESCRITAS. CERCEAMENTO DE DEFESA ALEGADO EM RAZÕES FINAIS ESCRITAS. AUSÊNCIA DE PRECLUSÃO. </w:t>
      </w:r>
      <w:proofErr w:type="gramStart"/>
      <w:r w:rsidRPr="006E7271">
        <w:rPr>
          <w:i/>
          <w:iCs/>
          <w:color w:val="000000"/>
          <w:sz w:val="24"/>
          <w:szCs w:val="24"/>
        </w:rPr>
        <w:t>TRANSCENDÊNCIA.</w:t>
      </w:r>
      <w:proofErr w:type="gramEnd"/>
      <w:r w:rsidRPr="006E7271">
        <w:rPr>
          <w:i/>
          <w:iCs/>
          <w:color w:val="000000"/>
          <w:sz w:val="24"/>
          <w:szCs w:val="24"/>
        </w:rPr>
        <w:t>O processamento do recurso de revista na vigência da Lei 13.467/2017 exige que a causa ofereça transcendência com relação aos reflexos gerais de natureza econômica, política, social ou jurídica, a qual deve ser analisada de ofício e previamente pelo Relator (artigos 896-A, da CLT, 246 e 247 do RITST). Ausente a transcendência o recurso de revista não será processado. Se presente a transcendência, prossegue-se na análise dos demais pressupostos recursais. No caso, apenas a advogada da reclamada compareceu à audiência. Depois do interrogatório do reclamante a advogada presente requereu prazo para juntada de defesa, documentos e prova oral, o que foi indeferido. Ato contínuo foi encerrada a instrução processual, concedendo-se prazo para apresentação de razões finais escritas. Ao apresentar suas razões finais escritas a reclamada alegou cerceamento do direito de defesa em razão do indeferimento do prazo para juntada de defesa, documentos e produção de prova oral. O Tribunal Regional aplicou a preclusão por entender que a parte deveria </w:t>
      </w:r>
      <w:r w:rsidRPr="001444DA">
        <w:rPr>
          <w:i/>
          <w:iCs/>
          <w:color w:val="00008B"/>
          <w:sz w:val="24"/>
          <w:szCs w:val="24"/>
        </w:rPr>
        <w:t>ter</w:t>
      </w:r>
      <w:r w:rsidRPr="006E7271">
        <w:rPr>
          <w:i/>
          <w:iCs/>
          <w:color w:val="000000"/>
          <w:sz w:val="24"/>
          <w:szCs w:val="24"/>
        </w:rPr>
        <w:t xml:space="preserve"> registrado protestos na audiência, logo após o indeferimento do seu pedido. A causa apresenta transcendência jurídica, nos termos art. 896-A, § 1º, IV, da CLT uma vez que a matéria não foi analisada pelo Tribunal Superior do Trabalho sobre o aspecto ora trazido, razão pela qual passo a apreciação dos demais pressupostos do recurso de revista. A arguição de nulidade deve ser realizada "na primeira vez em que tiverem de falar em audiência ou nos autos". A conjunção coordenada alternativa nos induz à conclusão de que a parte pode realizar o protesto de forma </w:t>
      </w:r>
      <w:proofErr w:type="gramStart"/>
      <w:r w:rsidRPr="006E7271">
        <w:rPr>
          <w:i/>
          <w:iCs/>
          <w:color w:val="000000"/>
          <w:sz w:val="24"/>
          <w:szCs w:val="24"/>
        </w:rPr>
        <w:t>imediata</w:t>
      </w:r>
      <w:proofErr w:type="gramEnd"/>
      <w:r w:rsidRPr="006E7271">
        <w:rPr>
          <w:i/>
          <w:iCs/>
          <w:color w:val="000000"/>
          <w:sz w:val="24"/>
          <w:szCs w:val="24"/>
        </w:rPr>
        <w:t xml:space="preserve"> ao indeferimento, sem necessidade de renová-lo em razões finais ou pode apresentá-lo apenas em razões finais, orais ou escritas. No caso, o protesto não foi feito de forma imediata em audiência, mas foi realizado em razões finais escritas, conforme facultado pelo magistrado condutor da audiência. Dessa forma, não houve preclusão para se insurgir quanto ao indeferimento do pleito de prazo para apresentação de defesa, documentos e produção de prova oral. Embora afastada a preclusão, não há como acolher a irresignação da reclamada. Isso porque, no período anterior à Lei 13.467/2017, como no caso dos autos, a ausência da reclamada na audiência inicial resulta em revelia, mesmo que o seu advogado tenha comparecido a audiência (Súmula 122 do TST). Sendo a parte revel, o indeferimento de prazo para apresentação de contestação, documentos e prova oral não constitui cerceamento do direito de defesa, nos termos da Súmula 74, II, do TST e art. 847 da CLT. Recurso de revista de que não se </w:t>
      </w:r>
      <w:proofErr w:type="gramStart"/>
      <w:r w:rsidRPr="006E7271">
        <w:rPr>
          <w:i/>
          <w:iCs/>
          <w:color w:val="000000"/>
          <w:sz w:val="24"/>
          <w:szCs w:val="24"/>
        </w:rPr>
        <w:t>conhece.</w:t>
      </w:r>
      <w:proofErr w:type="gramEnd"/>
      <w:r w:rsidRPr="006E7271">
        <w:rPr>
          <w:i/>
          <w:iCs/>
          <w:color w:val="000000"/>
          <w:sz w:val="24"/>
          <w:szCs w:val="24"/>
        </w:rPr>
        <w:t>”</w:t>
      </w:r>
      <w:r w:rsidRPr="006E7271">
        <w:rPr>
          <w:color w:val="000000"/>
          <w:sz w:val="24"/>
          <w:szCs w:val="24"/>
        </w:rPr>
        <w:t> </w:t>
      </w:r>
      <w:r w:rsidRPr="001444DA">
        <w:rPr>
          <w:sz w:val="24"/>
          <w:szCs w:val="24"/>
        </w:rPr>
        <w:t>(</w:t>
      </w:r>
      <w:hyperlink r:id="rId17" w:history="1">
        <w:r w:rsidRPr="001444DA">
          <w:rPr>
            <w:rStyle w:val="Hyperlink"/>
            <w:sz w:val="24"/>
            <w:szCs w:val="24"/>
          </w:rPr>
          <w:t>TST-RR-10637-</w:t>
        </w:r>
        <w:r w:rsidRPr="001444DA">
          <w:rPr>
            <w:rStyle w:val="Hyperlink"/>
            <w:sz w:val="24"/>
            <w:szCs w:val="24"/>
          </w:rPr>
          <w:lastRenderedPageBreak/>
          <w:t>44.2016.5.09.0011</w:t>
        </w:r>
      </w:hyperlink>
      <w:r w:rsidRPr="001444DA">
        <w:rPr>
          <w:sz w:val="24"/>
          <w:szCs w:val="24"/>
        </w:rPr>
        <w:t xml:space="preserve">, 6ª Turma, rel. Des. </w:t>
      </w:r>
      <w:proofErr w:type="spellStart"/>
      <w:r w:rsidRPr="001444DA">
        <w:rPr>
          <w:sz w:val="24"/>
          <w:szCs w:val="24"/>
        </w:rPr>
        <w:t>Conv</w:t>
      </w:r>
      <w:proofErr w:type="spellEnd"/>
      <w:r w:rsidRPr="001444DA">
        <w:rPr>
          <w:sz w:val="24"/>
          <w:szCs w:val="24"/>
        </w:rPr>
        <w:t>. Cilene Ferreira Amaro Santos, julgado em 5.6.2019)</w:t>
      </w:r>
    </w:p>
    <w:p w:rsidR="001444DA" w:rsidRPr="006E7271" w:rsidRDefault="001444DA" w:rsidP="001444DA">
      <w:pPr>
        <w:shd w:val="clear" w:color="auto" w:fill="FFFFFF"/>
        <w:ind w:left="567"/>
        <w:jc w:val="both"/>
        <w:rPr>
          <w:color w:val="000000"/>
        </w:rPr>
      </w:pPr>
      <w:r w:rsidRPr="006E7271">
        <w:rPr>
          <w:b/>
          <w:bCs/>
          <w:i/>
          <w:iCs/>
          <w:color w:val="000000"/>
          <w:sz w:val="24"/>
          <w:szCs w:val="24"/>
        </w:rPr>
        <w:t> </w:t>
      </w:r>
    </w:p>
    <w:p w:rsidR="001444DA" w:rsidRPr="006E7271" w:rsidRDefault="001444DA" w:rsidP="001444DA">
      <w:pPr>
        <w:shd w:val="clear" w:color="auto" w:fill="FFFFFF"/>
        <w:jc w:val="both"/>
        <w:rPr>
          <w:color w:val="000000"/>
          <w:sz w:val="24"/>
          <w:szCs w:val="24"/>
        </w:rPr>
      </w:pPr>
      <w:r w:rsidRPr="006E7271">
        <w:rPr>
          <w:b/>
          <w:bCs/>
          <w:i/>
          <w:iCs/>
          <w:color w:val="000000"/>
          <w:sz w:val="24"/>
          <w:szCs w:val="24"/>
        </w:rPr>
        <w:t>Execução. Empresa em recuperação judicial. Ausência de depósito recursal. Lei nº 13.467/2017.</w:t>
      </w:r>
    </w:p>
    <w:p w:rsidR="001444DA" w:rsidRPr="006E7271" w:rsidRDefault="001444DA" w:rsidP="001444DA">
      <w:pPr>
        <w:shd w:val="clear" w:color="auto" w:fill="FFFFFF"/>
        <w:ind w:left="567"/>
        <w:jc w:val="both"/>
        <w:rPr>
          <w:color w:val="000000"/>
        </w:rPr>
      </w:pPr>
      <w:r w:rsidRPr="006E7271">
        <w:rPr>
          <w:b/>
          <w:bCs/>
          <w:i/>
          <w:iCs/>
          <w:color w:val="000000"/>
          <w:sz w:val="24"/>
          <w:szCs w:val="24"/>
        </w:rPr>
        <w:t> </w:t>
      </w:r>
    </w:p>
    <w:p w:rsidR="001444DA" w:rsidRPr="006E7271" w:rsidRDefault="001444DA" w:rsidP="001444DA">
      <w:pPr>
        <w:shd w:val="clear" w:color="auto" w:fill="FFFFFF"/>
        <w:ind w:left="567"/>
        <w:jc w:val="both"/>
        <w:rPr>
          <w:color w:val="000000"/>
          <w:sz w:val="24"/>
          <w:szCs w:val="24"/>
        </w:rPr>
      </w:pPr>
      <w:r w:rsidRPr="006E7271">
        <w:rPr>
          <w:i/>
          <w:iCs/>
          <w:color w:val="000000"/>
          <w:sz w:val="24"/>
          <w:szCs w:val="24"/>
        </w:rPr>
        <w:t>“(</w:t>
      </w:r>
      <w:proofErr w:type="gramStart"/>
      <w:r w:rsidRPr="006E7271">
        <w:rPr>
          <w:i/>
          <w:iCs/>
          <w:color w:val="000000"/>
          <w:sz w:val="24"/>
          <w:szCs w:val="24"/>
        </w:rPr>
        <w:t>...) B)</w:t>
      </w:r>
      <w:proofErr w:type="gramEnd"/>
      <w:r w:rsidRPr="006E7271">
        <w:rPr>
          <w:i/>
          <w:iCs/>
          <w:color w:val="000000"/>
          <w:sz w:val="24"/>
          <w:szCs w:val="24"/>
        </w:rPr>
        <w:t xml:space="preserve"> RECURSO DE REVISTA. EXECUÇÃO. EMPRESA EM RECUPERAÇÃO JUDICIAL. DESERÇÃO. AUSÊNCIA DE GARANTIA DO JUÍZO. RECURSO INTERPOSTO APÓS A VIGÊNCIA DA LEI Nº 13.467/17. Com efeito, o art. 47 da Lei n° 11.101/2005 preceitua que a recuperação judicial de uma empresa é um meio utilizado para evitar sua falência, tratando-se de uma tentativa para recuperar aquela atividade evitando o fechamento e as consequentes demissões e não pagamento dos credores, a evidenciar que se encontra financeiramente incapaz de arcar com as despesas do processo. In </w:t>
      </w:r>
      <w:proofErr w:type="spellStart"/>
      <w:r w:rsidRPr="006E7271">
        <w:rPr>
          <w:i/>
          <w:iCs/>
          <w:color w:val="000000"/>
          <w:sz w:val="24"/>
          <w:szCs w:val="24"/>
        </w:rPr>
        <w:t>casu</w:t>
      </w:r>
      <w:proofErr w:type="spellEnd"/>
      <w:r w:rsidRPr="006E7271">
        <w:rPr>
          <w:i/>
          <w:iCs/>
          <w:color w:val="000000"/>
          <w:sz w:val="24"/>
          <w:szCs w:val="24"/>
        </w:rPr>
        <w:t xml:space="preserve">, o Tribunal Regional entendeu que a dicção do art. 899, § 10, da CLT, que autoriza a isenção do depósito recursal em relação às empresas em recuperação judicial, somente se aplica na fase de cognição processual, de modo que não conheceu do agravo de petição interposto pela executada, por ausência de garantia do juízo, nos termos do art. 884 da CLT. Entretanto, tem-se que a executada não possui recursos para a garantia do juízo, tendo em vista o deferimento da recuperação judicial, não havendo dúvidas, outrossim, que o pagamento dos débitos da empresa são realizados mediante habilitação no juízo da recuperação judicial. Por conseguinte, exigir da executada a garantia do juízo resultaria no comprometimento do próprio plano de recuperação judicial, o qual tem a finalidade de viabilizar o soerguimento da empresa. Dessa forma, observa-se que a decisão recorrida foi de encontro aos princípios do contraditório e da ampla defesa, insculpidos no inciso LV do art. 5° da CF, mormente diante dos termos dos </w:t>
      </w:r>
      <w:proofErr w:type="spellStart"/>
      <w:r w:rsidRPr="006E7271">
        <w:rPr>
          <w:i/>
          <w:iCs/>
          <w:color w:val="000000"/>
          <w:sz w:val="24"/>
          <w:szCs w:val="24"/>
        </w:rPr>
        <w:t>arts</w:t>
      </w:r>
      <w:proofErr w:type="spellEnd"/>
      <w:r w:rsidRPr="006E7271">
        <w:rPr>
          <w:i/>
          <w:iCs/>
          <w:color w:val="000000"/>
          <w:sz w:val="24"/>
          <w:szCs w:val="24"/>
        </w:rPr>
        <w:t>. 47, 49 e 52, III, da Lei nº 11.101/2005 e 899, § 10, da CLT, e tendo em vista que, antes da expedição da certidão de crédito, para habilitação no juízo universal, é preciso enfrentar as impugnações apresentadas a fim de que haja o acerto dos cálculos de liquidação. Recurso de revista conhecido e provido.</w:t>
      </w:r>
      <w:r w:rsidRPr="001444DA">
        <w:rPr>
          <w:i/>
          <w:iCs/>
          <w:color w:val="000000"/>
          <w:sz w:val="24"/>
          <w:szCs w:val="24"/>
        </w:rPr>
        <w:t>”</w:t>
      </w:r>
      <w:r w:rsidRPr="001444DA">
        <w:rPr>
          <w:sz w:val="24"/>
          <w:szCs w:val="24"/>
        </w:rPr>
        <w:t xml:space="preserve"> (</w:t>
      </w:r>
      <w:hyperlink r:id="rId18" w:history="1">
        <w:r w:rsidRPr="001444DA">
          <w:rPr>
            <w:rStyle w:val="Hyperlink"/>
            <w:sz w:val="24"/>
            <w:szCs w:val="24"/>
          </w:rPr>
          <w:t>TST-RR-10193-45.2017.5.03.0107</w:t>
        </w:r>
      </w:hyperlink>
      <w:r w:rsidRPr="001444DA">
        <w:rPr>
          <w:sz w:val="24"/>
          <w:szCs w:val="24"/>
        </w:rPr>
        <w:t xml:space="preserve">, 8ª Turma, rel. Min. Dora Maria da Costa, julgado em </w:t>
      </w:r>
      <w:proofErr w:type="gramStart"/>
      <w:r w:rsidRPr="001444DA">
        <w:rPr>
          <w:sz w:val="24"/>
          <w:szCs w:val="24"/>
        </w:rPr>
        <w:t>5.6.2019)</w:t>
      </w:r>
      <w:proofErr w:type="gramEnd"/>
    </w:p>
    <w:p w:rsidR="001F3CD3" w:rsidRPr="006E7271" w:rsidRDefault="001444DA" w:rsidP="001444DA">
      <w:pPr>
        <w:shd w:val="clear" w:color="auto" w:fill="FFFFFF"/>
        <w:ind w:left="567"/>
        <w:jc w:val="both"/>
        <w:rPr>
          <w:color w:val="000000"/>
        </w:rPr>
      </w:pPr>
      <w:r w:rsidRPr="006E7271">
        <w:rPr>
          <w:b/>
          <w:bCs/>
          <w:i/>
          <w:iCs/>
          <w:color w:val="000000"/>
          <w:sz w:val="24"/>
          <w:szCs w:val="24"/>
        </w:rPr>
        <w:t> </w:t>
      </w:r>
    </w:p>
    <w:p w:rsidR="001444DA" w:rsidRPr="006E7271" w:rsidRDefault="001444DA" w:rsidP="001444DA">
      <w:pPr>
        <w:shd w:val="clear" w:color="auto" w:fill="FFFFFF"/>
        <w:jc w:val="both"/>
        <w:rPr>
          <w:color w:val="000000"/>
          <w:sz w:val="24"/>
          <w:szCs w:val="24"/>
        </w:rPr>
      </w:pPr>
      <w:r w:rsidRPr="006E7271">
        <w:rPr>
          <w:b/>
          <w:bCs/>
          <w:i/>
          <w:iCs/>
          <w:color w:val="000000"/>
          <w:sz w:val="24"/>
          <w:szCs w:val="24"/>
        </w:rPr>
        <w:t>Ação anulatória. Auto de infração lavrado por órgão incompetente.</w:t>
      </w:r>
    </w:p>
    <w:p w:rsidR="001444DA" w:rsidRDefault="001444DA" w:rsidP="001444DA">
      <w:pPr>
        <w:shd w:val="clear" w:color="auto" w:fill="FFFFFF"/>
        <w:ind w:left="567"/>
        <w:jc w:val="both"/>
        <w:rPr>
          <w:b/>
          <w:bCs/>
          <w:i/>
          <w:iCs/>
          <w:color w:val="000000"/>
          <w:sz w:val="24"/>
          <w:szCs w:val="24"/>
        </w:rPr>
      </w:pPr>
      <w:r w:rsidRPr="006E7271">
        <w:rPr>
          <w:b/>
          <w:bCs/>
          <w:i/>
          <w:iCs/>
          <w:color w:val="000000"/>
          <w:sz w:val="24"/>
          <w:szCs w:val="24"/>
        </w:rPr>
        <w:t> </w:t>
      </w:r>
    </w:p>
    <w:p w:rsidR="00A40D9C" w:rsidRPr="006E7271" w:rsidRDefault="00A40D9C" w:rsidP="001444DA">
      <w:pPr>
        <w:shd w:val="clear" w:color="auto" w:fill="FFFFFF"/>
        <w:ind w:left="567"/>
        <w:jc w:val="both"/>
        <w:rPr>
          <w:color w:val="000000"/>
        </w:rPr>
      </w:pPr>
      <w:bookmarkStart w:id="2" w:name="_GoBack"/>
      <w:bookmarkEnd w:id="2"/>
    </w:p>
    <w:p w:rsidR="001444DA" w:rsidRPr="006E7271" w:rsidRDefault="001444DA" w:rsidP="001444DA">
      <w:pPr>
        <w:shd w:val="clear" w:color="auto" w:fill="FFFFFF"/>
        <w:ind w:left="567"/>
        <w:jc w:val="both"/>
        <w:rPr>
          <w:color w:val="000000"/>
          <w:sz w:val="24"/>
          <w:szCs w:val="24"/>
        </w:rPr>
      </w:pPr>
      <w:r w:rsidRPr="006E7271">
        <w:rPr>
          <w:i/>
          <w:iCs/>
          <w:color w:val="000000"/>
          <w:sz w:val="24"/>
          <w:szCs w:val="24"/>
        </w:rPr>
        <w:t xml:space="preserve">“(A) RECURSO DE REVISTA INTERPOSTO PELO MUNICÍPIO DE JUNDIAÍ. AÇÃO ANULATÓRIA DE AUTO DE INFRAÇÃO. COMPETÊNCIA DO CENTRO DE REFERÊNCIA EM SAÚDE DO TRABALHADOR (CEREST) PARA AUTUAÇÃO E APLICAÇÃO DE PENALIDADE. A Constituição Federal, em seu art. 21, XXIV, disciplina que compete à União "organizar, manter e executar a inspeção do trabalho", e o art. 14, XIX, "c", da Lei n° 9.649/1998 determina que </w:t>
      </w:r>
      <w:proofErr w:type="gramStart"/>
      <w:r w:rsidRPr="006E7271">
        <w:rPr>
          <w:i/>
          <w:iCs/>
          <w:color w:val="000000"/>
          <w:sz w:val="24"/>
          <w:szCs w:val="24"/>
        </w:rPr>
        <w:t>compete</w:t>
      </w:r>
      <w:proofErr w:type="gramEnd"/>
      <w:r w:rsidRPr="006E7271">
        <w:rPr>
          <w:i/>
          <w:iCs/>
          <w:color w:val="000000"/>
          <w:sz w:val="24"/>
          <w:szCs w:val="24"/>
        </w:rPr>
        <w:t xml:space="preserve"> ao Ministério do Trabalho e Emprego a fiscalização do trabalho, bem como a aplicação das sanções previstas em normas legais ou coletivas. Nesse sentido, os </w:t>
      </w:r>
      <w:proofErr w:type="spellStart"/>
      <w:r w:rsidRPr="006E7271">
        <w:rPr>
          <w:i/>
          <w:iCs/>
          <w:color w:val="000000"/>
          <w:sz w:val="24"/>
          <w:szCs w:val="24"/>
        </w:rPr>
        <w:t>arts</w:t>
      </w:r>
      <w:proofErr w:type="spellEnd"/>
      <w:r w:rsidRPr="006E7271">
        <w:rPr>
          <w:i/>
          <w:iCs/>
          <w:color w:val="000000"/>
          <w:sz w:val="24"/>
          <w:szCs w:val="24"/>
        </w:rPr>
        <w:t xml:space="preserve">. 626 a 634 da CLT disciplinam o procedimento de fiscalização do trabalho, bem como a autuação e imposição de multas. Dessa forma, nos moldes dos preceitos acima mencionados, a fiscalização e a eventual autuação da empresa, e, por conseguinte, a aplicação de multa em razão do descumprimento de normas de segurança e medicina do trabalho, são de competência exclusiva dos auditores fiscais do trabalho. Não obstante seja garantia constitucional inserta no art. 7º, XXII, da CF, a redução dos riscos inerentes ao trabalho, por meio de normas de saúde, higiene e segurança, além de a Constituição Federal assegurar um meio ambiente de trabalho saudável, é certo que as disposições constitucionais e legais mencionadas pelo Município de Jundiaí não conferem competência ao Centro de Referência em Saúde do Trabalhador – CEREST, órgão municipal vinculado à Secretaria de Saúde, para fiscalizar as empresas, lavrar auto de infração, assim como aplicar a multa cabível quando constatado que não foram observadas as normas relativas à segurança, saúde e medicina do trabalho. Nesse contexto, revela-se acertada a </w:t>
      </w:r>
      <w:r w:rsidRPr="006E7271">
        <w:rPr>
          <w:i/>
          <w:iCs/>
          <w:color w:val="000000"/>
          <w:sz w:val="24"/>
          <w:szCs w:val="24"/>
        </w:rPr>
        <w:lastRenderedPageBreak/>
        <w:t>decisão do Tribunal Regional que declarou a nulidade do auto de infração, tendo em vista a incompetência do seu emissor, e, por conseguinte, concluiu que a multa dele derivada perdeu o seu valor impositivo. (...)”</w:t>
      </w:r>
      <w:r w:rsidRPr="006E7271">
        <w:rPr>
          <w:color w:val="000000"/>
          <w:sz w:val="24"/>
          <w:szCs w:val="24"/>
        </w:rPr>
        <w:t> </w:t>
      </w:r>
      <w:r w:rsidRPr="001444DA">
        <w:rPr>
          <w:sz w:val="24"/>
          <w:szCs w:val="24"/>
        </w:rPr>
        <w:t>(</w:t>
      </w:r>
      <w:hyperlink r:id="rId19" w:history="1">
        <w:r w:rsidRPr="001444DA">
          <w:rPr>
            <w:rStyle w:val="Hyperlink"/>
            <w:sz w:val="24"/>
            <w:szCs w:val="24"/>
          </w:rPr>
          <w:t>TST-RR-10420-06.2015.5.15.0096</w:t>
        </w:r>
      </w:hyperlink>
      <w:r w:rsidRPr="001444DA">
        <w:rPr>
          <w:sz w:val="24"/>
          <w:szCs w:val="24"/>
        </w:rPr>
        <w:t xml:space="preserve">, 8ª Turma, rel. Min. Dora Maria da Costa, julgado em </w:t>
      </w:r>
      <w:proofErr w:type="gramStart"/>
      <w:r w:rsidRPr="001444DA">
        <w:rPr>
          <w:sz w:val="24"/>
          <w:szCs w:val="24"/>
        </w:rPr>
        <w:t>5.6.2019)</w:t>
      </w:r>
      <w:proofErr w:type="gramEnd"/>
    </w:p>
    <w:p w:rsidR="001444DA" w:rsidRDefault="001444DA" w:rsidP="001444DA">
      <w:pPr>
        <w:jc w:val="both"/>
      </w:pPr>
    </w:p>
    <w:p w:rsidR="00883391" w:rsidRDefault="00883391" w:rsidP="00883391">
      <w:pPr>
        <w:ind w:left="567"/>
        <w:jc w:val="both"/>
        <w:outlineLvl w:val="0"/>
        <w:rPr>
          <w:rFonts w:eastAsiaTheme="minorEastAsia"/>
          <w:color w:val="000000"/>
          <w:sz w:val="24"/>
          <w:szCs w:val="24"/>
        </w:rPr>
      </w:pPr>
    </w:p>
    <w:p w:rsidR="00883391" w:rsidRPr="00883391" w:rsidRDefault="00883391" w:rsidP="00883391">
      <w:pPr>
        <w:ind w:left="567"/>
        <w:jc w:val="both"/>
        <w:outlineLvl w:val="0"/>
        <w:rPr>
          <w:rFonts w:eastAsiaTheme="minorEastAsia"/>
          <w:color w:val="000000"/>
          <w:sz w:val="24"/>
          <w:szCs w:val="24"/>
        </w:rPr>
      </w:pPr>
    </w:p>
    <w:bookmarkEnd w:id="0"/>
    <w:p w:rsidR="00FB78D2" w:rsidRDefault="00FB78D2" w:rsidP="00C970C8">
      <w:pPr>
        <w:pStyle w:val="Default"/>
        <w:jc w:val="both"/>
        <w:rPr>
          <w:u w:val="single"/>
        </w:rPr>
      </w:pPr>
    </w:p>
    <w:p w:rsidR="008E5117" w:rsidRDefault="008E5117" w:rsidP="00E3622E">
      <w:pPr>
        <w:pStyle w:val="Corpodetexto"/>
        <w:pBdr>
          <w:top w:val="single" w:sz="4" w:space="1" w:color="auto"/>
          <w:left w:val="single" w:sz="4" w:space="0" w:color="auto"/>
          <w:bottom w:val="single" w:sz="4" w:space="1" w:color="auto"/>
          <w:right w:val="single" w:sz="4" w:space="1" w:color="auto"/>
        </w:pBdr>
        <w:shd w:val="clear" w:color="FABF8F" w:themeColor="accent6" w:themeTint="99" w:fill="FFFF00"/>
        <w:outlineLvl w:val="0"/>
        <w:rPr>
          <w:b w:val="0"/>
          <w:bCs w:val="0"/>
          <w:snapToGrid w:val="0"/>
          <w:sz w:val="25"/>
          <w:szCs w:val="25"/>
        </w:rPr>
      </w:pPr>
    </w:p>
    <w:p w:rsidR="008E5117" w:rsidRPr="00E3622E" w:rsidRDefault="008E5117" w:rsidP="00E3622E">
      <w:pPr>
        <w:pStyle w:val="Corpodetexto"/>
        <w:pBdr>
          <w:top w:val="single" w:sz="4" w:space="1" w:color="auto"/>
          <w:left w:val="single" w:sz="4" w:space="0" w:color="auto"/>
          <w:bottom w:val="single" w:sz="4" w:space="1" w:color="auto"/>
          <w:right w:val="single" w:sz="4" w:space="1" w:color="auto"/>
        </w:pBdr>
        <w:shd w:val="clear" w:color="FABF8F" w:themeColor="accent6" w:themeTint="99" w:fill="FFFF00"/>
        <w:ind w:firstLine="567"/>
        <w:outlineLvl w:val="0"/>
        <w:rPr>
          <w:bCs w:val="0"/>
          <w:snapToGrid w:val="0"/>
          <w:sz w:val="25"/>
          <w:szCs w:val="25"/>
        </w:rPr>
      </w:pPr>
      <w:r w:rsidRPr="00E3622E">
        <w:rPr>
          <w:bCs w:val="0"/>
          <w:snapToGrid w:val="0"/>
          <w:sz w:val="25"/>
          <w:szCs w:val="25"/>
        </w:rPr>
        <w:t>A partir d</w:t>
      </w:r>
      <w:r w:rsidR="00883391">
        <w:rPr>
          <w:bCs w:val="0"/>
          <w:snapToGrid w:val="0"/>
          <w:sz w:val="25"/>
          <w:szCs w:val="25"/>
        </w:rPr>
        <w:t xml:space="preserve">a </w:t>
      </w:r>
      <w:r w:rsidRPr="00E3622E">
        <w:rPr>
          <w:bCs w:val="0"/>
          <w:snapToGrid w:val="0"/>
          <w:sz w:val="25"/>
          <w:szCs w:val="25"/>
        </w:rPr>
        <w:t>edição</w:t>
      </w:r>
      <w:r w:rsidR="001444DA">
        <w:rPr>
          <w:bCs w:val="0"/>
          <w:snapToGrid w:val="0"/>
          <w:sz w:val="25"/>
          <w:szCs w:val="25"/>
        </w:rPr>
        <w:t xml:space="preserve"> nº 196</w:t>
      </w:r>
      <w:r w:rsidR="00883391">
        <w:rPr>
          <w:bCs w:val="0"/>
          <w:snapToGrid w:val="0"/>
          <w:sz w:val="25"/>
          <w:szCs w:val="25"/>
        </w:rPr>
        <w:t>, o Informativo TST passou</w:t>
      </w:r>
      <w:r w:rsidRPr="00E3622E">
        <w:rPr>
          <w:bCs w:val="0"/>
          <w:snapToGrid w:val="0"/>
          <w:sz w:val="25"/>
          <w:szCs w:val="25"/>
        </w:rPr>
        <w:t xml:space="preserve"> a divulgar, em caráter experimental, acórdãos proferidos pelas Turmas do TST.</w:t>
      </w:r>
    </w:p>
    <w:p w:rsidR="00E3622E" w:rsidRPr="00883391" w:rsidRDefault="00E3622E" w:rsidP="00E3622E">
      <w:pPr>
        <w:pStyle w:val="Corpodetexto"/>
        <w:pBdr>
          <w:top w:val="single" w:sz="4" w:space="1" w:color="auto"/>
          <w:left w:val="single" w:sz="4" w:space="0" w:color="auto"/>
          <w:bottom w:val="single" w:sz="4" w:space="1" w:color="auto"/>
          <w:right w:val="single" w:sz="4" w:space="1" w:color="auto"/>
        </w:pBdr>
        <w:shd w:val="clear" w:color="FABF8F" w:themeColor="accent6" w:themeTint="99" w:fill="FFFF00"/>
        <w:ind w:firstLine="567"/>
        <w:outlineLvl w:val="0"/>
        <w:rPr>
          <w:bCs w:val="0"/>
          <w:snapToGrid w:val="0"/>
          <w:sz w:val="20"/>
          <w:szCs w:val="20"/>
        </w:rPr>
      </w:pPr>
    </w:p>
    <w:p w:rsidR="00E3622E" w:rsidRPr="00E3622E" w:rsidRDefault="00E3622E" w:rsidP="00E3622E">
      <w:pPr>
        <w:pStyle w:val="Corpodetexto"/>
        <w:pBdr>
          <w:top w:val="single" w:sz="4" w:space="1" w:color="auto"/>
          <w:left w:val="single" w:sz="4" w:space="0" w:color="auto"/>
          <w:bottom w:val="single" w:sz="4" w:space="1" w:color="auto"/>
          <w:right w:val="single" w:sz="4" w:space="1" w:color="auto"/>
        </w:pBdr>
        <w:shd w:val="clear" w:color="FABF8F" w:themeColor="accent6" w:themeTint="99" w:fill="FFFF00"/>
        <w:ind w:firstLine="567"/>
        <w:outlineLvl w:val="0"/>
        <w:rPr>
          <w:bCs w:val="0"/>
          <w:snapToGrid w:val="0"/>
          <w:sz w:val="25"/>
          <w:szCs w:val="25"/>
        </w:rPr>
      </w:pPr>
      <w:r w:rsidRPr="00E3622E">
        <w:rPr>
          <w:bCs w:val="0"/>
          <w:snapToGrid w:val="0"/>
          <w:sz w:val="25"/>
          <w:szCs w:val="25"/>
        </w:rPr>
        <w:t>A Coordenadoria de Jurisprudência conta com as sugestões dos leitores para aprimorar o conteúdo e o formato das informações aqui divulgadas.</w:t>
      </w:r>
    </w:p>
    <w:p w:rsidR="00E3622E" w:rsidRPr="00883391" w:rsidRDefault="00E3622E" w:rsidP="00E3622E">
      <w:pPr>
        <w:pStyle w:val="Corpodetexto"/>
        <w:pBdr>
          <w:top w:val="single" w:sz="4" w:space="1" w:color="auto"/>
          <w:left w:val="single" w:sz="4" w:space="0" w:color="auto"/>
          <w:bottom w:val="single" w:sz="4" w:space="1" w:color="auto"/>
          <w:right w:val="single" w:sz="4" w:space="1" w:color="auto"/>
        </w:pBdr>
        <w:shd w:val="clear" w:color="FABF8F" w:themeColor="accent6" w:themeTint="99" w:fill="FFFF00"/>
        <w:ind w:firstLine="567"/>
        <w:outlineLvl w:val="0"/>
        <w:rPr>
          <w:bCs w:val="0"/>
          <w:snapToGrid w:val="0"/>
          <w:sz w:val="20"/>
          <w:szCs w:val="20"/>
        </w:rPr>
      </w:pPr>
    </w:p>
    <w:p w:rsidR="00E3622E" w:rsidRPr="00E3622E" w:rsidRDefault="001444DA" w:rsidP="00E3622E">
      <w:pPr>
        <w:pStyle w:val="Corpodetexto"/>
        <w:pBdr>
          <w:top w:val="single" w:sz="4" w:space="1" w:color="auto"/>
          <w:left w:val="single" w:sz="4" w:space="0" w:color="auto"/>
          <w:bottom w:val="single" w:sz="4" w:space="1" w:color="auto"/>
          <w:right w:val="single" w:sz="4" w:space="1" w:color="auto"/>
        </w:pBdr>
        <w:shd w:val="clear" w:color="FABF8F" w:themeColor="accent6" w:themeTint="99" w:fill="FFFF00"/>
        <w:ind w:firstLine="567"/>
        <w:outlineLvl w:val="0"/>
        <w:rPr>
          <w:bCs w:val="0"/>
          <w:snapToGrid w:val="0"/>
          <w:sz w:val="25"/>
          <w:szCs w:val="25"/>
        </w:rPr>
      </w:pPr>
      <w:r>
        <w:rPr>
          <w:bCs w:val="0"/>
          <w:snapToGrid w:val="0"/>
          <w:sz w:val="25"/>
          <w:szCs w:val="25"/>
        </w:rPr>
        <w:t xml:space="preserve">Entre em contato pelo </w:t>
      </w:r>
      <w:r>
        <w:rPr>
          <w:bCs w:val="0"/>
          <w:i/>
          <w:snapToGrid w:val="0"/>
          <w:sz w:val="25"/>
          <w:szCs w:val="25"/>
        </w:rPr>
        <w:t xml:space="preserve">e-mail </w:t>
      </w:r>
      <w:r w:rsidR="00E3622E" w:rsidRPr="00E3622E">
        <w:rPr>
          <w:bCs w:val="0"/>
          <w:snapToGrid w:val="0"/>
          <w:sz w:val="25"/>
          <w:szCs w:val="25"/>
        </w:rPr>
        <w:t xml:space="preserve"> </w:t>
      </w:r>
      <w:hyperlink r:id="rId20" w:history="1">
        <w:r w:rsidR="00E3622E" w:rsidRPr="00E3622E">
          <w:rPr>
            <w:rStyle w:val="Hyperlink"/>
            <w:snapToGrid w:val="0"/>
            <w:sz w:val="25"/>
            <w:szCs w:val="25"/>
          </w:rPr>
          <w:t>cjur@tst.jus.br</w:t>
        </w:r>
      </w:hyperlink>
    </w:p>
    <w:p w:rsidR="008E5117" w:rsidRDefault="008E5117" w:rsidP="00E3622E">
      <w:pPr>
        <w:pStyle w:val="Corpodetexto"/>
        <w:pBdr>
          <w:top w:val="single" w:sz="4" w:space="1" w:color="auto"/>
          <w:left w:val="single" w:sz="4" w:space="0" w:color="auto"/>
          <w:bottom w:val="single" w:sz="4" w:space="1" w:color="auto"/>
          <w:right w:val="single" w:sz="4" w:space="1" w:color="auto"/>
        </w:pBdr>
        <w:shd w:val="clear" w:color="FABF8F" w:themeColor="accent6" w:themeTint="99" w:fill="FFFF00"/>
        <w:ind w:firstLine="567"/>
        <w:jc w:val="both"/>
        <w:outlineLvl w:val="0"/>
        <w:rPr>
          <w:b w:val="0"/>
          <w:bCs w:val="0"/>
          <w:snapToGrid w:val="0"/>
          <w:sz w:val="25"/>
          <w:szCs w:val="25"/>
        </w:rPr>
      </w:pPr>
    </w:p>
    <w:p w:rsidR="008E5117" w:rsidRDefault="008E5117" w:rsidP="00E3622E">
      <w:pPr>
        <w:pStyle w:val="Corpodetexto"/>
        <w:pBdr>
          <w:top w:val="single" w:sz="4" w:space="1" w:color="auto"/>
          <w:left w:val="single" w:sz="4" w:space="0" w:color="auto"/>
          <w:bottom w:val="single" w:sz="4" w:space="1" w:color="auto"/>
          <w:right w:val="single" w:sz="4" w:space="1" w:color="auto"/>
        </w:pBdr>
        <w:shd w:val="clear" w:color="FABF8F" w:themeColor="accent6" w:themeTint="99" w:fill="FFFF00"/>
        <w:outlineLvl w:val="0"/>
        <w:rPr>
          <w:b w:val="0"/>
          <w:bCs w:val="0"/>
          <w:snapToGrid w:val="0"/>
          <w:sz w:val="25"/>
          <w:szCs w:val="25"/>
        </w:rPr>
      </w:pPr>
    </w:p>
    <w:p w:rsidR="008E5117" w:rsidRDefault="008E5117" w:rsidP="00C6738C">
      <w:pPr>
        <w:rPr>
          <w:sz w:val="10"/>
          <w:szCs w:val="10"/>
        </w:rPr>
      </w:pPr>
    </w:p>
    <w:p w:rsidR="00E3622E" w:rsidRDefault="00E3622E" w:rsidP="00C6738C">
      <w:pPr>
        <w:rPr>
          <w:sz w:val="10"/>
          <w:szCs w:val="10"/>
        </w:rPr>
      </w:pPr>
    </w:p>
    <w:p w:rsidR="00E3622E" w:rsidRDefault="00E3622E" w:rsidP="00C6738C">
      <w:pPr>
        <w:rPr>
          <w:sz w:val="10"/>
          <w:szCs w:val="10"/>
        </w:rPr>
      </w:pPr>
    </w:p>
    <w:p w:rsidR="00E3622E" w:rsidRDefault="00E3622E" w:rsidP="00C6738C">
      <w:pPr>
        <w:rPr>
          <w:sz w:val="10"/>
          <w:szCs w:val="10"/>
        </w:rPr>
      </w:pPr>
    </w:p>
    <w:p w:rsidR="00E3622E" w:rsidRDefault="00E3622E" w:rsidP="00C6738C">
      <w:pPr>
        <w:rPr>
          <w:sz w:val="10"/>
          <w:szCs w:val="10"/>
        </w:rPr>
      </w:pPr>
    </w:p>
    <w:p w:rsidR="00E3622E" w:rsidRDefault="00E3622E" w:rsidP="00C6738C">
      <w:pPr>
        <w:rPr>
          <w:sz w:val="10"/>
          <w:szCs w:val="10"/>
        </w:rPr>
      </w:pPr>
    </w:p>
    <w:p w:rsidR="00E3622E" w:rsidRDefault="00E3622E" w:rsidP="00C6738C">
      <w:pPr>
        <w:rPr>
          <w:sz w:val="10"/>
          <w:szCs w:val="10"/>
        </w:rPr>
      </w:pPr>
    </w:p>
    <w:p w:rsidR="00E3622E" w:rsidRPr="00020CD0" w:rsidRDefault="00E3622E" w:rsidP="00C6738C">
      <w:pPr>
        <w:rPr>
          <w:sz w:val="10"/>
          <w:szCs w:val="10"/>
        </w:rPr>
      </w:pP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020CD0">
        <w:rPr>
          <w:b w:val="0"/>
          <w:bCs w:val="0"/>
          <w:snapToGrid w:val="0"/>
          <w:sz w:val="25"/>
          <w:szCs w:val="25"/>
        </w:rPr>
        <w:t xml:space="preserve">Informativo TST é mantido pela </w:t>
      </w:r>
    </w:p>
    <w:p w:rsidR="0018459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020CD0">
        <w:rPr>
          <w:b w:val="0"/>
          <w:bCs w:val="0"/>
          <w:snapToGrid w:val="0"/>
          <w:sz w:val="25"/>
          <w:szCs w:val="25"/>
        </w:rPr>
        <w:t>Coordenadoria de Jurisprudência – CJUR</w:t>
      </w:r>
    </w:p>
    <w:p w:rsidR="007F02D5"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Informações/Sugestões/Críticas: (61)3043</w:t>
      </w:r>
      <w:r w:rsidR="00352B27" w:rsidRPr="00020CD0">
        <w:rPr>
          <w:snapToGrid w:val="0"/>
          <w:sz w:val="25"/>
          <w:szCs w:val="25"/>
        </w:rPr>
        <w:t>-</w:t>
      </w:r>
      <w:r w:rsidRPr="00020CD0">
        <w:rPr>
          <w:snapToGrid w:val="0"/>
          <w:sz w:val="25"/>
          <w:szCs w:val="25"/>
        </w:rPr>
        <w:t>4</w:t>
      </w:r>
      <w:r w:rsidR="000303C3">
        <w:rPr>
          <w:snapToGrid w:val="0"/>
          <w:sz w:val="25"/>
          <w:szCs w:val="25"/>
        </w:rPr>
        <w:t>612</w:t>
      </w:r>
      <w:r w:rsidR="007F02D5">
        <w:rPr>
          <w:snapToGrid w:val="0"/>
          <w:sz w:val="25"/>
          <w:szCs w:val="25"/>
        </w:rPr>
        <w:t xml:space="preserve"> ou </w:t>
      </w:r>
      <w:hyperlink r:id="rId21" w:history="1">
        <w:r w:rsidR="005F0522" w:rsidRPr="00AC667D">
          <w:rPr>
            <w:rStyle w:val="Hyperlink"/>
            <w:snapToGrid w:val="0"/>
            <w:sz w:val="25"/>
            <w:szCs w:val="25"/>
          </w:rPr>
          <w:t>cjur@tst.jus.br</w:t>
        </w:r>
      </w:hyperlink>
    </w:p>
    <w:p w:rsidR="007F02D5"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F02D5"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Pr>
          <w:snapToGrid w:val="0"/>
          <w:sz w:val="25"/>
          <w:szCs w:val="25"/>
        </w:rPr>
        <w:t xml:space="preserve">Para acessar todas as edições: </w:t>
      </w:r>
      <w:hyperlink r:id="rId22" w:history="1">
        <w:r w:rsidRPr="00AC667D">
          <w:rPr>
            <w:rStyle w:val="Hyperlink"/>
            <w:snapToGrid w:val="0"/>
            <w:sz w:val="25"/>
            <w:szCs w:val="25"/>
          </w:rPr>
          <w:t>http://www.tst.jus.br/informativos</w:t>
        </w:r>
      </w:hyperlink>
    </w:p>
    <w:p w:rsidR="009E534D"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Pr>
          <w:snapToGrid w:val="0"/>
          <w:sz w:val="25"/>
          <w:szCs w:val="25"/>
        </w:rPr>
        <w:t xml:space="preserve">Para receber via </w:t>
      </w:r>
      <w:r w:rsidRPr="005E18BC">
        <w:rPr>
          <w:i/>
          <w:snapToGrid w:val="0"/>
          <w:sz w:val="25"/>
          <w:szCs w:val="25"/>
        </w:rPr>
        <w:t>e-mail</w:t>
      </w:r>
      <w:r>
        <w:rPr>
          <w:snapToGrid w:val="0"/>
          <w:sz w:val="25"/>
          <w:szCs w:val="25"/>
        </w:rPr>
        <w:t xml:space="preserve">: </w:t>
      </w:r>
      <w:hyperlink r:id="rId23" w:history="1">
        <w:r w:rsidRPr="00AC667D">
          <w:rPr>
            <w:rStyle w:val="Hyperlink"/>
            <w:snapToGrid w:val="0"/>
            <w:sz w:val="25"/>
            <w:szCs w:val="25"/>
          </w:rPr>
          <w:t>http://www.tst.jus.br/push</w:t>
        </w:r>
      </w:hyperlink>
    </w:p>
    <w:p w:rsidR="009E534D" w:rsidRPr="00020CD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020CD0" w:rsidSect="00D11B24">
      <w:headerReference w:type="default" r:id="rId24"/>
      <w:footerReference w:type="default" r:id="rId25"/>
      <w:headerReference w:type="first" r:id="rId26"/>
      <w:footerReference w:type="first" r:id="rId27"/>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2E" w:rsidRDefault="00E3622E">
      <w:r>
        <w:separator/>
      </w:r>
    </w:p>
  </w:endnote>
  <w:endnote w:type="continuationSeparator" w:id="0">
    <w:p w:rsidR="00E3622E" w:rsidRDefault="00E3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2E" w:rsidRDefault="00E3622E">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0D9C">
      <w:rPr>
        <w:rStyle w:val="Nmerodepgina"/>
        <w:noProof/>
      </w:rPr>
      <w:t>6</w:t>
    </w:r>
    <w:r>
      <w:rPr>
        <w:rStyle w:val="Nmerodepgina"/>
      </w:rPr>
      <w:fldChar w:fldCharType="end"/>
    </w:r>
  </w:p>
  <w:p w:rsidR="00E3622E" w:rsidRDefault="00E3622E">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2E" w:rsidRDefault="00E3622E">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1F3CD3">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2E" w:rsidRDefault="00E3622E">
      <w:r>
        <w:separator/>
      </w:r>
    </w:p>
  </w:footnote>
  <w:footnote w:type="continuationSeparator" w:id="0">
    <w:p w:rsidR="00E3622E" w:rsidRDefault="00E36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2E" w:rsidRPr="008420B2" w:rsidRDefault="00E3622E">
    <w:pPr>
      <w:pStyle w:val="Corpodetexto"/>
      <w:jc w:val="right"/>
      <w:rPr>
        <w:sz w:val="24"/>
        <w:szCs w:val="24"/>
        <w14:shadow w14:blurRad="50800" w14:dist="38100" w14:dir="2700000" w14:sx="100000" w14:sy="100000" w14:kx="0" w14:ky="0" w14:algn="tl">
          <w14:srgbClr w14:val="000000">
            <w14:alpha w14:val="60000"/>
          </w14:srgbClr>
        </w14:shadow>
      </w:rPr>
    </w:pPr>
    <w:r w:rsidRPr="008420B2">
      <w:rPr>
        <w:sz w:val="24"/>
        <w:szCs w:val="24"/>
        <w14:shadow w14:blurRad="50800" w14:dist="38100" w14:dir="2700000" w14:sx="100000" w14:sy="100000" w14:kx="0" w14:ky="0" w14:algn="tl">
          <w14:srgbClr w14:val="000000">
            <w14:alpha w14:val="60000"/>
          </w14:srgbClr>
        </w14:shadow>
      </w:rPr>
      <w:t>Informativo TST - nº 19</w:t>
    </w:r>
    <w:r w:rsidR="001444DA">
      <w:rPr>
        <w:sz w:val="24"/>
        <w:szCs w:val="24"/>
        <w14:shadow w14:blurRad="50800" w14:dist="38100" w14:dir="2700000" w14:sx="100000" w14:sy="100000" w14:kx="0" w14:ky="0" w14:algn="tl">
          <w14:srgbClr w14:val="000000">
            <w14:alpha w14:val="60000"/>
          </w14:srgbClr>
        </w14:shadow>
      </w:rPr>
      <w:t>8</w:t>
    </w:r>
  </w:p>
  <w:p w:rsidR="00E3622E" w:rsidRDefault="00E3622E"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14:anchorId="0E925853" wp14:editId="1F532825">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Pr="003C0554">
      <w:rPr>
        <w:iCs/>
      </w:rPr>
      <w:t xml:space="preserve"> </w:t>
    </w:r>
    <w:r>
      <w:rPr>
        <w:i/>
        <w:iCs/>
      </w:rPr>
      <w:t xml:space="preserve">Período: </w:t>
    </w:r>
    <w:r w:rsidR="001444DA">
      <w:rPr>
        <w:i/>
        <w:iCs/>
      </w:rPr>
      <w:t>4</w:t>
    </w:r>
    <w:r w:rsidR="003971B2">
      <w:rPr>
        <w:i/>
        <w:iCs/>
      </w:rPr>
      <w:t xml:space="preserve"> a </w:t>
    </w:r>
    <w:r w:rsidR="001444DA">
      <w:rPr>
        <w:i/>
        <w:iCs/>
      </w:rPr>
      <w:t>10</w:t>
    </w:r>
    <w:r w:rsidR="003971B2">
      <w:rPr>
        <w:i/>
        <w:iCs/>
      </w:rPr>
      <w:t xml:space="preserve"> de junho</w:t>
    </w:r>
    <w:r>
      <w:rPr>
        <w:i/>
        <w:iCs/>
      </w:rPr>
      <w:t xml:space="preserve"> de 2019</w:t>
    </w:r>
  </w:p>
  <w:p w:rsidR="00E3622E" w:rsidRPr="005D1DE4" w:rsidRDefault="00E3622E"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2E" w:rsidRDefault="00A40D9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E3622E">
      <w:rPr>
        <w:noProof/>
      </w:rPr>
      <w:drawing>
        <wp:inline distT="0" distB="0" distL="0" distR="0" wp14:anchorId="1CC71A3D" wp14:editId="1D465E2B">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E3622E" w:rsidRPr="002168DE" w:rsidRDefault="00E3622E"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sidR="00883391">
      <w:rPr>
        <w:b/>
        <w:sz w:val="40"/>
        <w:szCs w:val="40"/>
      </w:rPr>
      <w:t>19</w:t>
    </w:r>
    <w:r w:rsidR="001444DA">
      <w:rPr>
        <w:b/>
        <w:sz w:val="40"/>
        <w:szCs w:val="40"/>
      </w:rPr>
      <w:t>8</w:t>
    </w:r>
  </w:p>
  <w:p w:rsidR="00E3622E" w:rsidRPr="005D1DE4" w:rsidRDefault="00E3622E">
    <w:pPr>
      <w:pStyle w:val="Cabealho"/>
      <w:jc w:val="right"/>
      <w:rPr>
        <w:i/>
        <w:iCs/>
        <w:sz w:val="10"/>
        <w:szCs w:val="10"/>
      </w:rPr>
    </w:pPr>
  </w:p>
  <w:p w:rsidR="00E3622E" w:rsidRDefault="00E3622E" w:rsidP="009A16E8">
    <w:pPr>
      <w:pStyle w:val="Cabealho"/>
      <w:jc w:val="right"/>
      <w:rPr>
        <w:i/>
        <w:iCs/>
      </w:rPr>
    </w:pPr>
    <w:r>
      <w:rPr>
        <w:i/>
        <w:iCs/>
      </w:rPr>
      <w:t xml:space="preserve">Período: </w:t>
    </w:r>
    <w:r w:rsidR="001444DA">
      <w:rPr>
        <w:i/>
        <w:iCs/>
      </w:rPr>
      <w:t>4</w:t>
    </w:r>
    <w:r w:rsidR="00883391">
      <w:rPr>
        <w:i/>
        <w:iCs/>
      </w:rPr>
      <w:t xml:space="preserve"> a </w:t>
    </w:r>
    <w:r w:rsidR="001444DA">
      <w:rPr>
        <w:i/>
        <w:iCs/>
      </w:rPr>
      <w:t>10</w:t>
    </w:r>
    <w:r w:rsidR="00883391">
      <w:rPr>
        <w:i/>
        <w:iCs/>
      </w:rPr>
      <w:t xml:space="preserve"> de junho </w:t>
    </w:r>
    <w:r>
      <w:rPr>
        <w:i/>
        <w:iCs/>
      </w:rPr>
      <w:t>de 2019</w:t>
    </w:r>
  </w:p>
  <w:p w:rsidR="00E3622E" w:rsidRDefault="00E3622E"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0F260C"/>
    <w:rsid w:val="00106A93"/>
    <w:rsid w:val="0011575C"/>
    <w:rsid w:val="0011692E"/>
    <w:rsid w:val="00122C2A"/>
    <w:rsid w:val="001257D7"/>
    <w:rsid w:val="001365EE"/>
    <w:rsid w:val="00136E86"/>
    <w:rsid w:val="00137564"/>
    <w:rsid w:val="00137DC1"/>
    <w:rsid w:val="00141630"/>
    <w:rsid w:val="00142C28"/>
    <w:rsid w:val="001444DA"/>
    <w:rsid w:val="00152238"/>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402B0"/>
    <w:rsid w:val="002449F9"/>
    <w:rsid w:val="00255732"/>
    <w:rsid w:val="00257B4A"/>
    <w:rsid w:val="00260B37"/>
    <w:rsid w:val="002635ED"/>
    <w:rsid w:val="002662BA"/>
    <w:rsid w:val="00266A22"/>
    <w:rsid w:val="00266D49"/>
    <w:rsid w:val="00271C5C"/>
    <w:rsid w:val="00271E67"/>
    <w:rsid w:val="002730B5"/>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971B2"/>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F2078"/>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31B7"/>
    <w:rsid w:val="0047749E"/>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F82"/>
    <w:rsid w:val="00591DFA"/>
    <w:rsid w:val="005A30AA"/>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64EC"/>
    <w:rsid w:val="0066084C"/>
    <w:rsid w:val="00661B23"/>
    <w:rsid w:val="00665CCF"/>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022"/>
    <w:rsid w:val="0070727E"/>
    <w:rsid w:val="007101D6"/>
    <w:rsid w:val="00710D3A"/>
    <w:rsid w:val="0071315F"/>
    <w:rsid w:val="00720057"/>
    <w:rsid w:val="00721942"/>
    <w:rsid w:val="00722BE7"/>
    <w:rsid w:val="00723134"/>
    <w:rsid w:val="00730CC7"/>
    <w:rsid w:val="00732DF2"/>
    <w:rsid w:val="007403B3"/>
    <w:rsid w:val="00750B85"/>
    <w:rsid w:val="007568FD"/>
    <w:rsid w:val="007614F1"/>
    <w:rsid w:val="007618C5"/>
    <w:rsid w:val="00764066"/>
    <w:rsid w:val="00766B7B"/>
    <w:rsid w:val="0077600F"/>
    <w:rsid w:val="007760AE"/>
    <w:rsid w:val="00776118"/>
    <w:rsid w:val="00781C77"/>
    <w:rsid w:val="00790F13"/>
    <w:rsid w:val="00793A1C"/>
    <w:rsid w:val="00796745"/>
    <w:rsid w:val="007A28FF"/>
    <w:rsid w:val="007A4009"/>
    <w:rsid w:val="007A4F78"/>
    <w:rsid w:val="007A7125"/>
    <w:rsid w:val="007B0F83"/>
    <w:rsid w:val="007B5D65"/>
    <w:rsid w:val="007C0A4F"/>
    <w:rsid w:val="007D0081"/>
    <w:rsid w:val="007D19FC"/>
    <w:rsid w:val="007D29A1"/>
    <w:rsid w:val="007D2B4E"/>
    <w:rsid w:val="007D2DB0"/>
    <w:rsid w:val="007D2EE9"/>
    <w:rsid w:val="007D469A"/>
    <w:rsid w:val="007D6D94"/>
    <w:rsid w:val="007D6F8C"/>
    <w:rsid w:val="007E069C"/>
    <w:rsid w:val="007E094E"/>
    <w:rsid w:val="007E0EA7"/>
    <w:rsid w:val="007E26A1"/>
    <w:rsid w:val="007E37B1"/>
    <w:rsid w:val="007E3F23"/>
    <w:rsid w:val="007E53A4"/>
    <w:rsid w:val="007F02D5"/>
    <w:rsid w:val="007F142E"/>
    <w:rsid w:val="007F289C"/>
    <w:rsid w:val="007F2BBE"/>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409D3"/>
    <w:rsid w:val="008420B2"/>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F26CB"/>
    <w:rsid w:val="008F36EC"/>
    <w:rsid w:val="008F3D95"/>
    <w:rsid w:val="008F6509"/>
    <w:rsid w:val="008F79D9"/>
    <w:rsid w:val="009027C8"/>
    <w:rsid w:val="00910EEF"/>
    <w:rsid w:val="00920B0C"/>
    <w:rsid w:val="00922D1B"/>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40D9C"/>
    <w:rsid w:val="00A51749"/>
    <w:rsid w:val="00A521B6"/>
    <w:rsid w:val="00A56962"/>
    <w:rsid w:val="00A62DD3"/>
    <w:rsid w:val="00A6382F"/>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C096E"/>
    <w:rsid w:val="00AC4F6C"/>
    <w:rsid w:val="00AD0ED3"/>
    <w:rsid w:val="00AD1400"/>
    <w:rsid w:val="00AD6E76"/>
    <w:rsid w:val="00AE3EAA"/>
    <w:rsid w:val="00AE5EDF"/>
    <w:rsid w:val="00AE758A"/>
    <w:rsid w:val="00AF77DF"/>
    <w:rsid w:val="00B03BC8"/>
    <w:rsid w:val="00B06261"/>
    <w:rsid w:val="00B06914"/>
    <w:rsid w:val="00B108BA"/>
    <w:rsid w:val="00B108E6"/>
    <w:rsid w:val="00B12273"/>
    <w:rsid w:val="00B13F59"/>
    <w:rsid w:val="00B14F7F"/>
    <w:rsid w:val="00B16EB9"/>
    <w:rsid w:val="00B22F24"/>
    <w:rsid w:val="00B22F53"/>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B0C2A"/>
    <w:rsid w:val="00CB3B98"/>
    <w:rsid w:val="00CB7D7E"/>
    <w:rsid w:val="00CC22E1"/>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188A"/>
    <w:rsid w:val="00E420AA"/>
    <w:rsid w:val="00E432CC"/>
    <w:rsid w:val="00E47FF2"/>
    <w:rsid w:val="00E50711"/>
    <w:rsid w:val="00E52522"/>
    <w:rsid w:val="00E531C9"/>
    <w:rsid w:val="00E60AD3"/>
    <w:rsid w:val="00E60EDA"/>
    <w:rsid w:val="00E62BBC"/>
    <w:rsid w:val="00E67BAE"/>
    <w:rsid w:val="00E711AE"/>
    <w:rsid w:val="00E716F3"/>
    <w:rsid w:val="00E76789"/>
    <w:rsid w:val="00E774F6"/>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463D"/>
    <w:rsid w:val="00F37F29"/>
    <w:rsid w:val="00F42243"/>
    <w:rsid w:val="00F43793"/>
    <w:rsid w:val="00F45608"/>
    <w:rsid w:val="00F47E3B"/>
    <w:rsid w:val="00F511EE"/>
    <w:rsid w:val="00F52475"/>
    <w:rsid w:val="00F54576"/>
    <w:rsid w:val="00F55574"/>
    <w:rsid w:val="00F558E7"/>
    <w:rsid w:val="00F60363"/>
    <w:rsid w:val="00F62016"/>
    <w:rsid w:val="00F63F44"/>
    <w:rsid w:val="00F6401B"/>
    <w:rsid w:val="00F65243"/>
    <w:rsid w:val="00F6746D"/>
    <w:rsid w:val="00F675D5"/>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AFB"/>
    <w:rsid w:val="00FB0C06"/>
    <w:rsid w:val="00FB0DC9"/>
    <w:rsid w:val="00FB20B1"/>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resumoForm.do?consulta=1&amp;numeroInt=139285&amp;anoInt=2015" TargetMode="External"/><Relationship Id="rId18" Type="http://schemas.openxmlformats.org/officeDocument/2006/relationships/hyperlink" Target="http://aplicacao5.tst.jus.br/consultaDocumento/acordao.do?anoProcInt=2018&amp;numProcInt=22059&amp;dtaPublicacaoStr=07/06/2019%2007:00:00&amp;nia=7354727"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jur@tst.jus.br" TargetMode="External"/><Relationship Id="rId7" Type="http://schemas.openxmlformats.org/officeDocument/2006/relationships/footnotes" Target="footnotes.xml"/><Relationship Id="rId12" Type="http://schemas.openxmlformats.org/officeDocument/2006/relationships/hyperlink" Target="https://hdl.handle.net/20.500.12178/108169" TargetMode="External"/><Relationship Id="rId17" Type="http://schemas.openxmlformats.org/officeDocument/2006/relationships/hyperlink" Target="http://aplicacao5.tst.jus.br/consultaDocumento/acordao.do?anoProcInt=2019&amp;numProcInt=120293&amp;dtaPublicacaoStr=07/06/2019%2007:00:00&amp;nia=735447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licacao5.tst.jus.br/consultaDocumento/acordao.do?anoProcInt=2018&amp;numProcInt=136220&amp;dtaPublicacaoStr=07/06/2019%2007:00:00&amp;nia=7356331" TargetMode="External"/><Relationship Id="rId20" Type="http://schemas.openxmlformats.org/officeDocument/2006/relationships/hyperlink" Target="mailto:cjur@tst.jus.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slaboris.tst.jus.br/bitstream/handle/20.500.12178/95613/2016_informativo_tst_cjur_n0146.pdf?sequence=3&amp;isAllowed=y"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aplicacao4.tst.jus.br/consultaProcessual/resumoForm.do?consulta=1&amp;numeroInt=205484&amp;anoInt=2018" TargetMode="External"/><Relationship Id="rId23" Type="http://schemas.openxmlformats.org/officeDocument/2006/relationships/hyperlink" Target="http://www.tst.jus.br/push" TargetMode="External"/><Relationship Id="rId28" Type="http://schemas.openxmlformats.org/officeDocument/2006/relationships/fontTable" Target="fontTable.xml"/><Relationship Id="rId10" Type="http://schemas.openxmlformats.org/officeDocument/2006/relationships/hyperlink" Target="http://aplicacao4.tst.jus.br/consultaProcessual/resumoForm.do?consulta=1&amp;numeroInt=115810&amp;anoInt=2016" TargetMode="External"/><Relationship Id="rId19" Type="http://schemas.openxmlformats.org/officeDocument/2006/relationships/hyperlink" Target="http://aplicacao5.tst.jus.br/consultaDocumento/acordao.do?anoProcInt=2019&amp;numProcInt=69549&amp;dtaPublicacaoStr=07/06/2019%2007:00:00&amp;nia=7354731" TargetMode="Externa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10314&amp;digitoTst=74&amp;anoTst=2015&amp;orgaoTst=5&amp;tribunalTst=15&amp;varaTst=0086" TargetMode="External"/><Relationship Id="rId14" Type="http://schemas.openxmlformats.org/officeDocument/2006/relationships/hyperlink" Target="http://aplicacao5.tst.jus.br/consultaDocumento/acordao.do?anoProcInt=2009&amp;numProcInt=608501&amp;dtaPublicacaoStr=07/06/2019%2007:00:00&amp;nia=7355414" TargetMode="External"/><Relationship Id="rId22" Type="http://schemas.openxmlformats.org/officeDocument/2006/relationships/hyperlink" Target="http://www.tst.jus.br/informativos"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3775A-7C0F-47C7-9FD4-398E7193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3086</Words>
  <Characters>19141</Characters>
  <Application>Microsoft Office Word</Application>
  <DocSecurity>0</DocSecurity>
  <Lines>1196</Lines>
  <Paragraphs>673</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21554</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c037092</cp:lastModifiedBy>
  <cp:revision>6</cp:revision>
  <cp:lastPrinted>2017-03-06T19:28:00Z</cp:lastPrinted>
  <dcterms:created xsi:type="dcterms:W3CDTF">2019-06-25T17:25:00Z</dcterms:created>
  <dcterms:modified xsi:type="dcterms:W3CDTF">2019-06-25T17:42:00Z</dcterms:modified>
</cp:coreProperties>
</file>