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920B0C" w:rsidRPr="006E3AC8"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6E3AC8">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920B0C" w:rsidRPr="005E60E9" w:rsidRDefault="00920B0C" w:rsidP="007760AE">
      <w:pPr>
        <w:jc w:val="both"/>
        <w:rPr>
          <w:u w:val="single"/>
        </w:rPr>
      </w:pPr>
    </w:p>
    <w:p w:rsidR="00DF71EE" w:rsidRPr="00DF71EE" w:rsidRDefault="00DF71EE" w:rsidP="00DF71EE">
      <w:pPr>
        <w:autoSpaceDE/>
        <w:autoSpaceDN/>
        <w:jc w:val="both"/>
        <w:rPr>
          <w:rFonts w:eastAsia="Calibri"/>
          <w:b/>
          <w:i/>
          <w:sz w:val="24"/>
          <w:szCs w:val="24"/>
          <w:lang w:eastAsia="en-US"/>
        </w:rPr>
      </w:pPr>
      <w:r w:rsidRPr="00DF71EE">
        <w:rPr>
          <w:rFonts w:eastAsia="Calibri"/>
          <w:b/>
          <w:i/>
          <w:sz w:val="24"/>
          <w:szCs w:val="24"/>
          <w:lang w:eastAsia="en-US"/>
        </w:rPr>
        <w:t>Férias. Conversão de 1/3 do período em abono pecuniário. Imposição do empregador. Aplicação da sanção do art. 137 da CLT. Pagamento em dobro devido. Dedução dos valores recebidos a título de abono pecuniário.</w:t>
      </w:r>
    </w:p>
    <w:p w:rsidR="00DF71EE" w:rsidRPr="00DF71EE" w:rsidRDefault="00DF71EE" w:rsidP="00DF71EE">
      <w:pPr>
        <w:autoSpaceDE/>
        <w:autoSpaceDN/>
        <w:jc w:val="both"/>
        <w:rPr>
          <w:rFonts w:eastAsia="Calibri"/>
          <w:bCs/>
          <w:sz w:val="24"/>
          <w:szCs w:val="24"/>
          <w:u w:val="single"/>
          <w:lang w:eastAsia="en-US"/>
        </w:rPr>
      </w:pPr>
      <w:r w:rsidRPr="00DF71EE">
        <w:rPr>
          <w:rFonts w:eastAsia="Calibri"/>
          <w:sz w:val="24"/>
          <w:szCs w:val="24"/>
          <w:lang w:eastAsia="en-US"/>
        </w:rPr>
        <w:t xml:space="preserve">A conversão de 1/3 do período de férias em abono pecuniário, conforme o art. 143 da CLT, é um direito potestativo do empregado, razão pela qual não pode ser imposta pelo empregador, sob pena de descumprimento dos arts. 134 e 143 da CLT e 7º, XVII, da CF. Ausente a livre escolha do trabalhador, aplica-se a sanção do art. 137 da CLT, que impõe o pagamento em dobro do período não usufruído, a fim de coibir a prática que compromete o direito ao descanso anual. Verificado, contudo, que o empregado já recebeu o abono pecuniário, esse montante deve ser considerado para efeito de aplicação da penalidade, evitando-se o pagamento em triplo da remuneração de férias e o consequente enriquecimento sem causa.  Sob esses fundamentos, a SBDI-I, por unanimidade, conheceu dos embargos, por divergência jurisprudencial, e, no mérito, deu-lhes provimento para restabelecer o acórdão do Regional. </w:t>
      </w:r>
      <w:hyperlink r:id="rId9" w:history="1">
        <w:r w:rsidRPr="00DF71EE">
          <w:rPr>
            <w:rFonts w:eastAsia="Calibri"/>
            <w:color w:val="0000FF"/>
            <w:sz w:val="24"/>
            <w:szCs w:val="24"/>
            <w:u w:val="single"/>
            <w:lang w:eastAsia="en-US"/>
          </w:rPr>
          <w:t>TST-</w:t>
        </w:r>
        <w:r w:rsidRPr="00DF71EE">
          <w:rPr>
            <w:rFonts w:eastAsia="Calibri"/>
            <w:bCs/>
            <w:color w:val="0000FF"/>
            <w:sz w:val="24"/>
            <w:szCs w:val="24"/>
            <w:u w:val="single"/>
            <w:lang w:eastAsia="en-US"/>
          </w:rPr>
          <w:t>E-ED-RR-104300-96.2009.5.04.0022</w:t>
        </w:r>
      </w:hyperlink>
      <w:r w:rsidRPr="00DF71EE">
        <w:rPr>
          <w:rFonts w:eastAsia="Calibri"/>
          <w:sz w:val="24"/>
          <w:szCs w:val="24"/>
          <w:u w:val="single"/>
          <w:lang w:eastAsia="en-US"/>
        </w:rPr>
        <w:t>, SBDI-I, rel.</w:t>
      </w:r>
      <w:r w:rsidRPr="00DF71EE">
        <w:rPr>
          <w:rFonts w:eastAsia="Calibri"/>
          <w:bCs/>
          <w:sz w:val="24"/>
          <w:szCs w:val="24"/>
          <w:u w:val="single"/>
          <w:lang w:eastAsia="en-US"/>
        </w:rPr>
        <w:t xml:space="preserve"> Min. Luiz Philippe Vieira de Mello Filho, 8.11.2018</w:t>
      </w:r>
    </w:p>
    <w:p w:rsidR="00DF71EE" w:rsidRPr="00DF71EE" w:rsidRDefault="00DF71EE" w:rsidP="00920B0C">
      <w:pPr>
        <w:jc w:val="both"/>
        <w:rPr>
          <w:rStyle w:val="f51"/>
          <w:rFonts w:ascii="Times New Roman" w:hAnsi="Times New Roman"/>
          <w:b/>
          <w:i/>
          <w:sz w:val="20"/>
          <w:szCs w:val="20"/>
        </w:rPr>
      </w:pPr>
    </w:p>
    <w:p w:rsidR="00DF71EE" w:rsidRPr="00DF71EE" w:rsidRDefault="00DF71EE" w:rsidP="00DF71EE">
      <w:pPr>
        <w:jc w:val="both"/>
        <w:rPr>
          <w:b/>
          <w:i/>
          <w:sz w:val="24"/>
          <w:szCs w:val="24"/>
        </w:rPr>
      </w:pPr>
      <w:r w:rsidRPr="00DF71EE">
        <w:rPr>
          <w:b/>
          <w:i/>
          <w:sz w:val="24"/>
          <w:szCs w:val="24"/>
        </w:rPr>
        <w:t xml:space="preserve">Acórdão recorrido publicado um dia antes da vigência da Lei nº 13.467/2017. Contagem de prazo em dias úteis. Inaplicabilidade. </w:t>
      </w:r>
    </w:p>
    <w:p w:rsidR="00DF71EE" w:rsidRPr="00DF71EE" w:rsidRDefault="00DF71EE" w:rsidP="00DF71EE">
      <w:pPr>
        <w:jc w:val="both"/>
        <w:rPr>
          <w:sz w:val="24"/>
          <w:szCs w:val="24"/>
        </w:rPr>
      </w:pPr>
      <w:r w:rsidRPr="00DF71EE">
        <w:rPr>
          <w:sz w:val="24"/>
          <w:szCs w:val="24"/>
        </w:rPr>
        <w:t xml:space="preserve">No caso em que o acórdão recorrido foi publicado em 10.11.2017, ou seja, um dia antes da entrada em vigor da Lei nº 13.467/2017 (Reforma Trabalhista), a contagem do prazo para a interposição de recurso segue a regra do art. 775 da CLT vigente à época da publicação do acórdão, ou seja, dias corridos. Não é possível contar o prazo em dias úteis, conforme estipulado pela Lei da Reforma Trabalhista, pois embora as normas de natureza processual tenham aplicação imediata em relação aos processos em curso, não operam efeito retroativo, tendo em vista o princípio </w:t>
      </w:r>
      <w:r w:rsidRPr="00DF71EE">
        <w:rPr>
          <w:i/>
          <w:sz w:val="24"/>
          <w:szCs w:val="24"/>
        </w:rPr>
        <w:t xml:space="preserve">tempus regit actum. </w:t>
      </w:r>
      <w:r w:rsidRPr="00DF71EE">
        <w:rPr>
          <w:sz w:val="24"/>
          <w:szCs w:val="24"/>
        </w:rPr>
        <w:t xml:space="preserve">Sob esse fundamento, a SBDI-I, por unanimidade, conheceu do agravo interno e, no mérito, negou-lhes provimento. </w:t>
      </w:r>
      <w:hyperlink r:id="rId10" w:history="1">
        <w:r w:rsidRPr="00D41890">
          <w:rPr>
            <w:rStyle w:val="Hyperlink"/>
            <w:sz w:val="24"/>
            <w:szCs w:val="24"/>
            <w:lang w:val="en-US"/>
          </w:rPr>
          <w:t>TST-Ag-E-ED-ED-ED-RR-62700-66.2008.5.05.0131</w:t>
        </w:r>
      </w:hyperlink>
      <w:r w:rsidRPr="00DF71EE">
        <w:rPr>
          <w:sz w:val="24"/>
          <w:szCs w:val="24"/>
          <w:u w:val="single"/>
          <w:lang w:val="en-US"/>
        </w:rPr>
        <w:t xml:space="preserve">, SBDI-I, rel. </w:t>
      </w:r>
      <w:r w:rsidRPr="00DF71EE">
        <w:rPr>
          <w:sz w:val="24"/>
          <w:szCs w:val="24"/>
          <w:u w:val="single"/>
        </w:rPr>
        <w:t>Min. Alberto Luiz Bresciani de Fontan Pereira, 8.11.2018</w:t>
      </w:r>
    </w:p>
    <w:p w:rsidR="00DF71EE" w:rsidRPr="00DF71EE" w:rsidRDefault="00DF71EE" w:rsidP="00920B0C">
      <w:pPr>
        <w:jc w:val="both"/>
        <w:rPr>
          <w:rStyle w:val="f51"/>
          <w:rFonts w:ascii="Times New Roman" w:hAnsi="Times New Roman"/>
          <w:b/>
          <w:i/>
          <w:sz w:val="20"/>
          <w:szCs w:val="20"/>
        </w:rPr>
      </w:pPr>
    </w:p>
    <w:p w:rsidR="00DF71EE" w:rsidRPr="00DF71EE" w:rsidRDefault="00DF71EE" w:rsidP="00DF71EE">
      <w:pPr>
        <w:pStyle w:val="Transcrio"/>
        <w:spacing w:line="240" w:lineRule="auto"/>
        <w:ind w:left="0" w:firstLine="0"/>
        <w:rPr>
          <w:rFonts w:eastAsia="Calibri"/>
          <w:b/>
          <w:i/>
          <w:color w:val="auto"/>
          <w:lang w:val="pt-BR" w:eastAsia="en-US"/>
        </w:rPr>
      </w:pPr>
      <w:r w:rsidRPr="00DF71EE">
        <w:rPr>
          <w:rFonts w:eastAsia="Calibri"/>
          <w:b/>
          <w:i/>
          <w:color w:val="auto"/>
          <w:lang w:val="pt-BR" w:eastAsia="en-US"/>
        </w:rPr>
        <w:t xml:space="preserve">Agravo não conhecido por irregularidade de representação. Produção de efeitos processuais, apesar de o apelo ser considerado inexistente. Segundo agravo interposto no mesmo dia. Impossibilidade de exame. Preclusão consumativa. Princípio da unirrecorribilidade. </w:t>
      </w:r>
    </w:p>
    <w:p w:rsidR="00DF71EE" w:rsidRPr="00DF71EE" w:rsidRDefault="00DF71EE" w:rsidP="00DF71EE">
      <w:pPr>
        <w:pStyle w:val="Transcrio"/>
        <w:spacing w:line="240" w:lineRule="auto"/>
        <w:ind w:left="0" w:firstLine="0"/>
        <w:rPr>
          <w:rFonts w:eastAsia="Calibri"/>
          <w:color w:val="auto"/>
          <w:lang w:val="pt-BR" w:eastAsia="en-US"/>
        </w:rPr>
      </w:pPr>
      <w:r w:rsidRPr="00DF71EE">
        <w:rPr>
          <w:rFonts w:eastAsia="Calibri"/>
          <w:color w:val="auto"/>
          <w:lang w:val="pt-BR" w:eastAsia="en-US"/>
        </w:rPr>
        <w:t>A interposição de recurso eivado de irregularidade de representação processual, ainda que considerado inexistente, produz efeitos processuais, acarretando a preclusão consumativa. Desse modo, a interposição do segundo apelo não possui o condão de sanar os vícios que contaminaram o primeiro recurso, porquanto nem sequer é passível de exame. Na hipótese,</w:t>
      </w:r>
      <w:r w:rsidRPr="006E3AC8">
        <w:rPr>
          <w:lang w:val="pt-BR"/>
        </w:rPr>
        <w:t xml:space="preserve"> </w:t>
      </w:r>
      <w:r w:rsidRPr="00DF71EE">
        <w:rPr>
          <w:rFonts w:eastAsia="Calibri"/>
          <w:color w:val="auto"/>
          <w:lang w:val="pt-BR" w:eastAsia="en-US"/>
        </w:rPr>
        <w:t xml:space="preserve">a reclamada, ao impugnar a decisão monocrática que denegou seguimento ao seu agravo de instrumento, interpôs dois agravos internos na mesma data, havendo diferença de horas na protocolização. A Turma não conheceu do primeiro agravo, visto que assinado por advogados sem poderes nos autos, reputando-o inexistente, nos termos da então vigente Súmula nº 164 do TST. Além disso, deixou de examinar o segundo agravo, com fundamento no princípio da unirrecorribilidade e na preclusão consumativa. Assim, a SBDI-I, por unanimidade, conheceu dos embargos interpostos pela reclamada, por </w:t>
      </w:r>
      <w:r w:rsidRPr="00DF71EE">
        <w:rPr>
          <w:rFonts w:eastAsia="Calibri"/>
          <w:color w:val="auto"/>
          <w:lang w:val="pt-BR" w:eastAsia="en-US"/>
        </w:rPr>
        <w:lastRenderedPageBreak/>
        <w:t xml:space="preserve">divergência jurisprudencial, e, no mérito, por maioria, negou-lhes provimento. Vencidos os Ministros Márcio Eurico Vitral Amaro e Breno Medeiros. </w:t>
      </w:r>
      <w:hyperlink r:id="rId11" w:history="1">
        <w:r w:rsidRPr="00D41890">
          <w:rPr>
            <w:rStyle w:val="Hyperlink"/>
            <w:lang w:val="pt-BR"/>
          </w:rPr>
          <w:t>TST-E-ED-Ag-AIRR-150700-20.2009.5.02.0057</w:t>
        </w:r>
      </w:hyperlink>
      <w:r w:rsidRPr="00DF71EE">
        <w:rPr>
          <w:u w:val="single"/>
          <w:lang w:val="pt-BR"/>
        </w:rPr>
        <w:t xml:space="preserve">, SBDI-I, rel. Min. </w:t>
      </w:r>
      <w:r w:rsidRPr="00DF71EE">
        <w:rPr>
          <w:u w:val="single"/>
        </w:rPr>
        <w:t>Alexandre de Souza Agra Belmonte</w:t>
      </w:r>
      <w:r w:rsidRPr="00DF71EE">
        <w:rPr>
          <w:u w:val="single"/>
          <w:lang w:val="pt-BR"/>
        </w:rPr>
        <w:t>, 8.11.2018</w:t>
      </w:r>
    </w:p>
    <w:p w:rsidR="00DF71EE" w:rsidRPr="00DF71EE" w:rsidRDefault="00DF71EE" w:rsidP="00920B0C">
      <w:pPr>
        <w:jc w:val="both"/>
        <w:rPr>
          <w:rStyle w:val="f51"/>
          <w:rFonts w:ascii="Times New Roman" w:hAnsi="Times New Roman"/>
          <w:b/>
          <w:i/>
          <w:sz w:val="20"/>
          <w:szCs w:val="20"/>
        </w:rPr>
      </w:pPr>
    </w:p>
    <w:p w:rsidR="00DF71EE" w:rsidRPr="00DF71EE" w:rsidRDefault="00DF71EE" w:rsidP="00DF71EE">
      <w:pPr>
        <w:pStyle w:val="Corpo"/>
        <w:spacing w:line="240" w:lineRule="auto"/>
        <w:ind w:firstLine="0"/>
        <w:rPr>
          <w:rFonts w:ascii="Times New Roman" w:eastAsia="Calibri" w:hAnsi="Times New Roman" w:cs="Times New Roman"/>
          <w:b/>
          <w:i/>
          <w:color w:val="auto"/>
          <w:lang w:val="pt-BR" w:eastAsia="en-US"/>
        </w:rPr>
      </w:pPr>
      <w:r w:rsidRPr="00DF71EE">
        <w:rPr>
          <w:rFonts w:ascii="Times New Roman" w:eastAsia="Calibri" w:hAnsi="Times New Roman" w:cs="Times New Roman"/>
          <w:b/>
          <w:i/>
          <w:color w:val="auto"/>
          <w:lang w:val="pt-BR" w:eastAsia="en-US"/>
        </w:rPr>
        <w:t xml:space="preserve">Horas </w:t>
      </w:r>
      <w:r w:rsidRPr="00DF71EE">
        <w:rPr>
          <w:rFonts w:ascii="Times New Roman" w:eastAsia="Calibri" w:hAnsi="Times New Roman" w:cs="Times New Roman"/>
          <w:i/>
          <w:color w:val="auto"/>
          <w:lang w:val="pt-BR" w:eastAsia="en-US"/>
        </w:rPr>
        <w:t>in itinere</w:t>
      </w:r>
      <w:r w:rsidRPr="00DF71EE">
        <w:rPr>
          <w:rFonts w:ascii="Times New Roman" w:eastAsia="Calibri" w:hAnsi="Times New Roman" w:cs="Times New Roman"/>
          <w:b/>
          <w:i/>
          <w:color w:val="auto"/>
          <w:lang w:val="pt-BR" w:eastAsia="en-US"/>
        </w:rPr>
        <w:t xml:space="preserve">. Local de trabalho não servido por transporte público regular. Automóvel fornecido pela empresa para que o empregado realize seu próprio deslocamento. Situação diversa da prevista no item I da Súmula nº 90 do TST. Pagamento indevido.     </w:t>
      </w:r>
    </w:p>
    <w:p w:rsidR="00DF71EE" w:rsidRPr="00DF71EE" w:rsidRDefault="00DF71EE" w:rsidP="00DF71EE">
      <w:pPr>
        <w:pStyle w:val="Corpo"/>
        <w:spacing w:line="240" w:lineRule="auto"/>
        <w:ind w:firstLine="0"/>
        <w:rPr>
          <w:rFonts w:ascii="Times New Roman" w:hAnsi="Times New Roman" w:cs="Times New Roman"/>
          <w:u w:val="single"/>
          <w:lang w:val="pt-BR"/>
        </w:rPr>
      </w:pPr>
      <w:r w:rsidRPr="00DF71EE">
        <w:rPr>
          <w:rFonts w:ascii="Times New Roman" w:eastAsia="Calibri" w:hAnsi="Times New Roman" w:cs="Times New Roman"/>
          <w:color w:val="auto"/>
          <w:lang w:val="pt-BR" w:eastAsia="en-US"/>
        </w:rPr>
        <w:t xml:space="preserve">Na hipótese em que o empregado, exercente do cargo de supervisor, tem à sua disposição veículo exclusivo, fornecido pela empresa, para que efetue seu próprio deslocamento até o local de trabalho não servido por transporte público regular, não há falar em direito a horas </w:t>
      </w:r>
      <w:r w:rsidRPr="00DF71EE">
        <w:rPr>
          <w:rFonts w:ascii="Times New Roman" w:eastAsia="Calibri" w:hAnsi="Times New Roman" w:cs="Times New Roman"/>
          <w:i/>
          <w:color w:val="auto"/>
          <w:lang w:val="pt-BR" w:eastAsia="en-US"/>
        </w:rPr>
        <w:t>in itinere</w:t>
      </w:r>
      <w:r w:rsidRPr="00DF71EE">
        <w:rPr>
          <w:rFonts w:ascii="Times New Roman" w:eastAsia="Calibri" w:hAnsi="Times New Roman" w:cs="Times New Roman"/>
          <w:color w:val="auto"/>
          <w:lang w:val="pt-BR" w:eastAsia="en-US"/>
        </w:rPr>
        <w:t xml:space="preserve">. Tal situação não se insere na expressão “condução fornecida pela empregador”, a que se refere o item I da Súmula nº 90 do TST, que pressupõe a condução do empregado pela própria empresa ou por alguém por ela contratado e, consequentemente, a sujeição a horários mais rígidos e mais prolongados, que vão além daqueles efetivamente despendidos no serviço. Aplica-se, no caso, a regra geral do art. 58, § 2º, da CLT (na redação anterior à Lei nº 13.467/2017), que exclui da jornada de trabalho as horas de percurso. Sob esse entendimento, a SBDI-I, por unanimidade, conheceu dos embargos, por divergência jurisprudencial, e, no mérito, por maioria, deu-lhes provimento para restabelecer o acórdão do Tribunal Regional. Vencidos os Ministros José Roberto Freire Pimenta, Augusto César Leite de Carvalho, Hugo Carlos Scheuermann e Cláudio Mascarenhas Brandão. </w:t>
      </w:r>
      <w:hyperlink r:id="rId12" w:history="1">
        <w:r w:rsidRPr="00D41890">
          <w:rPr>
            <w:rStyle w:val="Hyperlink"/>
            <w:rFonts w:ascii="Times New Roman" w:eastAsia="Calibri" w:hAnsi="Times New Roman"/>
            <w:lang w:eastAsia="en-US"/>
          </w:rPr>
          <w:t>TST-E</w:t>
        </w:r>
        <w:r w:rsidR="00D41890">
          <w:rPr>
            <w:rStyle w:val="Hyperlink"/>
            <w:rFonts w:ascii="Times New Roman" w:eastAsia="Calibri" w:hAnsi="Times New Roman"/>
            <w:lang w:eastAsia="en-US"/>
          </w:rPr>
          <w:t>-</w:t>
        </w:r>
        <w:r w:rsidRPr="00D41890">
          <w:rPr>
            <w:rStyle w:val="Hyperlink"/>
            <w:rFonts w:ascii="Times New Roman" w:eastAsia="Calibri" w:hAnsi="Times New Roman"/>
            <w:lang w:eastAsia="en-US"/>
          </w:rPr>
          <w:t>ARR-766-85.2013.5.18.0191</w:t>
        </w:r>
      </w:hyperlink>
      <w:r w:rsidRPr="00DF71EE">
        <w:rPr>
          <w:rFonts w:ascii="Times New Roman" w:eastAsia="Calibri" w:hAnsi="Times New Roman" w:cs="Times New Roman"/>
          <w:color w:val="auto"/>
          <w:u w:val="single"/>
          <w:lang w:eastAsia="en-US"/>
        </w:rPr>
        <w:t xml:space="preserve">, </w:t>
      </w:r>
      <w:r w:rsidRPr="00DF71EE">
        <w:rPr>
          <w:rFonts w:ascii="Times New Roman" w:hAnsi="Times New Roman" w:cs="Times New Roman"/>
          <w:u w:val="single"/>
        </w:rPr>
        <w:t xml:space="preserve">SBDI-I, rel. </w:t>
      </w:r>
      <w:r w:rsidRPr="00DF71EE">
        <w:rPr>
          <w:rFonts w:ascii="Times New Roman" w:hAnsi="Times New Roman" w:cs="Times New Roman"/>
          <w:u w:val="single"/>
          <w:lang w:val="pt-BR"/>
        </w:rPr>
        <w:t>Min. Márcio Eurico Vitral Amaro, 8.11.2018</w:t>
      </w:r>
    </w:p>
    <w:p w:rsidR="002017D2" w:rsidRDefault="002017D2" w:rsidP="00EC04A5">
      <w:pPr>
        <w:jc w:val="both"/>
        <w:rPr>
          <w:u w:val="single"/>
        </w:rPr>
      </w:pPr>
    </w:p>
    <w:p w:rsidR="00920B0C" w:rsidRPr="006E3AC8" w:rsidRDefault="00920B0C" w:rsidP="00920B0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6E3AC8">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4E39DA" w:rsidRDefault="004E39DA" w:rsidP="00EC04A5">
      <w:pPr>
        <w:jc w:val="both"/>
        <w:rPr>
          <w:u w:val="single"/>
        </w:rPr>
      </w:pPr>
    </w:p>
    <w:p w:rsidR="00DF71EE" w:rsidRDefault="00DF71EE" w:rsidP="00DF71EE">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 xml:space="preserve">Ação rescisória. Art. 485, II, do CPC de 1973. Contrato de parceria rural. Incompetência da Justiça do Trabalho. </w:t>
      </w:r>
    </w:p>
    <w:p w:rsidR="00DF71EE" w:rsidRDefault="00DF71EE" w:rsidP="00DF71EE">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A Justiça do Trabalho é manifestamente incompetente para julgar pedido de indenização por perdas e danos decorrentes da rescisão de contrato de parceria rural, em que ajustado o fornecimento de animais, alimentos e medicamentos pela empresa contratante, cabendo aos contratados responsabilizarem-se pela criação e engorda de aves, sendo remunerados de acordo com os resultados alcançados. Tal modalidade contratual possui características societárias, que a distancia da relação de trabalho, a qual exige, por exemplo, a obrigação de remunerar o empregado, independentemente de haver lucros. Sob esse entendimento, a SBDI-II, por unanimidade, deu provimento ao recurso ordinário para desconstituir o acórdão do Tribunal Regional, em razão da incompetência absoluta da Justiça do Trabalho (art. 485, II, do CPC de 1973), anulando todos os atos decisórios e determinando o envio dos autos à Justiça comum. </w:t>
      </w:r>
      <w:hyperlink r:id="rId13" w:history="1">
        <w:r w:rsidRPr="00D41890">
          <w:rPr>
            <w:rStyle w:val="Hyperlink"/>
            <w:rFonts w:ascii="Times New Roman" w:eastAsia="Calibri" w:hAnsi="Times New Roman"/>
            <w:lang w:val="pt-BR" w:eastAsia="en-US"/>
          </w:rPr>
          <w:t>TST-RO-7648-78.2012.5.04.0000</w:t>
        </w:r>
      </w:hyperlink>
      <w:r>
        <w:rPr>
          <w:rFonts w:ascii="Times New Roman" w:eastAsia="Calibri" w:hAnsi="Times New Roman" w:cs="Times New Roman"/>
          <w:color w:val="auto"/>
          <w:u w:val="single"/>
          <w:lang w:val="pt-BR" w:eastAsia="en-US"/>
        </w:rPr>
        <w:t xml:space="preserve">, </w:t>
      </w:r>
      <w:r w:rsidRPr="009F2019">
        <w:rPr>
          <w:rFonts w:ascii="Times New Roman" w:hAnsi="Times New Roman"/>
          <w:u w:val="single"/>
          <w:lang w:val="pt-BR"/>
        </w:rPr>
        <w:t xml:space="preserve">SBDI-I, rel. Min. </w:t>
      </w:r>
      <w:r>
        <w:rPr>
          <w:rFonts w:ascii="Times New Roman" w:hAnsi="Times New Roman"/>
          <w:u w:val="single"/>
          <w:lang w:val="pt-BR"/>
        </w:rPr>
        <w:t>Douglas Alencar Rodrigues.</w:t>
      </w:r>
      <w:r w:rsidRPr="009F2019">
        <w:rPr>
          <w:rFonts w:ascii="Times New Roman" w:hAnsi="Times New Roman"/>
          <w:u w:val="single"/>
          <w:lang w:val="pt-BR"/>
        </w:rPr>
        <w:t xml:space="preserve"> </w:t>
      </w:r>
      <w:r>
        <w:rPr>
          <w:rFonts w:ascii="Times New Roman" w:hAnsi="Times New Roman"/>
          <w:u w:val="single"/>
          <w:lang w:val="pt-BR"/>
        </w:rPr>
        <w:t>30</w:t>
      </w:r>
      <w:r w:rsidRPr="009F2019">
        <w:rPr>
          <w:rFonts w:ascii="Times New Roman" w:hAnsi="Times New Roman"/>
          <w:u w:val="single"/>
          <w:lang w:val="pt-BR"/>
        </w:rPr>
        <w:t>.10.2018</w:t>
      </w:r>
    </w:p>
    <w:p w:rsidR="00DF71EE" w:rsidRPr="00DF71EE" w:rsidRDefault="00DF71EE" w:rsidP="00DF71EE">
      <w:pPr>
        <w:pStyle w:val="Corpo"/>
        <w:spacing w:line="240" w:lineRule="auto"/>
        <w:ind w:firstLine="0"/>
        <w:rPr>
          <w:rFonts w:ascii="Times New Roman" w:hAnsi="Times New Roman"/>
          <w:sz w:val="20"/>
          <w:szCs w:val="20"/>
          <w:u w:val="single"/>
          <w:lang w:val="pt-BR"/>
        </w:rPr>
      </w:pPr>
    </w:p>
    <w:p w:rsidR="00DF71EE" w:rsidRPr="004C5B7A" w:rsidRDefault="00DF71EE" w:rsidP="00DF71EE">
      <w:pPr>
        <w:jc w:val="both"/>
        <w:rPr>
          <w:b/>
          <w:i/>
          <w:sz w:val="24"/>
          <w:szCs w:val="24"/>
        </w:rPr>
      </w:pPr>
      <w:r w:rsidRPr="004C5B7A">
        <w:rPr>
          <w:b/>
          <w:i/>
          <w:sz w:val="24"/>
          <w:szCs w:val="24"/>
        </w:rPr>
        <w:t xml:space="preserve">Mandado de segurança. Cabimento. Decisão interlocutória que contraria a jurisprudência pacífica, reiterada e notória do TST. Não incidência da Orientação Jurisprudencial nº 92 da SBDI-II. </w:t>
      </w:r>
    </w:p>
    <w:p w:rsidR="00DF71EE" w:rsidRPr="004C5B7A" w:rsidRDefault="00DF71EE" w:rsidP="00DF71EE">
      <w:pPr>
        <w:jc w:val="both"/>
        <w:rPr>
          <w:sz w:val="24"/>
          <w:szCs w:val="24"/>
          <w:u w:val="single"/>
        </w:rPr>
      </w:pPr>
      <w:r w:rsidRPr="004C5B7A">
        <w:rPr>
          <w:sz w:val="24"/>
          <w:szCs w:val="24"/>
        </w:rPr>
        <w:t xml:space="preserve">Cabe mandado de segurança contra decisão que, embora ostente caráter interlocutório, contraria a jurisprudência pacífica, reiterada e notória do TST. Na espécie, o </w:t>
      </w:r>
      <w:r w:rsidRPr="004C5B7A">
        <w:rPr>
          <w:i/>
          <w:sz w:val="24"/>
          <w:szCs w:val="24"/>
        </w:rPr>
        <w:t xml:space="preserve">writ </w:t>
      </w:r>
      <w:r w:rsidRPr="004C5B7A">
        <w:rPr>
          <w:sz w:val="24"/>
          <w:szCs w:val="24"/>
        </w:rPr>
        <w:t xml:space="preserve">foi impetrado pelo Ministério Público do Trabalho contra acórdão proferido em recurso ordinário pelo TRT da 5ª Região, que anulou de ofício sentença prolatada em ação civil pública e determinou o retorno dos autos à Vara de origem para que fossem chamados à lide os litisconsortes passivos necessários (empregados ocupantes de funções de confiança potencialmente atingidos pelo pedido de declaração de nulidade dos contratos firmados com ente público sem prévia aprovação em concurso público). Ocorre que, conforme entendimento firmado pelo TST, não há litisconsórcio passivo necessário entre a pessoa natural ou jurídica demandada e os sujeitos que possam ser atingidos pelos efeitos da decisão proferida em ação civil pública voltada à defesa de direitos e interesses difusos e coletivos. O litisconsórcio na ação civil pública apenas se viabiliza em relação aos demais legitimados ativos </w:t>
      </w:r>
      <w:r w:rsidRPr="004C5B7A">
        <w:rPr>
          <w:sz w:val="24"/>
          <w:szCs w:val="24"/>
        </w:rPr>
        <w:lastRenderedPageBreak/>
        <w:t xml:space="preserve">para o debate coletivo (art. 5º, §§ 1º e 5º, da Lei nº 7.347/1985). Assim, a SBDI-II, por unanimidade, conheceu do recurso ordinário e, no mérito, por maioria, deu-lhe provimento para conceder a segurança, cassar o acórdão proferido na ação civil pública e determinar o retorno dos autos ao TRT da 5ª Região para o regular processamento do recurso ordinário. Vencidas as Ministras Maria Helena Mallmann e Delaíde Miranda Arantes, que consideravam incabível a impetração, nos termos da Orientação Jurisprudencial nº 92 da SBDI-II. </w:t>
      </w:r>
      <w:hyperlink r:id="rId14" w:history="1">
        <w:r w:rsidRPr="00D41890">
          <w:rPr>
            <w:rStyle w:val="Hyperlink"/>
            <w:sz w:val="24"/>
            <w:szCs w:val="24"/>
          </w:rPr>
          <w:t>TST-RO-144-28.2011.5.05.0000</w:t>
        </w:r>
      </w:hyperlink>
      <w:r w:rsidRPr="004C5B7A">
        <w:rPr>
          <w:sz w:val="24"/>
          <w:szCs w:val="24"/>
          <w:u w:val="single"/>
        </w:rPr>
        <w:t>, SBDI-II, rel. Min. Douglas Alencar Rodrigues, 6.11.2018</w:t>
      </w:r>
    </w:p>
    <w:p w:rsidR="00DF71EE" w:rsidRPr="00DF71EE" w:rsidRDefault="00DF71EE" w:rsidP="00DF71EE">
      <w:pPr>
        <w:pStyle w:val="Corpo"/>
        <w:spacing w:line="240" w:lineRule="auto"/>
        <w:ind w:firstLine="0"/>
        <w:rPr>
          <w:rFonts w:ascii="Times New Roman" w:eastAsia="Calibri" w:hAnsi="Times New Roman" w:cs="Times New Roman"/>
          <w:color w:val="auto"/>
          <w:sz w:val="20"/>
          <w:szCs w:val="20"/>
          <w:lang w:val="pt-BR" w:eastAsia="en-US"/>
        </w:rPr>
      </w:pPr>
    </w:p>
    <w:p w:rsidR="00DF71EE" w:rsidRPr="00DF71EE" w:rsidRDefault="00DF71EE" w:rsidP="00DF71EE">
      <w:pPr>
        <w:jc w:val="both"/>
        <w:rPr>
          <w:rFonts w:eastAsia="Calibri"/>
          <w:b/>
          <w:i/>
          <w:sz w:val="24"/>
          <w:szCs w:val="24"/>
        </w:rPr>
      </w:pPr>
      <w:r w:rsidRPr="00DF71EE">
        <w:rPr>
          <w:rFonts w:eastAsia="Calibri"/>
          <w:b/>
          <w:i/>
          <w:sz w:val="24"/>
          <w:szCs w:val="24"/>
        </w:rPr>
        <w:t xml:space="preserve">Mandado de segurança. Cabimento. Execução provisória. Redirecionamento da execução contra sócio. Não observância do incidente de desconsideração da personalidade jurídica. Arts. 133 a 137 do CPC de 2015. Aplicação ao Processo do Trabalho. Art. 6º da IN nº 39/2016 do TST e art. 855-A da CLT. </w:t>
      </w:r>
    </w:p>
    <w:p w:rsidR="00DF71EE" w:rsidRPr="004C5B7A" w:rsidRDefault="00DF71EE" w:rsidP="00DF71EE">
      <w:pPr>
        <w:suppressAutoHyphens/>
        <w:adjustRightInd w:val="0"/>
        <w:jc w:val="both"/>
        <w:rPr>
          <w:sz w:val="24"/>
          <w:szCs w:val="24"/>
          <w:u w:val="single"/>
          <w:lang w:eastAsia="zh-CN"/>
        </w:rPr>
      </w:pPr>
      <w:r w:rsidRPr="004C5B7A">
        <w:rPr>
          <w:sz w:val="24"/>
          <w:szCs w:val="24"/>
          <w:lang w:eastAsia="zh-CN"/>
        </w:rPr>
        <w:t xml:space="preserve">O art. 6º da IN nº 39/2016 do TST e o art. 855-A da CLT (incluído pela Lei nº 13.467/2017) estabelecem a aplicação do incidente de desconsideração da personalidade jurídica (arts. 133 a 137 do CPC de 2015) ao Processo do Trabalho. Assim, se na vigência do CPC de 2015 a execução provisória é redirecionada contra a representante legal da pessoa jurídica sem a observância do referido incidente, cabe mandado de segurança para discutir a extensão dos efeitos da obrigação contida no título executivo aos bens particulares da administradora da empresa. Sob esse fundamento, a SBDI-II, por unanimidade, conheceu do recurso ordinário e, no mérito, deu-lhe provimento para, reformando a decisão que indeferira a petição inicial do </w:t>
      </w:r>
      <w:r w:rsidRPr="004C5B7A">
        <w:rPr>
          <w:i/>
          <w:sz w:val="24"/>
          <w:szCs w:val="24"/>
          <w:lang w:eastAsia="zh-CN"/>
        </w:rPr>
        <w:t>mandamus</w:t>
      </w:r>
      <w:r w:rsidRPr="004C5B7A">
        <w:rPr>
          <w:sz w:val="24"/>
          <w:szCs w:val="24"/>
          <w:lang w:eastAsia="zh-CN"/>
        </w:rPr>
        <w:t>, determinar o retorno</w:t>
      </w:r>
      <w:r w:rsidRPr="004C5B7A">
        <w:rPr>
          <w:rFonts w:hAnsi="Liberation Serif"/>
          <w:lang w:eastAsia="zh-CN"/>
        </w:rPr>
        <w:t xml:space="preserve"> </w:t>
      </w:r>
      <w:r w:rsidRPr="004C5B7A">
        <w:rPr>
          <w:sz w:val="24"/>
          <w:szCs w:val="24"/>
          <w:lang w:eastAsia="zh-CN"/>
        </w:rPr>
        <w:t xml:space="preserve">dos autos à Corte de origem a fim de que o mandado de segurança seja processado e julgado. </w:t>
      </w:r>
      <w:hyperlink r:id="rId15" w:history="1">
        <w:r w:rsidRPr="00D41890">
          <w:rPr>
            <w:rStyle w:val="Hyperlink"/>
            <w:sz w:val="24"/>
            <w:szCs w:val="24"/>
            <w:lang w:eastAsia="zh-CN"/>
          </w:rPr>
          <w:t>TST-RO-406-27.2017.5.10.0000</w:t>
        </w:r>
      </w:hyperlink>
      <w:r w:rsidRPr="004C5B7A">
        <w:rPr>
          <w:sz w:val="24"/>
          <w:szCs w:val="24"/>
          <w:u w:val="single"/>
          <w:lang w:eastAsia="zh-CN"/>
        </w:rPr>
        <w:t>, SBDI-II, rel. Min. Douglas Alencar Rodrigues, 6.11.2018</w:t>
      </w:r>
    </w:p>
    <w:p w:rsidR="007A4009" w:rsidRDefault="007A4009" w:rsidP="00EC04A5">
      <w:pPr>
        <w:jc w:val="both"/>
        <w:rPr>
          <w:u w:val="single"/>
        </w:rPr>
      </w:pPr>
    </w:p>
    <w:p w:rsidR="00DF71EE" w:rsidRDefault="00DF71EE" w:rsidP="00EC04A5">
      <w:pPr>
        <w:jc w:val="both"/>
        <w:rPr>
          <w:u w:val="single"/>
        </w:rPr>
      </w:pPr>
    </w:p>
    <w:p w:rsidR="00DF71EE" w:rsidRDefault="00DF71EE" w:rsidP="00EC04A5">
      <w:pPr>
        <w:jc w:val="both"/>
        <w:rPr>
          <w:u w:val="single"/>
        </w:rPr>
      </w:pPr>
    </w:p>
    <w:p w:rsidR="007A4009" w:rsidRDefault="007A4009" w:rsidP="00EC04A5">
      <w:pPr>
        <w:jc w:val="both"/>
        <w:rPr>
          <w:u w:val="single"/>
        </w:rPr>
      </w:pPr>
    </w:p>
    <w:p w:rsidR="007A4009" w:rsidRDefault="007A4009" w:rsidP="00EC04A5">
      <w:pPr>
        <w:jc w:val="both"/>
        <w:rPr>
          <w:u w:val="single"/>
        </w:rPr>
      </w:pPr>
    </w:p>
    <w:p w:rsidR="004E39DA" w:rsidRPr="002834D2" w:rsidRDefault="004E39DA" w:rsidP="00EC04A5">
      <w:pPr>
        <w:jc w:val="both"/>
        <w:rPr>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184590"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D72C05" w:rsidRPr="00020CD0">
        <w:rPr>
          <w:snapToGrid w:val="0"/>
          <w:sz w:val="25"/>
          <w:szCs w:val="25"/>
        </w:rPr>
        <w:t>417</w:t>
      </w:r>
    </w:p>
    <w:p w:rsidR="007614F1"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cjur@tst.jus.br</w:t>
      </w:r>
    </w:p>
    <w:sectPr w:rsidR="007614F1" w:rsidRPr="00020CD0" w:rsidSect="00D11B24">
      <w:headerReference w:type="default" r:id="rId16"/>
      <w:footerReference w:type="default" r:id="rId17"/>
      <w:headerReference w:type="first" r:id="rId18"/>
      <w:footerReference w:type="first" r:id="rId19"/>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C7F" w:rsidRDefault="009F0C7F">
      <w:r>
        <w:separator/>
      </w:r>
    </w:p>
  </w:endnote>
  <w:endnote w:type="continuationSeparator" w:id="0">
    <w:p w:rsidR="009F0C7F" w:rsidRDefault="009F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EE" w:rsidRDefault="00DF71EE">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3AC8">
      <w:rPr>
        <w:rStyle w:val="Nmerodepgina"/>
        <w:noProof/>
      </w:rPr>
      <w:t>3</w:t>
    </w:r>
    <w:r>
      <w:rPr>
        <w:rStyle w:val="Nmerodepgina"/>
      </w:rPr>
      <w:fldChar w:fldCharType="end"/>
    </w:r>
  </w:p>
  <w:p w:rsidR="00DF71EE" w:rsidRDefault="006E3AC8">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EE" w:rsidRDefault="006E3AC8">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DF71EE">
      <w:rPr>
        <w:rStyle w:val="Nmerodepgina"/>
      </w:rPr>
      <w:fldChar w:fldCharType="begin"/>
    </w:r>
    <w:r w:rsidR="00DF71EE">
      <w:rPr>
        <w:rStyle w:val="Nmerodepgina"/>
      </w:rPr>
      <w:instrText xml:space="preserve"> PAGE </w:instrText>
    </w:r>
    <w:r w:rsidR="00DF71EE">
      <w:rPr>
        <w:rStyle w:val="Nmerodepgina"/>
      </w:rPr>
      <w:fldChar w:fldCharType="separate"/>
    </w:r>
    <w:r>
      <w:rPr>
        <w:rStyle w:val="Nmerodepgina"/>
        <w:noProof/>
      </w:rPr>
      <w:t>1</w:t>
    </w:r>
    <w:r w:rsidR="00DF71EE">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C7F" w:rsidRDefault="009F0C7F">
      <w:r>
        <w:separator/>
      </w:r>
    </w:p>
  </w:footnote>
  <w:footnote w:type="continuationSeparator" w:id="0">
    <w:p w:rsidR="009F0C7F" w:rsidRDefault="009F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EE" w:rsidRPr="006E3AC8" w:rsidRDefault="00DF71EE">
    <w:pPr>
      <w:pStyle w:val="Corpodetexto"/>
      <w:jc w:val="right"/>
      <w:rPr>
        <w:sz w:val="24"/>
        <w:szCs w:val="24"/>
        <w14:shadow w14:blurRad="50800" w14:dist="38100" w14:dir="2700000" w14:sx="100000" w14:sy="100000" w14:kx="0" w14:ky="0" w14:algn="tl">
          <w14:srgbClr w14:val="000000">
            <w14:alpha w14:val="60000"/>
          </w14:srgbClr>
        </w14:shadow>
      </w:rPr>
    </w:pPr>
    <w:r w:rsidRPr="006E3AC8">
      <w:rPr>
        <w:sz w:val="24"/>
        <w:szCs w:val="24"/>
        <w14:shadow w14:blurRad="50800" w14:dist="38100" w14:dir="2700000" w14:sx="100000" w14:sy="100000" w14:kx="0" w14:ky="0" w14:algn="tl">
          <w14:srgbClr w14:val="000000">
            <w14:alpha w14:val="60000"/>
          </w14:srgbClr>
        </w14:shadow>
      </w:rPr>
      <w:t>Informativo TST - nº 186</w:t>
    </w:r>
  </w:p>
  <w:p w:rsidR="00DF71EE" w:rsidRDefault="006E3AC8"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DF71EE" w:rsidRPr="003C0554">
      <w:rPr>
        <w:iCs/>
      </w:rPr>
      <w:t xml:space="preserve"> </w:t>
    </w:r>
    <w:r w:rsidR="00DF71EE">
      <w:rPr>
        <w:i/>
        <w:iCs/>
      </w:rPr>
      <w:t>Período: 29 de outubro a 9 de novembro de 2018</w:t>
    </w:r>
  </w:p>
  <w:p w:rsidR="00DF71EE" w:rsidRPr="005D1DE4" w:rsidRDefault="00DF71EE"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EE" w:rsidRDefault="00DF71E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6E3AC8">
      <w:rPr>
        <w:noProof/>
      </w:rPr>
      <w:drawing>
        <wp:inline distT="0" distB="0" distL="0" distR="0">
          <wp:extent cx="1225550" cy="972820"/>
          <wp:effectExtent l="0" t="0" r="0" b="0"/>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972820"/>
                  </a:xfrm>
                  <a:prstGeom prst="rect">
                    <a:avLst/>
                  </a:prstGeom>
                  <a:noFill/>
                  <a:ln>
                    <a:noFill/>
                  </a:ln>
                </pic:spPr>
              </pic:pic>
            </a:graphicData>
          </a:graphic>
        </wp:inline>
      </w:drawing>
    </w:r>
  </w:p>
  <w:p w:rsidR="00DF71EE" w:rsidRPr="002168DE" w:rsidRDefault="00DF71EE"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 xml:space="preserve">186 </w:t>
    </w:r>
  </w:p>
  <w:p w:rsidR="00DF71EE" w:rsidRPr="005D1DE4" w:rsidRDefault="00DF71EE">
    <w:pPr>
      <w:pStyle w:val="Cabealho"/>
      <w:jc w:val="right"/>
      <w:rPr>
        <w:i/>
        <w:iCs/>
        <w:sz w:val="10"/>
        <w:szCs w:val="10"/>
      </w:rPr>
    </w:pPr>
  </w:p>
  <w:p w:rsidR="00DF71EE" w:rsidRDefault="00DF71EE" w:rsidP="009A16E8">
    <w:pPr>
      <w:pStyle w:val="Cabealho"/>
      <w:jc w:val="right"/>
      <w:rPr>
        <w:i/>
        <w:iCs/>
      </w:rPr>
    </w:pPr>
    <w:r>
      <w:rPr>
        <w:i/>
        <w:iCs/>
      </w:rPr>
      <w:t>Período: 29 de outubro a 9  de novembro de 2018</w:t>
    </w:r>
  </w:p>
  <w:p w:rsidR="00DF71EE" w:rsidRDefault="00DF71EE"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2056"/>
    <w:rsid w:val="000322FB"/>
    <w:rsid w:val="000332F1"/>
    <w:rsid w:val="00034034"/>
    <w:rsid w:val="00040BBC"/>
    <w:rsid w:val="000425F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65EE"/>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D49"/>
    <w:rsid w:val="00271C5C"/>
    <w:rsid w:val="00271E67"/>
    <w:rsid w:val="002730B5"/>
    <w:rsid w:val="0027659F"/>
    <w:rsid w:val="002766D5"/>
    <w:rsid w:val="0027684A"/>
    <w:rsid w:val="00276EA0"/>
    <w:rsid w:val="00280594"/>
    <w:rsid w:val="00282620"/>
    <w:rsid w:val="002834D2"/>
    <w:rsid w:val="00285064"/>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60E9"/>
    <w:rsid w:val="005E7FD1"/>
    <w:rsid w:val="005F0545"/>
    <w:rsid w:val="005F2858"/>
    <w:rsid w:val="005F52AB"/>
    <w:rsid w:val="006002E3"/>
    <w:rsid w:val="00602FF7"/>
    <w:rsid w:val="006145AC"/>
    <w:rsid w:val="00615F98"/>
    <w:rsid w:val="006207F5"/>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AC8"/>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AE5"/>
    <w:rsid w:val="008E3CCE"/>
    <w:rsid w:val="008E3F89"/>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0C7F"/>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7648&amp;digitoTst=78&amp;anoTst=2012&amp;orgaoTst=5&amp;tribunalTst=04&amp;varaTst=0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766&amp;digitoTst=85&amp;anoTst=2013&amp;orgaoTst=5&amp;tribunalTst=18&amp;varaTst=019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50700&amp;digitoTst=20&amp;anoTst=2009&amp;orgaoTst=5&amp;tribunalTst=02&amp;varaTst=0057" TargetMode="Externa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406&amp;digitoTst=27&amp;anoTst=2017&amp;orgaoTst=5&amp;tribunalTst=10&amp;varaTst=0000" TargetMode="External"/><Relationship Id="rId10" Type="http://schemas.openxmlformats.org/officeDocument/2006/relationships/hyperlink" Target="http://aplicacao4.tst.jus.br/consultaProcessual/consultaTstNumUnica.do?consulta=Consultar&amp;conscsjt=&amp;numeroTst=62700&amp;digitoTst=66&amp;anoTst=2008&amp;orgaoTst=5&amp;tribunalTst=05&amp;varaTs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4300&amp;digitoTst=96&amp;anoTst=2009&amp;orgaoTst=5&amp;tribunalTst=04&amp;varaTst=0022" TargetMode="External"/><Relationship Id="rId14" Type="http://schemas.openxmlformats.org/officeDocument/2006/relationships/hyperlink" Target="http://aplicacao4.tst.jus.br/consultaProcessual/consultaTstNumUnica.do?consulta=Consultar&amp;conscsjt=&amp;numeroTst=144&amp;digitoTst=28&amp;anoTst=2011&amp;orgaoTst=5&amp;tribunalTst=05&amp;varaTst=00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C38F-E378-42DB-85A2-F20E2D1C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1756</Words>
  <Characters>9483</Characters>
  <Application>Microsoft Office Word</Application>
  <DocSecurity>4</DocSecurity>
  <Lines>79</Lines>
  <Paragraphs>22</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11217</CharactersWithSpaces>
  <SharedDoc>false</SharedDoc>
  <HLinks>
    <vt:vector size="42" baseType="variant">
      <vt:variant>
        <vt:i4>6225934</vt:i4>
      </vt:variant>
      <vt:variant>
        <vt:i4>18</vt:i4>
      </vt:variant>
      <vt:variant>
        <vt:i4>0</vt:i4>
      </vt:variant>
      <vt:variant>
        <vt:i4>5</vt:i4>
      </vt:variant>
      <vt:variant>
        <vt:lpwstr>http://aplicacao4.tst.jus.br/consultaProcessual/consultaTstNumUnica.do?consulta=Consultar&amp;conscsjt=&amp;numeroTst=406&amp;digitoTst=27&amp;anoTst=2017&amp;orgaoTst=5&amp;tribunalTst=10&amp;varaTst=0000</vt:lpwstr>
      </vt:variant>
      <vt:variant>
        <vt:lpwstr/>
      </vt:variant>
      <vt:variant>
        <vt:i4>5701640</vt:i4>
      </vt:variant>
      <vt:variant>
        <vt:i4>15</vt:i4>
      </vt:variant>
      <vt:variant>
        <vt:i4>0</vt:i4>
      </vt:variant>
      <vt:variant>
        <vt:i4>5</vt:i4>
      </vt:variant>
      <vt:variant>
        <vt:lpwstr>http://aplicacao4.tst.jus.br/consultaProcessual/consultaTstNumUnica.do?consulta=Consultar&amp;conscsjt=&amp;numeroTst=144&amp;digitoTst=28&amp;anoTst=2011&amp;orgaoTst=5&amp;tribunalTst=05&amp;varaTst=0000</vt:lpwstr>
      </vt:variant>
      <vt:variant>
        <vt:lpwstr/>
      </vt:variant>
      <vt:variant>
        <vt:i4>2818175</vt:i4>
      </vt:variant>
      <vt:variant>
        <vt:i4>12</vt:i4>
      </vt:variant>
      <vt:variant>
        <vt:i4>0</vt:i4>
      </vt:variant>
      <vt:variant>
        <vt:i4>5</vt:i4>
      </vt:variant>
      <vt:variant>
        <vt:lpwstr>http://aplicacao4.tst.jus.br/consultaProcessual/consultaTstNumUnica.do?consulta=Consultar&amp;conscsjt=&amp;numeroTst=7648&amp;digitoTst=78&amp;anoTst=2012&amp;orgaoTst=5&amp;tribunalTst=04&amp;varaTst=0000</vt:lpwstr>
      </vt:variant>
      <vt:variant>
        <vt:lpwstr/>
      </vt:variant>
      <vt:variant>
        <vt:i4>6160390</vt:i4>
      </vt:variant>
      <vt:variant>
        <vt:i4>9</vt:i4>
      </vt:variant>
      <vt:variant>
        <vt:i4>0</vt:i4>
      </vt:variant>
      <vt:variant>
        <vt:i4>5</vt:i4>
      </vt:variant>
      <vt:variant>
        <vt:lpwstr>http://aplicacao4.tst.jus.br/consultaProcessual/consultaTstNumUnica.do?consulta=Consultar&amp;conscsjt=&amp;numeroTst=766&amp;digitoTst=85&amp;anoTst=2013&amp;orgaoTst=5&amp;tribunalTst=18&amp;varaTst=0191</vt:lpwstr>
      </vt:variant>
      <vt:variant>
        <vt:lpwstr/>
      </vt:variant>
      <vt:variant>
        <vt:i4>1310797</vt:i4>
      </vt:variant>
      <vt:variant>
        <vt:i4>6</vt:i4>
      </vt:variant>
      <vt:variant>
        <vt:i4>0</vt:i4>
      </vt:variant>
      <vt:variant>
        <vt:i4>5</vt:i4>
      </vt:variant>
      <vt:variant>
        <vt:lpwstr>http://aplicacao4.tst.jus.br/consultaProcessual/consultaTstNumUnica.do?consulta=Consultar&amp;conscsjt=&amp;numeroTst=150700&amp;digitoTst=20&amp;anoTst=2009&amp;orgaoTst=5&amp;tribunalTst=02&amp;varaTst=0057</vt:lpwstr>
      </vt:variant>
      <vt:variant>
        <vt:lpwstr/>
      </vt:variant>
      <vt:variant>
        <vt:i4>6684724</vt:i4>
      </vt:variant>
      <vt:variant>
        <vt:i4>3</vt:i4>
      </vt:variant>
      <vt:variant>
        <vt:i4>0</vt:i4>
      </vt:variant>
      <vt:variant>
        <vt:i4>5</vt:i4>
      </vt:variant>
      <vt:variant>
        <vt:lpwstr>http://aplicacao4.tst.jus.br/consultaProcessual/consultaTstNumUnica.do?consulta=Consultar&amp;conscsjt=&amp;numeroTst=62700&amp;digitoTst=66&amp;anoTst=2008&amp;orgaoTst=5&amp;tribunalTst=05&amp;varaTst=</vt:lpwstr>
      </vt:variant>
      <vt:variant>
        <vt:lpwstr/>
      </vt:variant>
      <vt:variant>
        <vt:i4>1769550</vt:i4>
      </vt:variant>
      <vt:variant>
        <vt:i4>0</vt:i4>
      </vt:variant>
      <vt:variant>
        <vt:i4>0</vt:i4>
      </vt:variant>
      <vt:variant>
        <vt:i4>5</vt:i4>
      </vt:variant>
      <vt:variant>
        <vt:lpwstr>http://aplicacao4.tst.jus.br/consultaProcessual/consultaTstNumUnica.do?consulta=Consultar&amp;conscsjt=&amp;numeroTst=104300&amp;digitoTst=96&amp;anoTst=2009&amp;orgaoTst=5&amp;tribunalTst=04&amp;varaTst=0022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2017-03-06T18:28:00Z</cp:lastPrinted>
  <dcterms:created xsi:type="dcterms:W3CDTF">2018-11-29T21:14:00Z</dcterms:created>
  <dcterms:modified xsi:type="dcterms:W3CDTF">2018-11-29T21:14:00Z</dcterms:modified>
</cp:coreProperties>
</file>