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EC04A5" w:rsidRPr="00143758" w:rsidRDefault="00EC04A5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758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623D44" w:rsidRPr="00E716F3" w:rsidRDefault="00623D44" w:rsidP="0095741E">
      <w:pPr>
        <w:jc w:val="both"/>
        <w:rPr>
          <w:u w:val="single"/>
        </w:rPr>
      </w:pPr>
    </w:p>
    <w:p w:rsidR="007760AE" w:rsidRPr="007760AE" w:rsidRDefault="007760AE" w:rsidP="007760AE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7760AE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Doença ocupacional. Construção Civil. Pedreiro que desenvolveu hérnia de disco. Responsabilidade objetiva. Configuração. </w:t>
      </w:r>
    </w:p>
    <w:p w:rsidR="007760AE" w:rsidRPr="007760AE" w:rsidRDefault="007760AE" w:rsidP="007760AE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 w:rsidRPr="007760AE">
        <w:rPr>
          <w:rFonts w:ascii="Times New Roman" w:eastAsia="Calibri" w:hAnsi="Times New Roman" w:cs="Times New Roman"/>
          <w:color w:val="auto"/>
          <w:lang w:val="pt-BR" w:eastAsia="en-US"/>
        </w:rPr>
        <w:t xml:space="preserve">Em razão do peso e das posições de flexão e rotação realizadas pela coluna vertebral, é inegável o risco ergonômico a que exposto o trabalhador que desempenha a atividade de pedreiro e a possibilidade de adquirir doença profissional com comprometimento da coluna, como ocorreu na espécie, em que o reclamante desenvolveu hérnia de disco e se tornou totalmente incapacitado para a atividade. Assim, estabelecido o nexo causal entre a doença e a execução de atividade de risco, é devido o pagamento de indenização por danos morais, independentemente de haver culpa do empregador. Sob esse fundamento, a SBDI-I, por maioria, deu provimento aos embargos do empregado para, reconhecendo a responsabilidade objetiva do reclamado, restabelecer o acórdão do Tribunal Regional, no particular, e determinar o retorno dos autos à Turma a fim de que aprecie o recurso de revista do empregador quanto ao valor arbitrado à indenização por danos morais e materiais, como entender de direito. Vencidos os Ministros João Oreste Dalazen, Ives Gandra Martins Filho, Renato de Lacerda Paiva, Guilherme Augusto Caputo Bastos e Márcio Eurico Vitral Amaro. </w:t>
      </w:r>
      <w:hyperlink r:id="rId9" w:history="1">
        <w:r w:rsidRPr="007760AE">
          <w:rPr>
            <w:rStyle w:val="Hyperlink"/>
            <w:rFonts w:ascii="Times New Roman" w:eastAsia="Calibri" w:hAnsi="Times New Roman"/>
            <w:lang w:val="pt-BR" w:eastAsia="en-US"/>
          </w:rPr>
          <w:t>TST-E-RR-89900-22.2008.5.15.0082</w:t>
        </w:r>
      </w:hyperlink>
      <w:r w:rsidRPr="007760AE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Alexandre Agra Belmonte, 26.4.2018</w:t>
      </w:r>
    </w:p>
    <w:p w:rsidR="00207D1D" w:rsidRPr="007760AE" w:rsidRDefault="00207D1D" w:rsidP="00623D44">
      <w:pPr>
        <w:jc w:val="both"/>
      </w:pPr>
    </w:p>
    <w:p w:rsidR="007760AE" w:rsidRDefault="007760AE" w:rsidP="007760AE">
      <w:pPr>
        <w:jc w:val="both"/>
        <w:rPr>
          <w:b/>
          <w:i/>
          <w:sz w:val="24"/>
          <w:szCs w:val="24"/>
        </w:rPr>
      </w:pPr>
      <w:r w:rsidRPr="008418CD">
        <w:rPr>
          <w:b/>
          <w:i/>
          <w:sz w:val="24"/>
          <w:szCs w:val="24"/>
        </w:rPr>
        <w:t>Fundação de Atendimento Sócio-</w:t>
      </w:r>
      <w:r>
        <w:rPr>
          <w:b/>
          <w:i/>
          <w:sz w:val="24"/>
          <w:szCs w:val="24"/>
        </w:rPr>
        <w:t>E</w:t>
      </w:r>
      <w:r w:rsidRPr="008418CD">
        <w:rPr>
          <w:b/>
          <w:i/>
          <w:sz w:val="24"/>
          <w:szCs w:val="24"/>
        </w:rPr>
        <w:t>ducativo do Rio Grande do Sul – FASE</w:t>
      </w:r>
      <w:r>
        <w:rPr>
          <w:b/>
          <w:i/>
          <w:sz w:val="24"/>
          <w:szCs w:val="24"/>
        </w:rPr>
        <w:t>. R</w:t>
      </w:r>
      <w:r w:rsidRPr="005C31F9">
        <w:rPr>
          <w:b/>
          <w:i/>
          <w:sz w:val="24"/>
          <w:szCs w:val="24"/>
        </w:rPr>
        <w:t>eajuste de 11,84%</w:t>
      </w:r>
      <w:r>
        <w:rPr>
          <w:b/>
          <w:i/>
          <w:sz w:val="24"/>
          <w:szCs w:val="24"/>
        </w:rPr>
        <w:t xml:space="preserve"> concedido apenas a alguns empregados.</w:t>
      </w:r>
      <w:r w:rsidRPr="005C31F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Equiparação salarial. Impossibilidade. Orientação Jurisprudencial nº 297 da SBDI-I.</w:t>
      </w:r>
    </w:p>
    <w:p w:rsidR="007760AE" w:rsidRPr="00FA0BD3" w:rsidRDefault="007760AE" w:rsidP="007760A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 diretriz firmada no art. 3</w:t>
      </w:r>
      <w:r w:rsidRPr="005C31F9">
        <w:rPr>
          <w:sz w:val="24"/>
          <w:szCs w:val="24"/>
        </w:rPr>
        <w:t>7, XIII, da C</w:t>
      </w:r>
      <w:r>
        <w:rPr>
          <w:sz w:val="24"/>
          <w:szCs w:val="24"/>
        </w:rPr>
        <w:t xml:space="preserve">F, extrai-se que </w:t>
      </w:r>
      <w:r w:rsidRPr="005C31F9">
        <w:rPr>
          <w:sz w:val="24"/>
          <w:szCs w:val="24"/>
        </w:rPr>
        <w:t>é vedada a pretensão de equiparação salarial entre servidores públicos</w:t>
      </w:r>
      <w:r w:rsidRPr="004875DF">
        <w:rPr>
          <w:sz w:val="24"/>
          <w:szCs w:val="24"/>
        </w:rPr>
        <w:t xml:space="preserve"> </w:t>
      </w:r>
      <w:r w:rsidRPr="00CD4D4A">
        <w:rPr>
          <w:sz w:val="24"/>
          <w:szCs w:val="24"/>
        </w:rPr>
        <w:t>pertencentes aos quadros da Administração direta, autárquica ou fundacional</w:t>
      </w:r>
      <w:r w:rsidRPr="005C31F9">
        <w:rPr>
          <w:sz w:val="24"/>
          <w:szCs w:val="24"/>
        </w:rPr>
        <w:t xml:space="preserve">, </w:t>
      </w:r>
      <w:r w:rsidRPr="00CD4D4A">
        <w:rPr>
          <w:sz w:val="24"/>
          <w:szCs w:val="24"/>
        </w:rPr>
        <w:t>inclusive quando contratados pelo regime celetista</w:t>
      </w:r>
      <w:r>
        <w:rPr>
          <w:sz w:val="24"/>
          <w:szCs w:val="24"/>
        </w:rPr>
        <w:t xml:space="preserve">. O objetivo da norma é </w:t>
      </w:r>
      <w:r w:rsidRPr="00CD4D4A">
        <w:rPr>
          <w:sz w:val="24"/>
          <w:szCs w:val="24"/>
        </w:rPr>
        <w:t>assegurar e conformar a atuação da Administração Pública ao regime jurídico-administrativo a que está submetida, em especial, ao prin</w:t>
      </w:r>
      <w:r>
        <w:rPr>
          <w:sz w:val="24"/>
          <w:szCs w:val="24"/>
        </w:rPr>
        <w:t xml:space="preserve">cípio da legalidade. Sob esse entendimento, e afastando a alegada contrariedade à Orientação Jurisprudencial nº 297 da SBDI-I, a referida Subseção, por unanimidade, não conheceu do recurso de embargos interpostos pela reclamante contra a decisão que dera provimento ao recurso de revista da Fundação de Atendimento Sócio-Educativo do Rio Grande do Sul – FASE para restabelecer a sentença que julgou improcedente o pedido de diferenças relativas ao reajuste salarial de 11,84% aplicado a outros empregados de mesmo cargo e função, formulado com base no princípio da isonomia. </w:t>
      </w:r>
      <w:hyperlink r:id="rId10" w:history="1">
        <w:r w:rsidRPr="007760AE">
          <w:rPr>
            <w:rStyle w:val="Hyperlink"/>
            <w:sz w:val="24"/>
            <w:szCs w:val="24"/>
          </w:rPr>
          <w:t>TST-E-ED-RR-20098-28.2014.5.04.0018</w:t>
        </w:r>
      </w:hyperlink>
      <w:r w:rsidRPr="00FA0BD3">
        <w:rPr>
          <w:sz w:val="24"/>
          <w:szCs w:val="24"/>
          <w:u w:val="single"/>
        </w:rPr>
        <w:t>, SBDI-I, rel. Min. Cláudio Mascarenhas Brandão, 3.5.2018</w:t>
      </w:r>
    </w:p>
    <w:p w:rsidR="009815A9" w:rsidRPr="007760AE" w:rsidRDefault="009815A9" w:rsidP="00623D44">
      <w:pPr>
        <w:jc w:val="both"/>
      </w:pPr>
    </w:p>
    <w:p w:rsidR="007760AE" w:rsidRPr="00143758" w:rsidRDefault="007760AE" w:rsidP="007760A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758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7760AE" w:rsidRPr="00E716F3" w:rsidRDefault="007760AE" w:rsidP="007760AE">
      <w:pPr>
        <w:jc w:val="both"/>
        <w:rPr>
          <w:u w:val="single"/>
        </w:rPr>
      </w:pPr>
    </w:p>
    <w:p w:rsidR="007760AE" w:rsidRPr="00140392" w:rsidRDefault="007760AE" w:rsidP="007760AE">
      <w:pPr>
        <w:ind w:right="-71"/>
        <w:jc w:val="both"/>
        <w:rPr>
          <w:b/>
          <w:i/>
          <w:sz w:val="24"/>
          <w:szCs w:val="24"/>
        </w:rPr>
      </w:pPr>
      <w:r w:rsidRPr="00140392">
        <w:rPr>
          <w:b/>
          <w:i/>
          <w:sz w:val="24"/>
          <w:szCs w:val="24"/>
        </w:rPr>
        <w:t xml:space="preserve">Mandado de segurança. Empresa em recuperação judicial. Depósito judicial anterior ao processamento da recuperação judicial. Não integração ao Juízo universal de falência. Valores à disposição do Juízo trabalhista. </w:t>
      </w:r>
    </w:p>
    <w:p w:rsidR="007760AE" w:rsidRPr="00140392" w:rsidRDefault="007760AE" w:rsidP="007760AE">
      <w:pPr>
        <w:ind w:right="-71"/>
        <w:jc w:val="both"/>
        <w:rPr>
          <w:sz w:val="24"/>
        </w:rPr>
      </w:pPr>
      <w:r w:rsidRPr="00140392">
        <w:rPr>
          <w:sz w:val="24"/>
          <w:szCs w:val="24"/>
        </w:rPr>
        <w:t xml:space="preserve">O depósito judicial efetuado antes do deferimento do processo de recuperação judicial desliga-se do patrimônio da empresa e assume o papel de garantia de uma futura execução, razão pela qual não </w:t>
      </w:r>
      <w:r w:rsidRPr="00140392">
        <w:rPr>
          <w:sz w:val="24"/>
          <w:szCs w:val="24"/>
        </w:rPr>
        <w:lastRenderedPageBreak/>
        <w:t xml:space="preserve">está à disposição do Juízo falimentar, mas do Juízo trabalhista. Sob esse entendimento, a SBDI-II, por maioria, deu provimento a recurso ordinário para denegar a segurança. Na espécie, não se vislumbrou direito líquido e certo da empresa em recuperação judicial a ver cassada ou suspensa a decisão que indeferiu a suspensão da reclamação trabalhista matriz, bem como a remessa dos valores depositados nos autos para a conta do Juízo da recuperação judicial. Vencidos os Ministros Renato de Lacerda Paiva, Alexandre Agra Belmonte e Douglas Alencar Rodrigues. </w:t>
      </w:r>
      <w:hyperlink r:id="rId11" w:history="1">
        <w:r w:rsidRPr="007760AE">
          <w:rPr>
            <w:rStyle w:val="Hyperlink"/>
            <w:sz w:val="24"/>
          </w:rPr>
          <w:t>TST-RO-94-09.2016.5.20.0000</w:t>
        </w:r>
      </w:hyperlink>
      <w:r w:rsidRPr="00140392">
        <w:rPr>
          <w:sz w:val="24"/>
          <w:u w:val="single"/>
        </w:rPr>
        <w:t>, SBDI-II, rel. Min. Breno Medeiros</w:t>
      </w:r>
      <w:r>
        <w:rPr>
          <w:sz w:val="24"/>
          <w:u w:val="single"/>
        </w:rPr>
        <w:t xml:space="preserve">, </w:t>
      </w:r>
      <w:r w:rsidRPr="00140392">
        <w:rPr>
          <w:sz w:val="24"/>
          <w:u w:val="single"/>
        </w:rPr>
        <w:t>24.4.2018</w:t>
      </w:r>
    </w:p>
    <w:p w:rsidR="009815A9" w:rsidRDefault="009815A9" w:rsidP="00623D44">
      <w:pPr>
        <w:jc w:val="both"/>
        <w:rPr>
          <w:sz w:val="24"/>
        </w:rPr>
      </w:pPr>
    </w:p>
    <w:p w:rsidR="009815A9" w:rsidRDefault="009815A9" w:rsidP="00623D44">
      <w:pPr>
        <w:jc w:val="both"/>
        <w:rPr>
          <w:sz w:val="24"/>
        </w:rPr>
      </w:pPr>
    </w:p>
    <w:p w:rsidR="00623D44" w:rsidRDefault="00623D44" w:rsidP="00EC04A5">
      <w:pPr>
        <w:jc w:val="both"/>
        <w:rPr>
          <w:sz w:val="24"/>
          <w:szCs w:val="24"/>
          <w:u w:val="single"/>
        </w:rPr>
      </w:pPr>
    </w:p>
    <w:p w:rsidR="007760AE" w:rsidRPr="00A12420" w:rsidRDefault="007760AE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B5" w:rsidRDefault="00ED7FB5">
      <w:r>
        <w:separator/>
      </w:r>
    </w:p>
  </w:endnote>
  <w:endnote w:type="continuationSeparator" w:id="0">
    <w:p w:rsidR="00ED7FB5" w:rsidRDefault="00E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E" w:rsidRDefault="007760A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37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760AE" w:rsidRDefault="0014375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E" w:rsidRDefault="00143758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7760AE">
      <w:rPr>
        <w:rStyle w:val="Nmerodepgina"/>
      </w:rPr>
      <w:fldChar w:fldCharType="begin"/>
    </w:r>
    <w:r w:rsidR="007760AE">
      <w:rPr>
        <w:rStyle w:val="Nmerodepgina"/>
      </w:rPr>
      <w:instrText xml:space="preserve"> PAGE </w:instrText>
    </w:r>
    <w:r w:rsidR="007760AE">
      <w:rPr>
        <w:rStyle w:val="Nmerodepgina"/>
      </w:rPr>
      <w:fldChar w:fldCharType="separate"/>
    </w:r>
    <w:r>
      <w:rPr>
        <w:rStyle w:val="Nmerodepgina"/>
        <w:noProof/>
      </w:rPr>
      <w:t>1</w:t>
    </w:r>
    <w:r w:rsidR="007760AE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B5" w:rsidRDefault="00ED7FB5">
      <w:r>
        <w:separator/>
      </w:r>
    </w:p>
  </w:footnote>
  <w:footnote w:type="continuationSeparator" w:id="0">
    <w:p w:rsidR="00ED7FB5" w:rsidRDefault="00ED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E" w:rsidRPr="00143758" w:rsidRDefault="007760AE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3758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177</w:t>
    </w:r>
  </w:p>
  <w:p w:rsidR="007760AE" w:rsidRPr="005D1DE4" w:rsidRDefault="00143758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7760AE" w:rsidRPr="003C0554">
      <w:rPr>
        <w:iCs/>
      </w:rPr>
      <w:t xml:space="preserve"> </w:t>
    </w:r>
    <w:r w:rsidR="007760AE">
      <w:rPr>
        <w:i/>
        <w:iCs/>
      </w:rPr>
      <w:t>Período: 23 de abril a 11 de maio de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AE" w:rsidRDefault="007760A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143758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0AE" w:rsidRPr="002168DE" w:rsidRDefault="007760AE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 xml:space="preserve">177 </w:t>
    </w:r>
  </w:p>
  <w:p w:rsidR="007760AE" w:rsidRPr="005D1DE4" w:rsidRDefault="007760AE">
    <w:pPr>
      <w:pStyle w:val="Cabealho"/>
      <w:jc w:val="right"/>
      <w:rPr>
        <w:i/>
        <w:iCs/>
        <w:sz w:val="10"/>
        <w:szCs w:val="10"/>
      </w:rPr>
    </w:pPr>
  </w:p>
  <w:p w:rsidR="007760AE" w:rsidRDefault="007760AE" w:rsidP="009A16E8">
    <w:pPr>
      <w:pStyle w:val="Cabealho"/>
      <w:jc w:val="right"/>
      <w:rPr>
        <w:i/>
        <w:iCs/>
      </w:rPr>
    </w:pPr>
    <w:r>
      <w:rPr>
        <w:i/>
        <w:iCs/>
      </w:rPr>
      <w:t>Período: 23 de abril a 11 de maio de 2018</w:t>
    </w:r>
  </w:p>
  <w:p w:rsidR="007760AE" w:rsidRDefault="007760AE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4375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07D1D"/>
    <w:rsid w:val="002156DC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4245"/>
    <w:rsid w:val="0045657C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0AE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2863"/>
    <w:rsid w:val="00D570E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24D5"/>
    <w:rsid w:val="00DE5B2D"/>
    <w:rsid w:val="00DE5C3E"/>
    <w:rsid w:val="00DE5CE9"/>
    <w:rsid w:val="00DF45BB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94&amp;digitoTst=09&amp;anoTst=2016&amp;orgaoTst=5&amp;tribunalTst=20&amp;varaTst=0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20098&amp;digitoTst=28&amp;anoTst=2014&amp;orgaoTst=5&amp;tribunalTst=04&amp;varaTst=0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89900&amp;digitoTst=22&amp;anoTst=2008&amp;orgaoTst=5&amp;tribunalTst=15&amp;varaTst=008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D324-D43B-4560-AE1D-7795DA3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4171</Characters>
  <Application>Microsoft Office Word</Application>
  <DocSecurity>4</DocSecurity>
  <Lines>73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4848</CharactersWithSpaces>
  <SharedDoc>false</SharedDoc>
  <HLinks>
    <vt:vector size="18" baseType="variant"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http://aplicacao4.tst.jus.br/consultaProcessual/consultaTstNumUnica.do?consulta=Consultar&amp;conscsjt=&amp;numeroTst=94&amp;digitoTst=09&amp;anoTst=2016&amp;orgaoTst=5&amp;tribunalTst=20&amp;varaTst=0000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http://aplicacao4.tst.jus.br/consultaProcessual/consultaTstNumUnica.do?consulta=Consultar&amp;conscsjt=&amp;numeroTst=20098&amp;digitoTst=28&amp;anoTst=2014&amp;orgaoTst=5&amp;tribunalTst=04&amp;varaTst=0018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http://aplicacao4.tst.jus.br/consultaProcessual/consultaTstNumUnica.do?consulta=Consultar&amp;conscsjt=&amp;numeroTst=89900&amp;digitoTst=22&amp;anoTst=2008&amp;orgaoTst=5&amp;tribunalTst=15&amp;varaTst=0082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C050719</cp:lastModifiedBy>
  <cp:revision>2</cp:revision>
  <cp:lastPrinted>2017-03-06T19:28:00Z</cp:lastPrinted>
  <dcterms:created xsi:type="dcterms:W3CDTF">2018-05-11T15:53:00Z</dcterms:created>
  <dcterms:modified xsi:type="dcterms:W3CDTF">2018-05-11T15:53:00Z</dcterms:modified>
</cp:coreProperties>
</file>