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  <w:bookmarkStart w:id="0" w:name="_GoBack"/>
            <w:bookmarkEnd w:id="0"/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194264" w:rsidRPr="00A26689" w:rsidRDefault="00552D4A" w:rsidP="0019426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6689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 ESPECIAL</w:t>
      </w:r>
    </w:p>
    <w:p w:rsidR="00194264" w:rsidRPr="00223F6E" w:rsidRDefault="00194264" w:rsidP="00194264">
      <w:pPr>
        <w:jc w:val="both"/>
        <w:rPr>
          <w:u w:val="single"/>
        </w:rPr>
      </w:pPr>
    </w:p>
    <w:p w:rsidR="00552D4A" w:rsidRPr="00B44170" w:rsidRDefault="00552D4A" w:rsidP="00552D4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Processo administrativo. Pensão por morte. Lei nº 3.373/58. Filha solteira maior de 21 anos. Emprego público temporário. Cancelamento do benefício. Súmula nº 285 do TCU. </w:t>
      </w:r>
    </w:p>
    <w:p w:rsidR="00552D4A" w:rsidRDefault="00552D4A" w:rsidP="00552D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Órgão Especial, à unanimidade, conheceu de recurso administrativo e, no mérito, negou-lhe provimento para manter decisão do Ministro Presidente do TST que cancelara a pensão por morte paga a filha solteira maior de 21 anos que aufere rendimento próprio superior a um salário mínimo mensal decorrente de contrato temporário firmado com Estado membro da federação. Na espécie, argumentou a pensionista que a filha maior de 21 anos que recebe pensão temporária decorrente da Lei nº 3.373/58 somente perde o benefício no caso de contrair matrimônio ou de tomar posse em cargo público permanente. Todavia, conforme entendimento atual do TCU (Súmula nº 285), para a obtenção e manutenção da pensão por morte, não basta a demonstração de que a filha maior é solteira e não ocupa cargo público permanente, exigindo-se também a prova da dependência econômica, pois a pensão temporária não se compatibiliza com a percepção de outras fontes de renda, ainda que não decorrentes de cargo público efetivo. </w:t>
      </w:r>
      <w:hyperlink r:id="rId9" w:history="1">
        <w:r w:rsidRPr="0047749E">
          <w:rPr>
            <w:rStyle w:val="Hyperlink"/>
            <w:sz w:val="24"/>
            <w:szCs w:val="24"/>
          </w:rPr>
          <w:t>TST-PA-7951-30.2017.5.00.0000</w:t>
        </w:r>
      </w:hyperlink>
      <w:r w:rsidRPr="00B44170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Órgão Especial, </w:t>
      </w:r>
      <w:r w:rsidRPr="00B44170">
        <w:rPr>
          <w:sz w:val="24"/>
          <w:szCs w:val="24"/>
          <w:u w:val="single"/>
        </w:rPr>
        <w:t xml:space="preserve">rel. Min. </w:t>
      </w:r>
      <w:r>
        <w:rPr>
          <w:sz w:val="24"/>
          <w:szCs w:val="24"/>
          <w:u w:val="single"/>
        </w:rPr>
        <w:t>João Oreste Dalazen, 2.10.2017</w:t>
      </w:r>
    </w:p>
    <w:p w:rsidR="00094103" w:rsidRPr="009C4834" w:rsidRDefault="00094103" w:rsidP="00094103">
      <w:pPr>
        <w:jc w:val="both"/>
        <w:rPr>
          <w:b/>
          <w:i/>
        </w:rPr>
      </w:pPr>
    </w:p>
    <w:p w:rsidR="00552D4A" w:rsidRPr="00A26689" w:rsidRDefault="00552D4A" w:rsidP="00552D4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6689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552D4A" w:rsidRPr="00223F6E" w:rsidRDefault="00552D4A" w:rsidP="00552D4A">
      <w:pPr>
        <w:jc w:val="both"/>
        <w:rPr>
          <w:u w:val="single"/>
        </w:rPr>
      </w:pPr>
    </w:p>
    <w:p w:rsidR="0047749E" w:rsidRPr="00B44170" w:rsidRDefault="0047749E" w:rsidP="0047749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Salário-família. Ônus da prova. Súmula nº 254 do TST. </w:t>
      </w:r>
      <w:r w:rsidRPr="00B44170">
        <w:rPr>
          <w:b/>
          <w:i/>
          <w:sz w:val="24"/>
          <w:szCs w:val="24"/>
        </w:rPr>
        <w:t xml:space="preserve">Matéria suspensa para apreciação do Tribunal Pleno. </w:t>
      </w:r>
    </w:p>
    <w:p w:rsidR="0047749E" w:rsidRDefault="0047749E" w:rsidP="0047749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 SBDI-I</w:t>
      </w:r>
      <w:r w:rsidRPr="00B44170">
        <w:rPr>
          <w:sz w:val="24"/>
          <w:szCs w:val="24"/>
        </w:rPr>
        <w:t xml:space="preserve"> decidiu, por unanimidade, suspender a proclamação do resultado do julgamento do processo em que se discute </w:t>
      </w:r>
      <w:r>
        <w:rPr>
          <w:sz w:val="24"/>
          <w:szCs w:val="24"/>
        </w:rPr>
        <w:t xml:space="preserve">se cabe ao empregado ou ao empregador o ônus de provar o direito ao salário-família </w:t>
      </w:r>
      <w:r w:rsidRPr="00B44170">
        <w:rPr>
          <w:sz w:val="24"/>
          <w:szCs w:val="24"/>
        </w:rPr>
        <w:t xml:space="preserve">e, nos termos do art. 158, § 1º, do RITST, remeter os autos ao Tribunal Pleno para revisão, se for o caso, da </w:t>
      </w:r>
      <w:r>
        <w:rPr>
          <w:sz w:val="24"/>
          <w:szCs w:val="24"/>
        </w:rPr>
        <w:t>Súmula nº 254 do TST</w:t>
      </w:r>
      <w:r w:rsidRPr="00B44170">
        <w:rPr>
          <w:sz w:val="24"/>
          <w:szCs w:val="24"/>
        </w:rPr>
        <w:t xml:space="preserve">. Na hipótese, os Ministros </w:t>
      </w:r>
      <w:r>
        <w:rPr>
          <w:sz w:val="24"/>
          <w:szCs w:val="24"/>
        </w:rPr>
        <w:t xml:space="preserve">Márcio Eurico Vitral Amaro, relator, Luiz Philippe Vieira de Mello Filho, Guilherme Augusto Caputo Bastos, Walmir Oliveira da Costa e Renato de Lacerda Paiva votaram no sentido de conhecer dos embargos, por divergência jurisprudencial, e, no mérito, dar-lhes provimento para, reformando o acórdão embargado que endossara a inversão do ônus da prova em desfavor da empregadora, julgar improcedente o pedido de salário-família. De outra sorte, os Ministros José Roberto Freire Pimenta, Augusto César Leite de Carvalho, Hugo Carlos Scheuermann, Alexandre Agra Belmonte, Cláudio Mascarenhas Brandão e Brito Pereira conheciam dos embargos, por divergência jurisprudencial, e, no mérito, negavam-lhes provimento, inclinando-se, portanto, a decidir em sentido contrário ao disposto na Súmula nº 254 do TST.   </w:t>
      </w:r>
      <w:hyperlink r:id="rId10" w:history="1">
        <w:r w:rsidRPr="0047749E">
          <w:rPr>
            <w:rStyle w:val="Hyperlink"/>
            <w:sz w:val="24"/>
            <w:szCs w:val="24"/>
          </w:rPr>
          <w:t>TST-E-RR-696-25.2012.5.05.0463</w:t>
        </w:r>
      </w:hyperlink>
      <w:r w:rsidRPr="00B44170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>Márcio Eurico Vitral Amaro, 28.9.2017</w:t>
      </w:r>
    </w:p>
    <w:p w:rsidR="0047749E" w:rsidRPr="0047749E" w:rsidRDefault="0047749E" w:rsidP="00552D4A">
      <w:pPr>
        <w:jc w:val="both"/>
        <w:rPr>
          <w:b/>
          <w:i/>
        </w:rPr>
      </w:pPr>
    </w:p>
    <w:p w:rsidR="00552D4A" w:rsidRDefault="00552D4A" w:rsidP="00552D4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Retenção indevida da CTPS. Comprovação do dano. Desnecessidade. </w:t>
      </w:r>
      <w:r w:rsidRPr="004A7FB9">
        <w:rPr>
          <w:b/>
          <w:i/>
          <w:sz w:val="24"/>
          <w:szCs w:val="24"/>
        </w:rPr>
        <w:t xml:space="preserve">Dano moral </w:t>
      </w:r>
      <w:r w:rsidRPr="004A7FB9">
        <w:rPr>
          <w:i/>
          <w:sz w:val="24"/>
          <w:szCs w:val="24"/>
        </w:rPr>
        <w:t>in re ipsa</w:t>
      </w:r>
      <w:r w:rsidRPr="004A7FB9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Art. 53 c/c art. 13, ambos da CLT. </w:t>
      </w:r>
    </w:p>
    <w:p w:rsidR="00552D4A" w:rsidRDefault="00552D4A" w:rsidP="00552D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retenção ilícita da Carteira de Trabalho e Previdência Social - CTPS, configurada quando o trabalhador não tem devolvida sua carteira de trabalho após quarenta e oito horas (art. 53 da CLT), acarreta dano moral </w:t>
      </w:r>
      <w:r w:rsidRPr="00187E7D">
        <w:rPr>
          <w:i/>
          <w:sz w:val="24"/>
          <w:szCs w:val="24"/>
        </w:rPr>
        <w:t>in re ipsa</w:t>
      </w:r>
      <w:r>
        <w:rPr>
          <w:sz w:val="24"/>
          <w:szCs w:val="24"/>
        </w:rPr>
        <w:t xml:space="preserve">, vale dizer, decorrente do próprio ato de retenção, motivo por que não se exige do empregado a comprovação do sofrimento, constrangimento ou prejuízo sofridos. Assim, </w:t>
      </w:r>
      <w:r>
        <w:rPr>
          <w:sz w:val="24"/>
          <w:szCs w:val="24"/>
        </w:rPr>
        <w:lastRenderedPageBreak/>
        <w:t xml:space="preserve">presume-se o dano moral por ficar impedido o trabalhador, em novas oportunidades oferecidas pelo mercado, de apresentar sua carteira de trabalho, cuja dicção do art. 13 da CLT dispõe se tratar de documento obrigatório para o exercício de qualquer emprego ou para a verificação da situação de benefícios previdenciários. Sob esses fundamentos, a SBDI-I, por maioria, vencido o Ministro Márcio Eurico Vitral Amaro, relator, conheceu dos embargos da reclamante, por divergência jurisprudencial, e, no mérito, por unanimidade, deu-lhes provimento, para </w:t>
      </w:r>
      <w:r w:rsidRPr="00B8547F">
        <w:rPr>
          <w:sz w:val="24"/>
          <w:szCs w:val="24"/>
        </w:rPr>
        <w:t>julgar procedente o pedido de indenização por dano moral</w:t>
      </w:r>
      <w:r>
        <w:rPr>
          <w:sz w:val="24"/>
          <w:szCs w:val="24"/>
        </w:rPr>
        <w:t xml:space="preserve"> d</w:t>
      </w:r>
      <w:r w:rsidRPr="00B8547F">
        <w:rPr>
          <w:sz w:val="24"/>
          <w:szCs w:val="24"/>
        </w:rPr>
        <w:t>ecorrente da retenção da CTPS por prazo superior ao legal</w:t>
      </w:r>
      <w:r w:rsidRPr="00DB3C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11" w:history="1">
        <w:r w:rsidRPr="0047749E">
          <w:rPr>
            <w:rStyle w:val="Hyperlink"/>
            <w:sz w:val="24"/>
            <w:szCs w:val="24"/>
          </w:rPr>
          <w:t>TST-E-RR-189-15.2012.5.05.0641</w:t>
        </w:r>
      </w:hyperlink>
      <w:r>
        <w:rPr>
          <w:sz w:val="24"/>
          <w:szCs w:val="24"/>
          <w:u w:val="single"/>
        </w:rPr>
        <w:t>, SBDI-I</w:t>
      </w:r>
      <w:r w:rsidRPr="00A8445C">
        <w:rPr>
          <w:sz w:val="24"/>
          <w:szCs w:val="24"/>
          <w:u w:val="single"/>
        </w:rPr>
        <w:t>, rel. Min. Márcio Eurico Vitral Amaro, 28.9.2017</w:t>
      </w:r>
    </w:p>
    <w:p w:rsidR="00552D4A" w:rsidRPr="0047749E" w:rsidRDefault="00552D4A" w:rsidP="00552D4A">
      <w:pPr>
        <w:jc w:val="both"/>
        <w:rPr>
          <w:u w:val="single"/>
        </w:rPr>
      </w:pPr>
    </w:p>
    <w:p w:rsidR="00552D4A" w:rsidRPr="00B4525E" w:rsidRDefault="00552D4A" w:rsidP="00552D4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Período pré-eleitoral. Estabilidade provisória. Art. 73, V, da Lei nº 9.504/97. Circunscrição do pleito. Abrangência.</w:t>
      </w:r>
    </w:p>
    <w:p w:rsidR="00552D4A" w:rsidRDefault="00552D4A" w:rsidP="00552D4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interpretação da expressão “circunscrição do pleito”, a que se refere o inciso V do art. 73 da Lei nº 9.504/97, deve ser a mais abrangente possível, a fim de alcançar o objetivo da norma que é </w:t>
      </w:r>
      <w:r w:rsidRPr="008163FB">
        <w:rPr>
          <w:sz w:val="24"/>
          <w:szCs w:val="24"/>
        </w:rPr>
        <w:t>impedir a utilização da máquina estatal como meio de pressão política sobre o empregado</w:t>
      </w:r>
      <w:r>
        <w:rPr>
          <w:sz w:val="24"/>
          <w:szCs w:val="24"/>
        </w:rPr>
        <w:t xml:space="preserve">. Nesse sentido, </w:t>
      </w:r>
      <w:r w:rsidR="00161E91">
        <w:rPr>
          <w:sz w:val="24"/>
          <w:szCs w:val="24"/>
        </w:rPr>
        <w:t>independentemente de o</w:t>
      </w:r>
      <w:r w:rsidRPr="00DA4D4F">
        <w:rPr>
          <w:sz w:val="24"/>
          <w:szCs w:val="24"/>
        </w:rPr>
        <w:t xml:space="preserve"> vínculo de emprego ser com ente da administração pública federal, estadual ou municipal, deve</w:t>
      </w:r>
      <w:r w:rsidR="00161E91">
        <w:rPr>
          <w:sz w:val="24"/>
          <w:szCs w:val="24"/>
        </w:rPr>
        <w:t xml:space="preserve">-se </w:t>
      </w:r>
      <w:r w:rsidRPr="00DA4D4F">
        <w:rPr>
          <w:sz w:val="24"/>
          <w:szCs w:val="24"/>
        </w:rPr>
        <w:t>reconhec</w:t>
      </w:r>
      <w:r w:rsidR="00161E91">
        <w:rPr>
          <w:sz w:val="24"/>
          <w:szCs w:val="24"/>
        </w:rPr>
        <w:t>er</w:t>
      </w:r>
      <w:r w:rsidRPr="00DA4D4F">
        <w:rPr>
          <w:sz w:val="24"/>
          <w:szCs w:val="24"/>
        </w:rPr>
        <w:t xml:space="preserve"> a estabilidade provisória no período pré-eleitoral ao empregado que trabalha no limite territorial onde realizada a eleição</w:t>
      </w:r>
      <w:r>
        <w:rPr>
          <w:sz w:val="24"/>
          <w:szCs w:val="24"/>
        </w:rPr>
        <w:t xml:space="preserve">. </w:t>
      </w:r>
      <w:r w:rsidRPr="0012319B">
        <w:rPr>
          <w:sz w:val="24"/>
          <w:szCs w:val="24"/>
        </w:rPr>
        <w:t>Sob esse fundamento, a SBDI-I, por unanimidade, conheceu dos embargos interpostos pelo banco, por divergência jurisprudencial, e, no mérito, negou-lhes provimento</w:t>
      </w:r>
      <w:r>
        <w:rPr>
          <w:sz w:val="24"/>
          <w:szCs w:val="24"/>
        </w:rPr>
        <w:t>, mantendo, portanto, a decisão que reconhecera o direito à estabilidade provisória a empregado da administração pública indireta estadual dispensado sem justa causa durante eleição municipal.</w:t>
      </w:r>
      <w:r w:rsidRPr="00B4525E">
        <w:rPr>
          <w:sz w:val="24"/>
          <w:szCs w:val="24"/>
        </w:rPr>
        <w:t xml:space="preserve"> </w:t>
      </w:r>
      <w:hyperlink r:id="rId12" w:history="1">
        <w:r w:rsidRPr="0047749E">
          <w:rPr>
            <w:rStyle w:val="Hyperlink"/>
            <w:sz w:val="24"/>
            <w:szCs w:val="24"/>
          </w:rPr>
          <w:t>TST-Ag-E-ED-ARR-230800-32.2008.5.02.0433</w:t>
        </w:r>
      </w:hyperlink>
      <w:r w:rsidRPr="00B4525E">
        <w:rPr>
          <w:sz w:val="24"/>
          <w:szCs w:val="24"/>
          <w:u w:val="single"/>
        </w:rPr>
        <w:t>, SBDI-I, rel. Min.</w:t>
      </w:r>
      <w:r w:rsidRPr="0012319B">
        <w:rPr>
          <w:u w:val="single"/>
        </w:rPr>
        <w:t xml:space="preserve"> </w:t>
      </w:r>
      <w:r w:rsidRPr="0012319B">
        <w:rPr>
          <w:sz w:val="24"/>
          <w:szCs w:val="24"/>
          <w:u w:val="single"/>
        </w:rPr>
        <w:t>Augusto César Leite de Carvalho</w:t>
      </w:r>
      <w:r w:rsidRPr="00B4525E">
        <w:rPr>
          <w:sz w:val="24"/>
          <w:szCs w:val="24"/>
          <w:u w:val="single"/>
        </w:rPr>
        <w:t xml:space="preserve"> , </w:t>
      </w:r>
      <w:r>
        <w:rPr>
          <w:sz w:val="24"/>
          <w:szCs w:val="24"/>
          <w:u w:val="single"/>
        </w:rPr>
        <w:t>28</w:t>
      </w:r>
      <w:r w:rsidRPr="00B452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9</w:t>
      </w:r>
      <w:r w:rsidRPr="00B4525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</w:p>
    <w:p w:rsidR="00EC6FA8" w:rsidRPr="0047749E" w:rsidRDefault="00EC6FA8" w:rsidP="00552D4A">
      <w:pPr>
        <w:jc w:val="both"/>
        <w:rPr>
          <w:u w:val="single"/>
        </w:rPr>
      </w:pPr>
    </w:p>
    <w:p w:rsidR="00EC6FA8" w:rsidRPr="000D36E4" w:rsidRDefault="00EC6FA8" w:rsidP="00EC6FA8">
      <w:pPr>
        <w:jc w:val="both"/>
        <w:rPr>
          <w:b/>
          <w:i/>
          <w:sz w:val="24"/>
          <w:szCs w:val="24"/>
        </w:rPr>
      </w:pPr>
      <w:r w:rsidRPr="000D36E4">
        <w:rPr>
          <w:b/>
          <w:i/>
          <w:sz w:val="24"/>
          <w:szCs w:val="24"/>
        </w:rPr>
        <w:t>Pedido de intimação de testemunha. Indeferimento. Determinação judicial prévia de apresentação de rol de testemunhas. Inobservância. Cerceamento de defesa. Não caracterização.</w:t>
      </w:r>
    </w:p>
    <w:p w:rsidR="00EC6FA8" w:rsidRPr="00EC6FA8" w:rsidRDefault="00EC6FA8" w:rsidP="00EC6FA8">
      <w:pPr>
        <w:jc w:val="both"/>
        <w:rPr>
          <w:sz w:val="24"/>
          <w:szCs w:val="24"/>
        </w:rPr>
      </w:pPr>
      <w:r w:rsidRPr="00EC6FA8">
        <w:rPr>
          <w:sz w:val="24"/>
          <w:szCs w:val="24"/>
        </w:rPr>
        <w:t xml:space="preserve">Na hipótese em que a parte não observa determinação judicial prévia de apresentação de rol de testemunhas e não comprova a realização de convite à testemunha ausente, o indeferimento do pedido de adiamento de audiência para intimação de testemunha que não compareceu espontaneamente não caracteriza cerceamento do direito de defesa, nem viola o art. 825 da CLT. No caso, foi dada ciência ao reclamante quanto à designação de audiência una, registrando-se a recomendação de que as testemunhas não arroladas previamente deveriam ser trazidas independentemente de intimação, sob pena de preclusão. Sob esse fundamento, a SBDI-I, por unanimidade, conheceu dos embargos, por divergência jurisprudencial, e, no mérito, pelo voto prevalente da Presidência, deu-lhes provimento para, reformando a decisão turmária quanto ao reconhecimento de violação do art. 825 da CLT, afastar a declaração de nulidade por cerceamento de defesa, e restabelecer o acórdão do Regional. Vencidos os Ministros Guilherme Augusto Caputo Bastos, Luiz Philippe Vieira de Mello Filho, Márcio Eurico Vitral Amaro, Walmir Oliveira da Costa, Augusto César leite de Carvalho e Alexandre Agra Belmonte. </w:t>
      </w:r>
      <w:hyperlink r:id="rId13" w:history="1">
        <w:r w:rsidRPr="0047749E">
          <w:rPr>
            <w:rStyle w:val="Hyperlink"/>
            <w:sz w:val="24"/>
            <w:szCs w:val="24"/>
          </w:rPr>
          <w:t>TST-E-RR-2300-70.2007.5.02.0401</w:t>
        </w:r>
      </w:hyperlink>
      <w:r w:rsidRPr="00EC6FA8">
        <w:rPr>
          <w:sz w:val="24"/>
          <w:szCs w:val="24"/>
          <w:u w:val="single"/>
        </w:rPr>
        <w:t>, SBDI-I, rel. Min. Hugo Carlos Scheuermann, 28.9.2017</w:t>
      </w:r>
    </w:p>
    <w:p w:rsidR="00EC6FA8" w:rsidRPr="0047749E" w:rsidRDefault="00EC6FA8" w:rsidP="00552D4A">
      <w:pPr>
        <w:jc w:val="both"/>
        <w:rPr>
          <w:u w:val="single"/>
        </w:rPr>
      </w:pPr>
    </w:p>
    <w:p w:rsidR="00EC6FA8" w:rsidRDefault="00EC6FA8" w:rsidP="00EC6FA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Advogado empregado. Jornada de trabalho. Art. 20 da Lei nº 8.906/1994. Regime de dedicação exclusiva. Exigência de previsão contratual expressa. Art. 12 do Regulamento Geral do Estatuto da Advocacia e da OAB.</w:t>
      </w:r>
    </w:p>
    <w:p w:rsidR="00EC6FA8" w:rsidRPr="008E6F64" w:rsidRDefault="00EC6FA8" w:rsidP="00EC6F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Lei nº 8.906/94, em seu art. 20, fixa o limite de 4 horas contínuas diárias e 20 horas semanais para a jornada de trabalho do advogado empregado, admitindo exceção por meio de ajuste coletivo ou no caso de dedicação exclusiva. O art. 12 do Regulamento Geral do Estatuto da Advocacia e da OAB, por sua vez, dispõe que, para os efeitos do art. 20 da Lei nº 8.906/94, o regime de dedicação exclusiva deve estar expressamente previsto no contrato individual de trabalho. Assim, diante da imprescindibilidade de previsão contratual, não há como presumir a dedicação exclusiva, sendo devidas as horas extras excedentes à quarta diária e à vigésima semanal, com o adicional de 100% previsto no art. 20 da Lei nº 8.906/94, e os reflexos legais. Sob esses fundamentos, a SBDI-I, por maioria, conheceu do recurso de embargos da reclamada, por divergência jurisprudencial, vencidos os Ministros Cláudio Mascarenhas Brandão, Brito Pereira, Augusto César Leite de Carvalho, José </w:t>
      </w:r>
      <w:r>
        <w:rPr>
          <w:sz w:val="24"/>
          <w:szCs w:val="24"/>
        </w:rPr>
        <w:lastRenderedPageBreak/>
        <w:t xml:space="preserve">Roberto Freire Pimenta e Hugo Carlos Scheuermann. No mérito, ainda por maioria, a Subseção negou provimento ao recurso, vencidos os Ministros Alexandre Agra Belmonte, relator, Aloysio Corrêa da Veiga, Guilherme Augusto Caputo Bastos e Ives Gandra Martins Filho, os quais admitiam a configuração de dedicação exclusiva com base no contrato realidade. </w:t>
      </w:r>
      <w:hyperlink r:id="rId14" w:history="1">
        <w:r w:rsidRPr="0047749E">
          <w:rPr>
            <w:rStyle w:val="Hyperlink"/>
            <w:sz w:val="24"/>
            <w:szCs w:val="24"/>
          </w:rPr>
          <w:t>TST-E-RR-1606-53.2011.5.15.0093</w:t>
        </w:r>
      </w:hyperlink>
      <w:r w:rsidRPr="008E6F64">
        <w:rPr>
          <w:sz w:val="24"/>
          <w:szCs w:val="24"/>
          <w:u w:val="single"/>
        </w:rPr>
        <w:t xml:space="preserve">, SBDI-I, </w:t>
      </w:r>
      <w:r w:rsidR="0047749E">
        <w:rPr>
          <w:sz w:val="24"/>
          <w:szCs w:val="24"/>
          <w:u w:val="single"/>
        </w:rPr>
        <w:t xml:space="preserve">rel. Min. Alexandre Agra Belmonte, </w:t>
      </w:r>
      <w:r w:rsidRPr="008E6F64">
        <w:rPr>
          <w:sz w:val="24"/>
          <w:szCs w:val="24"/>
          <w:u w:val="single"/>
        </w:rPr>
        <w:t>red.</w:t>
      </w:r>
      <w:r w:rsidR="0047749E">
        <w:rPr>
          <w:sz w:val="24"/>
          <w:szCs w:val="24"/>
          <w:u w:val="single"/>
        </w:rPr>
        <w:t xml:space="preserve"> p/ acórdãp</w:t>
      </w:r>
      <w:r w:rsidRPr="008E6F64">
        <w:rPr>
          <w:sz w:val="24"/>
          <w:szCs w:val="24"/>
          <w:u w:val="single"/>
        </w:rPr>
        <w:t xml:space="preserve"> Min. João Oreste Dalazen, 28.9.2017</w:t>
      </w:r>
    </w:p>
    <w:p w:rsidR="009C4834" w:rsidRPr="0047749E" w:rsidRDefault="009C4834" w:rsidP="00194264">
      <w:pPr>
        <w:jc w:val="both"/>
        <w:rPr>
          <w:bCs/>
          <w:sz w:val="24"/>
          <w:szCs w:val="24"/>
          <w:u w:val="single"/>
        </w:rPr>
      </w:pPr>
    </w:p>
    <w:p w:rsidR="00552D4A" w:rsidRPr="00A26689" w:rsidRDefault="00552D4A" w:rsidP="00552D4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6689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II ESPECIALIZADA EM DISSÍDIOS INDIVIDUAIS</w:t>
      </w:r>
    </w:p>
    <w:p w:rsidR="00552D4A" w:rsidRPr="00223F6E" w:rsidRDefault="00552D4A" w:rsidP="00552D4A">
      <w:pPr>
        <w:jc w:val="both"/>
        <w:rPr>
          <w:u w:val="single"/>
        </w:rPr>
      </w:pPr>
    </w:p>
    <w:p w:rsidR="00552D4A" w:rsidRDefault="00552D4A" w:rsidP="00552D4A">
      <w:pPr>
        <w:jc w:val="both"/>
      </w:pPr>
      <w:r>
        <w:rPr>
          <w:b/>
          <w:i/>
          <w:sz w:val="24"/>
          <w:szCs w:val="24"/>
        </w:rPr>
        <w:t xml:space="preserve">Ação rescisória. Petroleiros. </w:t>
      </w:r>
      <w:r w:rsidRPr="00AB2D6A">
        <w:rPr>
          <w:b/>
          <w:i/>
          <w:sz w:val="24"/>
          <w:szCs w:val="24"/>
        </w:rPr>
        <w:t>Turnos ininterruptos de re</w:t>
      </w:r>
      <w:r>
        <w:rPr>
          <w:b/>
          <w:i/>
          <w:sz w:val="24"/>
          <w:szCs w:val="24"/>
        </w:rPr>
        <w:t>vezamento. Reflexos das horas extras nas folgas compensatórias previstas na Lei nº 5.811/72</w:t>
      </w:r>
      <w:r w:rsidRPr="00AB2D6A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Pagamento indevido. Inaplicabilidade da Súmula nº 172 do TST. Violação do art</w:t>
      </w:r>
      <w:r w:rsidRPr="00AB2D6A">
        <w:rPr>
          <w:b/>
          <w:i/>
          <w:sz w:val="24"/>
          <w:szCs w:val="24"/>
        </w:rPr>
        <w:t>. 7º,</w:t>
      </w:r>
      <w:r>
        <w:rPr>
          <w:b/>
          <w:i/>
          <w:sz w:val="24"/>
          <w:szCs w:val="24"/>
        </w:rPr>
        <w:t xml:space="preserve"> XV, da CF. Configuração.</w:t>
      </w:r>
      <w:r>
        <w:t xml:space="preserve"> </w:t>
      </w:r>
    </w:p>
    <w:p w:rsidR="00552D4A" w:rsidRDefault="00552D4A" w:rsidP="00552D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Viola o art. 7º, XV, da CF o acórdão que condena a Petrobras S.A. ao pagamento de diferenças de reflexos em horas extras nas folgas previstas na Lei nº 5.811/72, por aplicação da Súmula nº 172 do TST. Para a categoria dos petroleiros, </w:t>
      </w:r>
      <w:r w:rsidRPr="003D53F8">
        <w:rPr>
          <w:sz w:val="24"/>
          <w:szCs w:val="24"/>
        </w:rPr>
        <w:t>o labor em turnos de revezamento, bem como as folgas compensatórias usufruídas, decorrem do regime especial de trabalho</w:t>
      </w:r>
      <w:r>
        <w:rPr>
          <w:sz w:val="24"/>
          <w:szCs w:val="24"/>
        </w:rPr>
        <w:t xml:space="preserve"> de que trata </w:t>
      </w:r>
      <w:r w:rsidRPr="00666206">
        <w:rPr>
          <w:sz w:val="24"/>
          <w:szCs w:val="24"/>
        </w:rPr>
        <w:t>a Lei nº 5.811/72</w:t>
      </w:r>
      <w:r w:rsidRPr="003D53F8">
        <w:rPr>
          <w:sz w:val="24"/>
          <w:szCs w:val="24"/>
        </w:rPr>
        <w:t>. Assim, conside</w:t>
      </w:r>
      <w:r>
        <w:rPr>
          <w:sz w:val="24"/>
          <w:szCs w:val="24"/>
        </w:rPr>
        <w:t>rando que os repousos em questão</w:t>
      </w:r>
      <w:r w:rsidRPr="002B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configuram folga compensatória e não se confundem com o </w:t>
      </w:r>
      <w:r w:rsidRPr="003D53F8">
        <w:rPr>
          <w:sz w:val="24"/>
          <w:szCs w:val="24"/>
        </w:rPr>
        <w:t xml:space="preserve">descanso </w:t>
      </w:r>
      <w:r>
        <w:rPr>
          <w:sz w:val="24"/>
          <w:szCs w:val="24"/>
        </w:rPr>
        <w:t xml:space="preserve">hebdomadário a que se refere a Lei nº 605/49, resulta inaplicável o entendimento contido na Súmula nº 172 do TST, que se restringe às hipóteses de repouso semanal remunerado. </w:t>
      </w:r>
      <w:r w:rsidRPr="00884C2B">
        <w:rPr>
          <w:sz w:val="24"/>
          <w:szCs w:val="24"/>
        </w:rPr>
        <w:t>Sob esse fundamento, a SBDI-II, por unanimidade,</w:t>
      </w:r>
      <w:r w:rsidRPr="003D53F8">
        <w:t xml:space="preserve"> </w:t>
      </w:r>
      <w:r w:rsidRPr="003D53F8">
        <w:rPr>
          <w:sz w:val="24"/>
          <w:szCs w:val="24"/>
        </w:rPr>
        <w:t>conhece</w:t>
      </w:r>
      <w:r>
        <w:rPr>
          <w:sz w:val="24"/>
          <w:szCs w:val="24"/>
        </w:rPr>
        <w:t>u</w:t>
      </w:r>
      <w:r w:rsidRPr="003D53F8">
        <w:rPr>
          <w:sz w:val="24"/>
          <w:szCs w:val="24"/>
        </w:rPr>
        <w:t xml:space="preserve"> do recurso ordinário da </w:t>
      </w:r>
      <w:r>
        <w:rPr>
          <w:sz w:val="24"/>
          <w:szCs w:val="24"/>
        </w:rPr>
        <w:t>Petrobras S.A.</w:t>
      </w:r>
      <w:r w:rsidRPr="003D53F8">
        <w:rPr>
          <w:sz w:val="24"/>
          <w:szCs w:val="24"/>
        </w:rPr>
        <w:t xml:space="preserve"> e, no mérito,</w:t>
      </w:r>
      <w:r>
        <w:rPr>
          <w:sz w:val="24"/>
          <w:szCs w:val="24"/>
        </w:rPr>
        <w:t xml:space="preserve"> por maioria, deu</w:t>
      </w:r>
      <w:r w:rsidRPr="003D53F8">
        <w:rPr>
          <w:sz w:val="24"/>
          <w:szCs w:val="24"/>
        </w:rPr>
        <w:t>-lhe provimento para julgar procedente a ação rescisória, com fundamento no art. 485, V, do CPC</w:t>
      </w:r>
      <w:r>
        <w:rPr>
          <w:sz w:val="24"/>
          <w:szCs w:val="24"/>
        </w:rPr>
        <w:t xml:space="preserve"> de 19</w:t>
      </w:r>
      <w:r w:rsidRPr="003D53F8">
        <w:rPr>
          <w:sz w:val="24"/>
          <w:szCs w:val="24"/>
        </w:rPr>
        <w:t>73, e, em juízo rescisório, proferindo novo julg</w:t>
      </w:r>
      <w:r>
        <w:rPr>
          <w:sz w:val="24"/>
          <w:szCs w:val="24"/>
        </w:rPr>
        <w:t>amento da causa principal, negar</w:t>
      </w:r>
      <w:r w:rsidRPr="003D53F8">
        <w:rPr>
          <w:sz w:val="24"/>
          <w:szCs w:val="24"/>
        </w:rPr>
        <w:t xml:space="preserve"> provimento ao recurso ordinário do reclamante, afastando, por conseguinte, a condenação ao pagamento dos reflexos, nas folgas compensatórias, das horas extras habitualmente </w:t>
      </w:r>
      <w:r>
        <w:rPr>
          <w:sz w:val="24"/>
          <w:szCs w:val="24"/>
        </w:rPr>
        <w:t>prestadas</w:t>
      </w:r>
      <w:r w:rsidRPr="003D53F8">
        <w:rPr>
          <w:sz w:val="24"/>
          <w:szCs w:val="24"/>
        </w:rPr>
        <w:t xml:space="preserve"> pelos petroleiros </w:t>
      </w:r>
      <w:r>
        <w:rPr>
          <w:sz w:val="24"/>
          <w:szCs w:val="24"/>
        </w:rPr>
        <w:t>em</w:t>
      </w:r>
      <w:r w:rsidRPr="003D53F8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egime de turnos de revezamento. Vencidos os Ministros Maria Helena Mallmann, Lelio Bentes Corrêa e Delaíde Miranda Arantes. </w:t>
      </w:r>
      <w:hyperlink r:id="rId15" w:history="1">
        <w:r w:rsidRPr="0047749E">
          <w:rPr>
            <w:rStyle w:val="Hyperlink"/>
            <w:sz w:val="24"/>
            <w:szCs w:val="24"/>
          </w:rPr>
          <w:t>TST-RO-10465-40.2015.5.03.0000</w:t>
        </w:r>
      </w:hyperlink>
      <w:r w:rsidRPr="008E5A48">
        <w:rPr>
          <w:sz w:val="24"/>
          <w:szCs w:val="24"/>
          <w:u w:val="single"/>
        </w:rPr>
        <w:t>, SBDI-II, rel. Min. Alberto Luiz Bresciani de Fontan Pereira, 26.9.2017</w:t>
      </w:r>
    </w:p>
    <w:p w:rsidR="00282620" w:rsidRDefault="00282620" w:rsidP="00194264">
      <w:pPr>
        <w:jc w:val="both"/>
        <w:rPr>
          <w:bCs/>
          <w:sz w:val="24"/>
          <w:szCs w:val="24"/>
          <w:u w:val="single"/>
        </w:rPr>
      </w:pPr>
    </w:p>
    <w:p w:rsidR="00963D6F" w:rsidRDefault="00963D6F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47749E" w:rsidRDefault="0047749E" w:rsidP="00C6738C">
      <w:pPr>
        <w:rPr>
          <w:sz w:val="10"/>
          <w:szCs w:val="10"/>
        </w:rPr>
      </w:pPr>
    </w:p>
    <w:p w:rsidR="00963D6F" w:rsidRDefault="00963D6F" w:rsidP="00C6738C">
      <w:pPr>
        <w:rPr>
          <w:sz w:val="10"/>
          <w:szCs w:val="10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CD" w:rsidRDefault="004D60CD">
      <w:r>
        <w:separator/>
      </w:r>
    </w:p>
  </w:endnote>
  <w:endnote w:type="continuationSeparator" w:id="0">
    <w:p w:rsidR="004D60CD" w:rsidRDefault="004D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668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7684A" w:rsidRDefault="00A26689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A2668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27684A">
      <w:rPr>
        <w:rStyle w:val="Nmerodepgina"/>
      </w:rPr>
      <w:fldChar w:fldCharType="begin"/>
    </w:r>
    <w:r w:rsidR="0027684A">
      <w:rPr>
        <w:rStyle w:val="Nmerodepgina"/>
      </w:rPr>
      <w:instrText xml:space="preserve"> PAGE </w:instrText>
    </w:r>
    <w:r w:rsidR="0027684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27684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CD" w:rsidRDefault="004D60CD">
      <w:r>
        <w:separator/>
      </w:r>
    </w:p>
  </w:footnote>
  <w:footnote w:type="continuationSeparator" w:id="0">
    <w:p w:rsidR="004D60CD" w:rsidRDefault="004D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A26689" w:rsidRDefault="0027684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26689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</w:t>
    </w:r>
    <w:r w:rsidR="00A02580" w:rsidRPr="00A26689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47749E" w:rsidRPr="00A26689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</w:p>
  <w:p w:rsidR="0027684A" w:rsidRPr="005D1DE4" w:rsidRDefault="00A26689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7684A" w:rsidRPr="003C0554">
      <w:rPr>
        <w:iCs/>
      </w:rPr>
      <w:t xml:space="preserve"> </w:t>
    </w:r>
    <w:r w:rsidR="0027684A">
      <w:rPr>
        <w:i/>
        <w:iCs/>
      </w:rPr>
      <w:t xml:space="preserve">Período: </w:t>
    </w:r>
    <w:r w:rsidR="00552D4A">
      <w:rPr>
        <w:i/>
        <w:iCs/>
      </w:rPr>
      <w:t>26 de setembro a 2 de outubro d</w:t>
    </w:r>
    <w:r w:rsidR="00063834">
      <w:rPr>
        <w:i/>
        <w:iCs/>
      </w:rPr>
      <w:t>e</w:t>
    </w:r>
    <w:r w:rsidR="0027684A">
      <w:rPr>
        <w:i/>
        <w:iCs/>
      </w:rPr>
      <w:t xml:space="preserve">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A26689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</w:t>
    </w:r>
    <w:r w:rsidR="00A02580">
      <w:rPr>
        <w:b/>
        <w:sz w:val="40"/>
        <w:szCs w:val="40"/>
      </w:rPr>
      <w:t>6</w:t>
    </w:r>
    <w:r w:rsidR="00552D4A">
      <w:rPr>
        <w:b/>
        <w:sz w:val="40"/>
        <w:szCs w:val="40"/>
      </w:rPr>
      <w:t>6</w:t>
    </w:r>
    <w:r w:rsidR="00730CC7">
      <w:rPr>
        <w:b/>
        <w:sz w:val="40"/>
        <w:szCs w:val="40"/>
      </w:rPr>
      <w:t xml:space="preserve"> 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Pr="005D1DE4" w:rsidRDefault="0027684A">
    <w:pPr>
      <w:pStyle w:val="Cabealho"/>
      <w:jc w:val="right"/>
    </w:pPr>
    <w:r>
      <w:rPr>
        <w:i/>
        <w:iCs/>
      </w:rPr>
      <w:t xml:space="preserve">Período: </w:t>
    </w:r>
    <w:r w:rsidR="00094103">
      <w:rPr>
        <w:i/>
        <w:iCs/>
      </w:rPr>
      <w:t>2</w:t>
    </w:r>
    <w:r w:rsidR="00552D4A">
      <w:rPr>
        <w:i/>
        <w:iCs/>
      </w:rPr>
      <w:t>6</w:t>
    </w:r>
    <w:r w:rsidR="00D12FFF">
      <w:rPr>
        <w:i/>
        <w:iCs/>
      </w:rPr>
      <w:t xml:space="preserve"> de setembro</w:t>
    </w:r>
    <w:r w:rsidR="00552D4A">
      <w:rPr>
        <w:i/>
        <w:iCs/>
      </w:rPr>
      <w:t xml:space="preserve"> a 2 de outubro </w:t>
    </w:r>
    <w:r w:rsidR="00DC30DD">
      <w:rPr>
        <w:i/>
        <w:iCs/>
      </w:rPr>
      <w:t>de 2017</w:t>
    </w:r>
  </w:p>
  <w:p w:rsidR="0027684A" w:rsidRDefault="0027684A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168DE"/>
    <w:rsid w:val="00223F6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2620"/>
    <w:rsid w:val="00285064"/>
    <w:rsid w:val="002A219D"/>
    <w:rsid w:val="002A22C6"/>
    <w:rsid w:val="002A521A"/>
    <w:rsid w:val="002A546D"/>
    <w:rsid w:val="002B0750"/>
    <w:rsid w:val="002B4738"/>
    <w:rsid w:val="002B6377"/>
    <w:rsid w:val="002C2904"/>
    <w:rsid w:val="002E78CB"/>
    <w:rsid w:val="002F28E5"/>
    <w:rsid w:val="002F71BF"/>
    <w:rsid w:val="003070C9"/>
    <w:rsid w:val="003074FC"/>
    <w:rsid w:val="0031207D"/>
    <w:rsid w:val="003200A0"/>
    <w:rsid w:val="0033397A"/>
    <w:rsid w:val="00340D16"/>
    <w:rsid w:val="00340E8D"/>
    <w:rsid w:val="00342846"/>
    <w:rsid w:val="003503FC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63E7"/>
    <w:rsid w:val="004166C3"/>
    <w:rsid w:val="00416D9A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672FC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30B90"/>
    <w:rsid w:val="00543B94"/>
    <w:rsid w:val="005460BD"/>
    <w:rsid w:val="005521C8"/>
    <w:rsid w:val="00552D4A"/>
    <w:rsid w:val="00553197"/>
    <w:rsid w:val="0055409E"/>
    <w:rsid w:val="00554139"/>
    <w:rsid w:val="00556367"/>
    <w:rsid w:val="00556B35"/>
    <w:rsid w:val="005703D6"/>
    <w:rsid w:val="00573E13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6002E3"/>
    <w:rsid w:val="00602FF7"/>
    <w:rsid w:val="006145AC"/>
    <w:rsid w:val="00615F98"/>
    <w:rsid w:val="006207F5"/>
    <w:rsid w:val="00621F9C"/>
    <w:rsid w:val="00631166"/>
    <w:rsid w:val="00631F1C"/>
    <w:rsid w:val="00636289"/>
    <w:rsid w:val="006366A4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91234"/>
    <w:rsid w:val="00692202"/>
    <w:rsid w:val="006931CC"/>
    <w:rsid w:val="006947F2"/>
    <w:rsid w:val="00696523"/>
    <w:rsid w:val="00697919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E1A9C"/>
    <w:rsid w:val="006E3B5C"/>
    <w:rsid w:val="006E5D21"/>
    <w:rsid w:val="006F6C15"/>
    <w:rsid w:val="00700B1B"/>
    <w:rsid w:val="007023BC"/>
    <w:rsid w:val="007029CF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614F1"/>
    <w:rsid w:val="007618C5"/>
    <w:rsid w:val="00764066"/>
    <w:rsid w:val="00766B7B"/>
    <w:rsid w:val="0077600F"/>
    <w:rsid w:val="00776118"/>
    <w:rsid w:val="00781C77"/>
    <w:rsid w:val="00796745"/>
    <w:rsid w:val="007A28FF"/>
    <w:rsid w:val="007A4F78"/>
    <w:rsid w:val="007A7125"/>
    <w:rsid w:val="007B0F83"/>
    <w:rsid w:val="007C0A4F"/>
    <w:rsid w:val="007D29A1"/>
    <w:rsid w:val="007D2B4E"/>
    <w:rsid w:val="007D2EE9"/>
    <w:rsid w:val="007D469A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4797B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42D0"/>
    <w:rsid w:val="00884AC4"/>
    <w:rsid w:val="0088579D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BAD"/>
    <w:rsid w:val="009A32D5"/>
    <w:rsid w:val="009A5D37"/>
    <w:rsid w:val="009A610E"/>
    <w:rsid w:val="009A6BD9"/>
    <w:rsid w:val="009B320F"/>
    <w:rsid w:val="009B6012"/>
    <w:rsid w:val="009C0EBA"/>
    <w:rsid w:val="009C102D"/>
    <w:rsid w:val="009C2A4F"/>
    <w:rsid w:val="009C4834"/>
    <w:rsid w:val="009D10FB"/>
    <w:rsid w:val="009D1BDE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2580"/>
    <w:rsid w:val="00A0468E"/>
    <w:rsid w:val="00A26689"/>
    <w:rsid w:val="00A27889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903E4"/>
    <w:rsid w:val="00A91181"/>
    <w:rsid w:val="00A935AC"/>
    <w:rsid w:val="00AA3DE0"/>
    <w:rsid w:val="00AB04BD"/>
    <w:rsid w:val="00AB299E"/>
    <w:rsid w:val="00AB395A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73FFA"/>
    <w:rsid w:val="00B74A6E"/>
    <w:rsid w:val="00B82CC4"/>
    <w:rsid w:val="00B838C3"/>
    <w:rsid w:val="00B86218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4021B"/>
    <w:rsid w:val="00D4059E"/>
    <w:rsid w:val="00D413DB"/>
    <w:rsid w:val="00D41D4E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0DD"/>
    <w:rsid w:val="00DC3451"/>
    <w:rsid w:val="00DC50EB"/>
    <w:rsid w:val="00DC7F71"/>
    <w:rsid w:val="00DD19F4"/>
    <w:rsid w:val="00DD3FA0"/>
    <w:rsid w:val="00DE5B2D"/>
    <w:rsid w:val="00DE5C3E"/>
    <w:rsid w:val="00DE5CE9"/>
    <w:rsid w:val="00DF45BB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74F6"/>
    <w:rsid w:val="00E9503C"/>
    <w:rsid w:val="00E956D9"/>
    <w:rsid w:val="00EA10DA"/>
    <w:rsid w:val="00EA1958"/>
    <w:rsid w:val="00EA29F5"/>
    <w:rsid w:val="00EA482D"/>
    <w:rsid w:val="00EA52B3"/>
    <w:rsid w:val="00EB5FE6"/>
    <w:rsid w:val="00EB61A5"/>
    <w:rsid w:val="00EB6C1B"/>
    <w:rsid w:val="00EB7A09"/>
    <w:rsid w:val="00EC0EDC"/>
    <w:rsid w:val="00EC5AF4"/>
    <w:rsid w:val="00EC6FA8"/>
    <w:rsid w:val="00EC7E0B"/>
    <w:rsid w:val="00ED4508"/>
    <w:rsid w:val="00ED661C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511EE"/>
    <w:rsid w:val="00F55574"/>
    <w:rsid w:val="00F558E7"/>
    <w:rsid w:val="00F60363"/>
    <w:rsid w:val="00F62016"/>
    <w:rsid w:val="00F63F44"/>
    <w:rsid w:val="00F6401B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consultaTstNumUnica.do?consulta=Consultar&amp;conscsjt=&amp;numeroTst=2300&amp;digitoTst=70&amp;anoTst=2007&amp;orgaoTst=5&amp;tribunalTst=02&amp;varaTst=040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230800&amp;digitoTst=32&amp;anoTst=2008&amp;orgaoTst=5&amp;tribunalTst=02&amp;varaTst=043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189&amp;digitoTst=15&amp;anoTst=2012&amp;orgaoTst=5&amp;tribunalTst=05&amp;varaTst=06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licacao4.tst.jus.br/consultaProcessual/consultaTstNumUnica.do?consulta=Consultar&amp;conscsjt=&amp;numeroTst=10465&amp;digitoTst=40&amp;anoTst=2015&amp;orgaoTst=5&amp;tribunalTst=03&amp;varaTst=0000" TargetMode="External"/><Relationship Id="rId10" Type="http://schemas.openxmlformats.org/officeDocument/2006/relationships/hyperlink" Target="http://aplicacao4.tst.jus.br/consultaProcessual/consultaTstNumUnica.do?consulta=Consultar&amp;conscsjt=&amp;numeroTst=696&amp;digitoTst=25&amp;anoTst=2012&amp;orgaoTst=5&amp;tribunalTst=05&amp;varaTst=0463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7951&amp;digitoTst=30&amp;anoTst=2017&amp;orgaoTst=5&amp;tribunalTst=00&amp;varaTst=0000" TargetMode="External"/><Relationship Id="rId14" Type="http://schemas.openxmlformats.org/officeDocument/2006/relationships/hyperlink" Target="http://aplicacao4.tst.jus.br/consultaProcessual/consultaTstNumUnica.do?consulta=Consultar&amp;conscsjt=&amp;numeroTst=1606&amp;digitoTst=53&amp;anoTst=2011&amp;orgaoTst=5&amp;tribunalTst=15&amp;varaTst=009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EE2A-02D5-4863-ABE4-DBF48963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1874</Words>
  <Characters>9898</Characters>
  <Application>Microsoft Office Word</Application>
  <DocSecurity>4</DocSecurity>
  <Lines>267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11620</CharactersWithSpaces>
  <SharedDoc>false</SharedDoc>
  <HLinks>
    <vt:vector size="42" baseType="variant">
      <vt:variant>
        <vt:i4>7274555</vt:i4>
      </vt:variant>
      <vt:variant>
        <vt:i4>18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http://aplicacao4.tst.jus.br/consultaProcessual/consultaTstNumUnica.do?consulta=Consultar&amp;conscsjt=&amp;numeroTst=10465&amp;digitoTst=40&amp;anoTst=2015&amp;orgaoTst=5&amp;tribunalTst=03&amp;varaTst=0000</vt:lpwstr>
      </vt:variant>
      <vt:variant>
        <vt:lpwstr/>
      </vt:variant>
      <vt:variant>
        <vt:i4>2424957</vt:i4>
      </vt:variant>
      <vt:variant>
        <vt:i4>15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http://aplicacao4.tst.jus.br/consultaProcessual/consultaTstNumUnica.do?consulta=Consultar&amp;conscsjt=&amp;numeroTst=1606&amp;digitoTst=53&amp;anoTst=2011&amp;orgaoTst=5&amp;tribunalTst=15&amp;varaTst=0093</vt:lpwstr>
      </vt:variant>
      <vt:variant>
        <vt:lpwstr/>
      </vt:variant>
      <vt:variant>
        <vt:i4>2228341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http://aplicacao4.tst.jus.br/consultaProcessual/consultaTstNumUnica.do?consulta=Consultar&amp;conscsjt=&amp;numeroTst=2300&amp;digitoTst=70&amp;anoTst=2007&amp;orgaoTst=5&amp;tribunalTst=02&amp;varaTst=0401</vt:lpwstr>
      </vt:variant>
      <vt:variant>
        <vt:lpwstr/>
      </vt:variant>
      <vt:variant>
        <vt:i4>1835083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http://aplicacao4.tst.jus.br/consultaProcessual/consultaTstNumUnica.do?consulta=Consultar&amp;conscsjt=&amp;numeroTst=230800&amp;digitoTst=32&amp;anoTst=2008&amp;orgaoTst=5&amp;tribunalTst=02&amp;varaTst=0433</vt:lpwstr>
      </vt:variant>
      <vt:variant>
        <vt:lpwstr/>
      </vt:variant>
      <vt:variant>
        <vt:i4>5308416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http://aplicacao4.tst.jus.br/consultaProcessual/consultaTstNumUnica.do?consulta=Consultar&amp;conscsjt=&amp;numeroTst=189&amp;digitoTst=15&amp;anoTst=2012&amp;orgaoTst=5&amp;tribunalTst=05&amp;varaTst=0641</vt:lpwstr>
      </vt:variant>
      <vt:variant>
        <vt:lpwstr/>
      </vt:variant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http://aplicacao4.tst.jus.br/consultaProcessual/consultaTstNumUnica.do?consulta=Consultar&amp;conscsjt=&amp;numeroTst=696&amp;digitoTst=25&amp;anoTst=2012&amp;orgaoTst=5&amp;tribunalTst=05&amp;varaTst=0463</vt:lpwstr>
      </vt:variant>
      <vt:variant>
        <vt:lpwstr/>
      </vt:variant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http://aplicacao4.tst.jus.br/consultaProcessual/consultaTstNumUnica.do?consulta=Consultar&amp;conscsjt=&amp;numeroTst=7951&amp;digitoTst=30&amp;anoTst=2017&amp;orgaoTst=5&amp;tribunalTst=00&amp;varaTst=0000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c041658</cp:lastModifiedBy>
  <cp:revision>2</cp:revision>
  <cp:lastPrinted>2017-03-06T19:28:00Z</cp:lastPrinted>
  <dcterms:created xsi:type="dcterms:W3CDTF">2017-10-06T21:36:00Z</dcterms:created>
  <dcterms:modified xsi:type="dcterms:W3CDTF">2017-10-06T21:36:00Z</dcterms:modified>
</cp:coreProperties>
</file>