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</w:tc>
      </w:tr>
    </w:tbl>
    <w:p w:rsidR="00B27FB0" w:rsidRPr="00DD2378" w:rsidRDefault="00B27FB0" w:rsidP="005347E7">
      <w:pPr>
        <w:jc w:val="both"/>
      </w:pPr>
    </w:p>
    <w:p w:rsidR="00C76810" w:rsidRPr="000645A0" w:rsidRDefault="00C76810" w:rsidP="00C76810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5A0">
        <w:rPr>
          <w:rFonts w:ascii="Times New Roman" w:hAnsi="Times New Roman" w:cs="Times New Roman"/>
          <w:b/>
          <w:bCs/>
          <w:color w:val="auto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B27FB0" w:rsidRPr="00203CFC" w:rsidRDefault="00B27FB0" w:rsidP="00B27FB0">
      <w:pPr>
        <w:jc w:val="both"/>
        <w:rPr>
          <w:b/>
          <w:i/>
          <w:sz w:val="24"/>
          <w:szCs w:val="24"/>
        </w:rPr>
      </w:pPr>
    </w:p>
    <w:p w:rsidR="0088570B" w:rsidRPr="0088570B" w:rsidRDefault="0088570B" w:rsidP="0088570B">
      <w:pPr>
        <w:jc w:val="both"/>
        <w:rPr>
          <w:b/>
          <w:i/>
          <w:sz w:val="24"/>
          <w:szCs w:val="24"/>
        </w:rPr>
      </w:pPr>
      <w:r w:rsidRPr="0088570B">
        <w:rPr>
          <w:b/>
          <w:i/>
          <w:sz w:val="24"/>
          <w:szCs w:val="24"/>
        </w:rPr>
        <w:t>Execução. Empresa Brasileira de Correios e Telégrafos - ECT. Promoções deferidas em ação civil pública. Promoções decorrentes de norma coletiva. Compensação. Possibilidade. Orientação Jurisprudencial nº 123 da SDI-II. Inexistência de contrariedade.</w:t>
      </w:r>
    </w:p>
    <w:p w:rsidR="0088570B" w:rsidRPr="0088570B" w:rsidRDefault="0088570B" w:rsidP="0088570B">
      <w:pPr>
        <w:jc w:val="both"/>
        <w:rPr>
          <w:sz w:val="24"/>
          <w:szCs w:val="24"/>
          <w:u w:val="single"/>
        </w:rPr>
      </w:pPr>
      <w:r w:rsidRPr="0088570B">
        <w:rPr>
          <w:sz w:val="24"/>
          <w:szCs w:val="24"/>
        </w:rPr>
        <w:t xml:space="preserve">Não contraria a Orientação Jurisprudencial nº 123 da SBDI-II a decisão que conhece de recurso de revista por violação do art. 5º, XXXVI, da CF, e, no mérito, dá-lhe provimento para determinar a compensação das promoções deferidas em ação civil pública, oriundas de plano de cargos e salários da Empresa Brasileira de Correios e Telégrafos – ECT, com as promoções previstas em norma coletiva. A decisão recorrida, ao determinar a compensação, não interpretou o título executivo judicial, o que é vedado pela Orientação Jurisprudencial nº 123 da SBDI-II, mas apenas deu fiel cumprimento ao comando condenatório, segundo o qual o pagamento de diferenças salariais é devido aos empregados que não receberam qualquer promoção. Sob esses fundamentos, a SBDI-I, por unanimidade, não conheceu dos embargos do reclamante. </w:t>
      </w:r>
      <w:hyperlink r:id="rId9" w:history="1">
        <w:r w:rsidRPr="00B560DC">
          <w:rPr>
            <w:rStyle w:val="Hyperlink"/>
            <w:sz w:val="24"/>
            <w:szCs w:val="24"/>
          </w:rPr>
          <w:t>TST-E-RR-666-80.2012.5.09.0009</w:t>
        </w:r>
      </w:hyperlink>
      <w:r w:rsidRPr="0088570B">
        <w:rPr>
          <w:sz w:val="24"/>
          <w:szCs w:val="24"/>
          <w:u w:val="single"/>
        </w:rPr>
        <w:t>, SBDI-I, rel. Min. Alexandre Agra Belmonte, 18.5.2017</w:t>
      </w:r>
    </w:p>
    <w:p w:rsidR="00A232FF" w:rsidRPr="00203CFC" w:rsidRDefault="00A232FF" w:rsidP="00A232FF">
      <w:pPr>
        <w:jc w:val="both"/>
        <w:rPr>
          <w:rFonts w:eastAsia="Calibri"/>
          <w:sz w:val="24"/>
          <w:szCs w:val="24"/>
          <w:u w:val="single"/>
        </w:rPr>
      </w:pPr>
    </w:p>
    <w:p w:rsidR="0088570B" w:rsidRPr="0088570B" w:rsidRDefault="0088570B" w:rsidP="0088570B">
      <w:pPr>
        <w:jc w:val="both"/>
        <w:rPr>
          <w:b/>
          <w:i/>
          <w:sz w:val="24"/>
          <w:szCs w:val="24"/>
        </w:rPr>
      </w:pPr>
      <w:r w:rsidRPr="0088570B">
        <w:rPr>
          <w:b/>
          <w:i/>
          <w:sz w:val="24"/>
          <w:szCs w:val="24"/>
        </w:rPr>
        <w:t xml:space="preserve">Contribuição previdenciária. Fato gerador. Incidência de multa e juros de mora. Data da prestação dos serviços. Alteração do art. 43 da Lei nº 8.2012/1991 pela Medida Provisória nº 449/2008, convertida na Lei nº 11.941/2009. </w:t>
      </w:r>
    </w:p>
    <w:p w:rsidR="0088570B" w:rsidRPr="0088570B" w:rsidRDefault="0088570B" w:rsidP="0088570B">
      <w:pPr>
        <w:jc w:val="both"/>
        <w:rPr>
          <w:sz w:val="24"/>
          <w:szCs w:val="24"/>
          <w:u w:val="single"/>
        </w:rPr>
      </w:pPr>
      <w:r w:rsidRPr="0088570B">
        <w:rPr>
          <w:sz w:val="24"/>
          <w:szCs w:val="24"/>
        </w:rPr>
        <w:t xml:space="preserve">Nos termos da jurisprudência do STF, a matéria envolvendo o fato gerador de contribuições previdenciárias tem natureza infraconstitucional, visto que o art. 195, I, da CF não trata da hipótese de incidência do tributo. Assim, na vigência do art. 276, </w:t>
      </w:r>
      <w:r w:rsidRPr="0088570B">
        <w:rPr>
          <w:i/>
          <w:sz w:val="24"/>
          <w:szCs w:val="24"/>
        </w:rPr>
        <w:t>caput</w:t>
      </w:r>
      <w:r w:rsidRPr="0088570B">
        <w:rPr>
          <w:sz w:val="24"/>
          <w:szCs w:val="24"/>
        </w:rPr>
        <w:t>, do Decreto nº 3.048/99, o fato gerador da contribuição previdenciária era o pagamento do crédito devido ao trabalhador e, no caso de decisão judicial trabalhista, somente seria cabível a incidência de multa e juros de mora após o dia dois do mês subsequente ao trânsito em julgado da decisão que pôs fim à discussão acerca dos cálculos de liquidação. Porém, desde a edição da Medida Provisória nº 449/2008, convertida na Lei nº 11.941/2009, que modificou o art. 43 da Lei nº 8.212/1991, as contribuições sociais apuradas em virtude de sentença judicial ou acordo homologado judicialmente passaram a ser devidas a partir da data de prestação do serviço, considerando-se como marco de incidência do novo dispositivo de lei o dia 5.3.2009, em atenção aos princípios da anterioridade tributária e nonagesimal (arts. 150, III, “a”, e 195, § 6º, da CF). A multa, todavia, incide a partir do primeiro dia subsequente ao término do prazo de citação para pagamento das parcelas previdenciárias, observado o limite legal de 20% (art. 61, § 2º, da Lei nº 9.430/96).</w:t>
      </w:r>
      <w:r w:rsidRPr="0088570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8570B">
        <w:rPr>
          <w:sz w:val="24"/>
          <w:szCs w:val="24"/>
        </w:rPr>
        <w:t xml:space="preserve">Ademais, pela atualização monetária das contribuições respondem trabalhador e empresa, ao passo que os juros e a multa são de responsabilidade exclusiva do empregador. Entendimento consolidado pelo Tribunal Pleno no julgamento do processo TST-E-RR-1125-36.2010.5.06.0171, em 20.10.2015. Sob esses fundamentos, a SBDI-I, por unanimidade, negou provimento ao agravo regimental, fazendo incidir o óbice do art. 894, § 2º, da CLT ao processamento do recurso de embargos do reclamado. </w:t>
      </w:r>
      <w:hyperlink r:id="rId10" w:history="1">
        <w:r w:rsidRPr="00B560DC">
          <w:rPr>
            <w:rStyle w:val="Hyperlink"/>
            <w:sz w:val="24"/>
            <w:szCs w:val="24"/>
          </w:rPr>
          <w:t>TST-AgR-E-RR-1150-73.2012.5.02.0047</w:t>
        </w:r>
      </w:hyperlink>
      <w:r w:rsidRPr="0088570B">
        <w:rPr>
          <w:sz w:val="24"/>
          <w:szCs w:val="24"/>
          <w:u w:val="single"/>
        </w:rPr>
        <w:t>, SBDI-I, rel. Min. Cláudio Mascarenhas Brandão, 18.5.2017</w:t>
      </w:r>
    </w:p>
    <w:p w:rsidR="0088570B" w:rsidRDefault="0088570B" w:rsidP="0088570B">
      <w:pPr>
        <w:jc w:val="both"/>
        <w:rPr>
          <w:u w:val="single"/>
        </w:rPr>
      </w:pPr>
    </w:p>
    <w:p w:rsidR="00203CFC" w:rsidRPr="00203CFC" w:rsidRDefault="00203CFC" w:rsidP="0088570B">
      <w:pPr>
        <w:jc w:val="both"/>
        <w:rPr>
          <w:u w:val="single"/>
        </w:rPr>
      </w:pPr>
    </w:p>
    <w:p w:rsidR="0088570B" w:rsidRPr="0088570B" w:rsidRDefault="0088570B" w:rsidP="008857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jc w:val="both"/>
        <w:rPr>
          <w:b/>
          <w:bCs/>
          <w:i/>
          <w:iCs/>
          <w:sz w:val="24"/>
          <w:szCs w:val="24"/>
        </w:rPr>
      </w:pPr>
      <w:r w:rsidRPr="0088570B">
        <w:rPr>
          <w:b/>
          <w:bCs/>
          <w:i/>
          <w:iCs/>
          <w:sz w:val="24"/>
          <w:szCs w:val="24"/>
        </w:rPr>
        <w:lastRenderedPageBreak/>
        <w:t xml:space="preserve">Execução. Fase de liquidação. Dispositivo de sentença que faz remissão aos termos da fundamentação. Integração de parcelas. Coisa julgada. </w:t>
      </w:r>
    </w:p>
    <w:p w:rsidR="0088570B" w:rsidRPr="0088570B" w:rsidRDefault="0088570B" w:rsidP="008857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jc w:val="both"/>
        <w:rPr>
          <w:sz w:val="24"/>
          <w:szCs w:val="24"/>
          <w:u w:val="single"/>
        </w:rPr>
      </w:pPr>
      <w:r w:rsidRPr="0088570B">
        <w:rPr>
          <w:bCs/>
          <w:iCs/>
          <w:sz w:val="24"/>
          <w:szCs w:val="24"/>
        </w:rPr>
        <w:t xml:space="preserve">A SBDI-I, por unanimidade, conheceu dos embargos, por divergência jurisprudencial, e, no mérito, deu-lhes provimento para reformar o acórdão do Regional que, em desatendimento à autoridade da coisa julgada, deixou de determinar, em fase de liquidação de sentença, a integração das horas extras em sábados, feriados e repousos semanais remunerados, nos moldes consignados na fundamentação. Na hipótese, restou demonstrado de forma categórica que o dispositivo da sentença e a fundamentação determinaram a integração de horas extras, tendo o julgador feito constar, no dispositivo, que a condenação se dava nos termos da fundamentação. Assim, embora a parte dispositiva tenha determinado a repercussão das horas extras apenas nas férias acrescidas do abono constitucional, décimo terceiro, gratificações semestrais, licenças-prêmios e verbas rescisórias, a repercussão nos sábados, feriados e repousos semanais remunerados integra a condenação porque determinada na fundamentação. Não se trata, portanto, de extensão da proteção da coisa julgada aos motivos da sentença, em desacordo com o disposto no art. 504 do CPC de 2015, mas de fundamentação que integra o dispositivo em razão da utilização da técnica de remissão. </w:t>
      </w:r>
      <w:hyperlink r:id="rId11" w:history="1">
        <w:r w:rsidRPr="00B560DC">
          <w:rPr>
            <w:rStyle w:val="Hyperlink"/>
            <w:sz w:val="24"/>
            <w:szCs w:val="24"/>
          </w:rPr>
          <w:t>TST-E-ED-RR-44900-98.2002.5.04.0701</w:t>
        </w:r>
      </w:hyperlink>
      <w:r w:rsidRPr="0088570B">
        <w:rPr>
          <w:sz w:val="24"/>
          <w:szCs w:val="24"/>
          <w:u w:val="single"/>
        </w:rPr>
        <w:t>, SBDI-I, rel. Min. Augusto César Leite de Carvalho. 18.5.2017</w:t>
      </w:r>
    </w:p>
    <w:p w:rsidR="0088570B" w:rsidRPr="00203CFC" w:rsidRDefault="0088570B" w:rsidP="0088570B">
      <w:pPr>
        <w:jc w:val="both"/>
        <w:rPr>
          <w:sz w:val="24"/>
          <w:szCs w:val="24"/>
        </w:rPr>
      </w:pPr>
    </w:p>
    <w:p w:rsidR="0088570B" w:rsidRPr="0088570B" w:rsidRDefault="0088570B" w:rsidP="008857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jc w:val="both"/>
        <w:rPr>
          <w:b/>
          <w:bCs/>
          <w:i/>
          <w:iCs/>
          <w:sz w:val="24"/>
          <w:szCs w:val="24"/>
        </w:rPr>
      </w:pPr>
      <w:r w:rsidRPr="0088570B">
        <w:rPr>
          <w:b/>
          <w:bCs/>
          <w:i/>
          <w:iCs/>
          <w:sz w:val="24"/>
          <w:szCs w:val="24"/>
        </w:rPr>
        <w:t>Execução. Aquisição de bem imóvel por meio de alvará expedido pelo Juízo da concordata. Terceiro adquirente de boa-fé.  Fraude à execução. Inexistência.</w:t>
      </w:r>
    </w:p>
    <w:p w:rsidR="0088570B" w:rsidRPr="0088570B" w:rsidRDefault="0088570B" w:rsidP="008857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jc w:val="both"/>
        <w:rPr>
          <w:sz w:val="24"/>
          <w:szCs w:val="24"/>
        </w:rPr>
      </w:pPr>
      <w:r w:rsidRPr="0088570B">
        <w:rPr>
          <w:sz w:val="24"/>
          <w:szCs w:val="24"/>
        </w:rPr>
        <w:t xml:space="preserve">Para o reconhecimento de fraude à execução é imprescindível que haja má-fé por parte do terceiro comprador, o que se evidencia pela ciência da existência de processo judicial contra o alienante ou de constrição judicial sobre o bem objeto da transação. Na hipótese dos autos, todavia, a boa-fé do adquirente ficou demonstrada em razão de a aquisição do bem constrito ter ocorrido mediante a expedição de alvará judicial pelo Juízo da concordata, o que confere presunção de validade e eficácia à alienação perpetrada. Com esse entendimento, a SBDI-I, por unanimidade, conheceu do recurso de embargos no tópico e, no mérito, negou-lhe provimento para manter a decisão turmária que desconstituíra a penhora sobre o bem imóvel adquirido. </w:t>
      </w:r>
      <w:hyperlink r:id="rId12" w:history="1">
        <w:r w:rsidRPr="00203CFC">
          <w:rPr>
            <w:rStyle w:val="Hyperlink"/>
            <w:sz w:val="24"/>
            <w:szCs w:val="24"/>
          </w:rPr>
          <w:t>TST-E-ED-RR-154900-19.2004.5.15.0046</w:t>
        </w:r>
      </w:hyperlink>
      <w:r w:rsidRPr="0088570B">
        <w:rPr>
          <w:sz w:val="24"/>
          <w:szCs w:val="24"/>
          <w:u w:val="single"/>
        </w:rPr>
        <w:t>, SBDI-I, rel. Min. José Roberto Freire Pimenta. 18.5.2017</w:t>
      </w:r>
    </w:p>
    <w:p w:rsidR="00DD2378" w:rsidRPr="0088570B" w:rsidRDefault="00DD2378" w:rsidP="00A232FF">
      <w:pPr>
        <w:jc w:val="both"/>
        <w:rPr>
          <w:rFonts w:eastAsia="Calibri"/>
          <w:sz w:val="24"/>
          <w:szCs w:val="24"/>
          <w:u w:val="single"/>
        </w:rPr>
      </w:pPr>
    </w:p>
    <w:p w:rsidR="0088570B" w:rsidRPr="0088570B" w:rsidRDefault="0088570B" w:rsidP="0088570B">
      <w:pPr>
        <w:jc w:val="both"/>
        <w:rPr>
          <w:b/>
          <w:i/>
          <w:sz w:val="24"/>
          <w:szCs w:val="24"/>
        </w:rPr>
      </w:pPr>
      <w:r w:rsidRPr="0088570B">
        <w:rPr>
          <w:b/>
          <w:i/>
          <w:sz w:val="24"/>
          <w:szCs w:val="24"/>
        </w:rPr>
        <w:t>Execução. Equívoco nos cálculos de liquidação. Levantamento de valores a maior. Devolução nos próprios autos da execução. Impossibilidade. Necessidade do ajuizamento de ação de repetição de indébito.</w:t>
      </w:r>
    </w:p>
    <w:p w:rsidR="0088570B" w:rsidRPr="0088570B" w:rsidRDefault="0088570B" w:rsidP="0088570B">
      <w:pPr>
        <w:adjustRightInd w:val="0"/>
        <w:jc w:val="both"/>
        <w:rPr>
          <w:sz w:val="24"/>
          <w:szCs w:val="24"/>
        </w:rPr>
      </w:pPr>
      <w:r w:rsidRPr="0088570B">
        <w:rPr>
          <w:sz w:val="24"/>
          <w:szCs w:val="24"/>
        </w:rPr>
        <w:t xml:space="preserve">O meio processual idôneo para pleitear a devolução de valores levantados a maior em execução de sentença, decorrentes de equívoco nos cálculos realizados em liquidação, é a ação de repetição de indébito. A pretensão de restituição de tais valores nos próprios autos da execução é inviável, pois, nessa fase, a cognição é limitada e não proporciona ao exequente medidas capazes de assegurar o direito à ampla defesa e ao contraditório. Sob esses fundamentos, a SBDI-I, por unanimidade, conheceu dos embargos, por divergência jurisprudencial, e, no mérito, negou-lhes provimento, mantendo, portanto, a decisão turmária que conhecera do recurso de revista dos exequentes por violação do art. 5º, LV, da CF e dera-lhe provimento para cassar a ordem de devolução de valores recebidos a maior expedida nos próprios autos. </w:t>
      </w:r>
      <w:hyperlink r:id="rId13" w:history="1">
        <w:r w:rsidRPr="00203CFC">
          <w:rPr>
            <w:rStyle w:val="Hyperlink"/>
            <w:sz w:val="24"/>
            <w:szCs w:val="24"/>
          </w:rPr>
          <w:t>TST-E-ED-RR-59886-60.1993.5.05.0017</w:t>
        </w:r>
      </w:hyperlink>
      <w:r w:rsidRPr="0088570B">
        <w:rPr>
          <w:sz w:val="24"/>
          <w:szCs w:val="24"/>
          <w:u w:val="single"/>
        </w:rPr>
        <w:t>, SBDI-I, rel. Min. José Roberto Freire Pimenta, 1º.6.2017</w:t>
      </w:r>
    </w:p>
    <w:p w:rsidR="0088570B" w:rsidRDefault="0088570B" w:rsidP="0088570B">
      <w:pPr>
        <w:rPr>
          <w:b/>
          <w:i/>
          <w:sz w:val="32"/>
          <w:szCs w:val="32"/>
        </w:rPr>
      </w:pPr>
    </w:p>
    <w:p w:rsidR="0088570B" w:rsidRDefault="0088570B" w:rsidP="00A232FF">
      <w:pPr>
        <w:jc w:val="both"/>
        <w:rPr>
          <w:rFonts w:eastAsia="Calibri"/>
          <w:sz w:val="24"/>
          <w:szCs w:val="24"/>
          <w:u w:val="single"/>
        </w:rPr>
      </w:pPr>
    </w:p>
    <w:p w:rsidR="00A232FF" w:rsidRPr="00D30931" w:rsidRDefault="00A232FF">
      <w:pPr>
        <w:jc w:val="both"/>
        <w:rPr>
          <w:sz w:val="10"/>
          <w:szCs w:val="10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</w:t>
      </w:r>
      <w:r w:rsidR="00876932">
        <w:rPr>
          <w:b w:val="0"/>
          <w:bCs w:val="0"/>
          <w:snapToGrid w:val="0"/>
          <w:sz w:val="20"/>
          <w:szCs w:val="20"/>
        </w:rPr>
        <w:t>issão Nacional de Efetividade da</w:t>
      </w:r>
      <w:r>
        <w:rPr>
          <w:b w:val="0"/>
          <w:bCs w:val="0"/>
          <w:snapToGrid w:val="0"/>
          <w:sz w:val="20"/>
          <w:szCs w:val="20"/>
        </w:rPr>
        <w:t xml:space="preserve">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7C" w:rsidRDefault="00E4067C">
      <w:r>
        <w:separator/>
      </w:r>
    </w:p>
  </w:endnote>
  <w:endnote w:type="continuationSeparator" w:id="0">
    <w:p w:rsidR="00E4067C" w:rsidRDefault="00E4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45A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0645A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645A0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7C" w:rsidRDefault="00E4067C">
      <w:r>
        <w:separator/>
      </w:r>
    </w:p>
  </w:footnote>
  <w:footnote w:type="continuationSeparator" w:id="0">
    <w:p w:rsidR="00E4067C" w:rsidRDefault="00E40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0645A0" w:rsidRDefault="00FE00AD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645A0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</w:t>
    </w:r>
    <w:r w:rsidR="00072A6F" w:rsidRPr="000645A0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Execução</w:t>
    </w:r>
    <w:r w:rsidRPr="000645A0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</w:t>
    </w:r>
    <w:r w:rsidR="00986D77" w:rsidRPr="000645A0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Pr="000645A0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º </w:t>
    </w:r>
    <w:r w:rsidR="00203CFC" w:rsidRPr="000645A0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</w:t>
    </w:r>
  </w:p>
  <w:p w:rsidR="00FE00AD" w:rsidRPr="00971E07" w:rsidRDefault="000645A0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2168DE">
      <w:rPr>
        <w:sz w:val="20"/>
        <w:szCs w:val="20"/>
      </w:rPr>
      <w:t xml:space="preserve">Período: </w:t>
    </w:r>
    <w:r w:rsidR="0079433C">
      <w:rPr>
        <w:sz w:val="20"/>
        <w:szCs w:val="20"/>
      </w:rPr>
      <w:t>1</w:t>
    </w:r>
    <w:r w:rsidR="00203CFC">
      <w:rPr>
        <w:sz w:val="20"/>
        <w:szCs w:val="20"/>
      </w:rPr>
      <w:t xml:space="preserve">7 de maio a 30 de junho </w:t>
    </w:r>
    <w:r w:rsidR="00B27FB0">
      <w:rPr>
        <w:sz w:val="20"/>
        <w:szCs w:val="20"/>
      </w:rPr>
      <w:t>de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8C1F97">
    <w:pPr>
      <w:pStyle w:val="Cabealho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0645A0">
      <w:rPr>
        <w:noProof/>
      </w:rPr>
      <w:drawing>
        <wp:inline distT="0" distB="0" distL="0" distR="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EA50B7">
      <w:rPr>
        <w:b/>
        <w:sz w:val="40"/>
        <w:szCs w:val="40"/>
      </w:rPr>
      <w:t>3</w:t>
    </w:r>
    <w:r w:rsidR="0088570B">
      <w:rPr>
        <w:b/>
        <w:sz w:val="40"/>
        <w:szCs w:val="40"/>
      </w:rPr>
      <w:t>1</w:t>
    </w:r>
  </w:p>
  <w:p w:rsidR="00FE00AD" w:rsidRPr="005D1DE4" w:rsidRDefault="005221E4">
    <w:pPr>
      <w:pStyle w:val="Cabealho"/>
      <w:jc w:val="right"/>
      <w:rPr>
        <w:i/>
        <w:iCs/>
        <w:sz w:val="10"/>
        <w:szCs w:val="10"/>
      </w:rPr>
    </w:pPr>
    <w:r>
      <w:rPr>
        <w:i/>
        <w:iCs/>
      </w:rPr>
      <w:t>Período:</w:t>
    </w:r>
    <w:r w:rsidR="00876932">
      <w:rPr>
        <w:i/>
        <w:iCs/>
      </w:rPr>
      <w:t xml:space="preserve"> </w:t>
    </w:r>
    <w:r w:rsidR="0088570B">
      <w:rPr>
        <w:i/>
        <w:iCs/>
      </w:rPr>
      <w:t>1</w:t>
    </w:r>
    <w:r w:rsidR="00EA50B7">
      <w:rPr>
        <w:i/>
        <w:iCs/>
      </w:rPr>
      <w:t>7 de ma</w:t>
    </w:r>
    <w:r w:rsidR="0088570B">
      <w:rPr>
        <w:i/>
        <w:iCs/>
      </w:rPr>
      <w:t>io</w:t>
    </w:r>
    <w:r w:rsidR="00EA50B7">
      <w:rPr>
        <w:i/>
        <w:iCs/>
      </w:rPr>
      <w:t xml:space="preserve"> a </w:t>
    </w:r>
    <w:r w:rsidR="0088570B">
      <w:rPr>
        <w:i/>
        <w:iCs/>
      </w:rPr>
      <w:t>30</w:t>
    </w:r>
    <w:r w:rsidR="00B27FB0">
      <w:rPr>
        <w:i/>
        <w:iCs/>
      </w:rPr>
      <w:t xml:space="preserve"> de</w:t>
    </w:r>
    <w:r w:rsidR="0088570B">
      <w:rPr>
        <w:i/>
        <w:iCs/>
      </w:rPr>
      <w:t xml:space="preserve"> junho d</w:t>
    </w:r>
    <w:r w:rsidR="00B27FB0">
      <w:rPr>
        <w:i/>
        <w:iCs/>
      </w:rPr>
      <w:t>e 2017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1132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632E4"/>
    <w:rsid w:val="000645A0"/>
    <w:rsid w:val="00072A6F"/>
    <w:rsid w:val="000733B4"/>
    <w:rsid w:val="00073880"/>
    <w:rsid w:val="00075BDB"/>
    <w:rsid w:val="00080F10"/>
    <w:rsid w:val="0009237D"/>
    <w:rsid w:val="00093AE9"/>
    <w:rsid w:val="00093BA8"/>
    <w:rsid w:val="000A04E6"/>
    <w:rsid w:val="000B3BE1"/>
    <w:rsid w:val="000B4D41"/>
    <w:rsid w:val="000B67DF"/>
    <w:rsid w:val="000B7CDE"/>
    <w:rsid w:val="000C3022"/>
    <w:rsid w:val="000C672B"/>
    <w:rsid w:val="000D0FC8"/>
    <w:rsid w:val="000E0A91"/>
    <w:rsid w:val="000E0B8C"/>
    <w:rsid w:val="000E766E"/>
    <w:rsid w:val="00110AE4"/>
    <w:rsid w:val="0011575C"/>
    <w:rsid w:val="0011692E"/>
    <w:rsid w:val="00126301"/>
    <w:rsid w:val="00137564"/>
    <w:rsid w:val="00137DC1"/>
    <w:rsid w:val="001418E3"/>
    <w:rsid w:val="0015612D"/>
    <w:rsid w:val="001655D0"/>
    <w:rsid w:val="00176D15"/>
    <w:rsid w:val="00184590"/>
    <w:rsid w:val="00187762"/>
    <w:rsid w:val="00187A37"/>
    <w:rsid w:val="0019151D"/>
    <w:rsid w:val="00193208"/>
    <w:rsid w:val="0019725D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3892"/>
    <w:rsid w:val="00203CFC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77CC6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40C8"/>
    <w:rsid w:val="00396053"/>
    <w:rsid w:val="003A2774"/>
    <w:rsid w:val="003A4086"/>
    <w:rsid w:val="003A5E5B"/>
    <w:rsid w:val="003A75E8"/>
    <w:rsid w:val="003B045C"/>
    <w:rsid w:val="003B0A59"/>
    <w:rsid w:val="003B3EB5"/>
    <w:rsid w:val="003B4E23"/>
    <w:rsid w:val="003B767E"/>
    <w:rsid w:val="003C3F95"/>
    <w:rsid w:val="003C6FE7"/>
    <w:rsid w:val="003D032E"/>
    <w:rsid w:val="003D399C"/>
    <w:rsid w:val="003D4205"/>
    <w:rsid w:val="003F2078"/>
    <w:rsid w:val="003F49C6"/>
    <w:rsid w:val="003F7ADC"/>
    <w:rsid w:val="0042772A"/>
    <w:rsid w:val="0042781A"/>
    <w:rsid w:val="004323B0"/>
    <w:rsid w:val="00434655"/>
    <w:rsid w:val="004407B4"/>
    <w:rsid w:val="00444C71"/>
    <w:rsid w:val="00444E88"/>
    <w:rsid w:val="0045657C"/>
    <w:rsid w:val="004655CC"/>
    <w:rsid w:val="00466DB9"/>
    <w:rsid w:val="00473238"/>
    <w:rsid w:val="00474C4A"/>
    <w:rsid w:val="00481282"/>
    <w:rsid w:val="00486521"/>
    <w:rsid w:val="00486DFC"/>
    <w:rsid w:val="004922D6"/>
    <w:rsid w:val="004A14FC"/>
    <w:rsid w:val="004A4DC6"/>
    <w:rsid w:val="004A5264"/>
    <w:rsid w:val="004B21AD"/>
    <w:rsid w:val="004C011C"/>
    <w:rsid w:val="004C14EA"/>
    <w:rsid w:val="004C2118"/>
    <w:rsid w:val="004C2612"/>
    <w:rsid w:val="004D2DB8"/>
    <w:rsid w:val="004D6000"/>
    <w:rsid w:val="004D6415"/>
    <w:rsid w:val="004D71E8"/>
    <w:rsid w:val="004E393E"/>
    <w:rsid w:val="004E4507"/>
    <w:rsid w:val="004E4619"/>
    <w:rsid w:val="004F0A7D"/>
    <w:rsid w:val="004F6939"/>
    <w:rsid w:val="0051538E"/>
    <w:rsid w:val="00517E01"/>
    <w:rsid w:val="00521EEC"/>
    <w:rsid w:val="005221E4"/>
    <w:rsid w:val="00525E80"/>
    <w:rsid w:val="005347E7"/>
    <w:rsid w:val="00534BC6"/>
    <w:rsid w:val="005460BD"/>
    <w:rsid w:val="00553197"/>
    <w:rsid w:val="0055409E"/>
    <w:rsid w:val="00556367"/>
    <w:rsid w:val="00556B35"/>
    <w:rsid w:val="00573E13"/>
    <w:rsid w:val="00584F82"/>
    <w:rsid w:val="00591DFA"/>
    <w:rsid w:val="00594854"/>
    <w:rsid w:val="00594EA8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6002E3"/>
    <w:rsid w:val="006069B0"/>
    <w:rsid w:val="006145AC"/>
    <w:rsid w:val="00615F98"/>
    <w:rsid w:val="00621F9C"/>
    <w:rsid w:val="00631166"/>
    <w:rsid w:val="00631F1C"/>
    <w:rsid w:val="006366A4"/>
    <w:rsid w:val="006456B1"/>
    <w:rsid w:val="006564EC"/>
    <w:rsid w:val="00660228"/>
    <w:rsid w:val="0066084C"/>
    <w:rsid w:val="006672B8"/>
    <w:rsid w:val="006672C1"/>
    <w:rsid w:val="00672CF9"/>
    <w:rsid w:val="00672E11"/>
    <w:rsid w:val="0068273B"/>
    <w:rsid w:val="00691234"/>
    <w:rsid w:val="006931CC"/>
    <w:rsid w:val="006947F2"/>
    <w:rsid w:val="00697919"/>
    <w:rsid w:val="006B0315"/>
    <w:rsid w:val="006B3FCF"/>
    <w:rsid w:val="006B46CA"/>
    <w:rsid w:val="006C0391"/>
    <w:rsid w:val="006C0F93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967"/>
    <w:rsid w:val="00722BE7"/>
    <w:rsid w:val="00732DF2"/>
    <w:rsid w:val="007614F1"/>
    <w:rsid w:val="007618C5"/>
    <w:rsid w:val="00763644"/>
    <w:rsid w:val="00764066"/>
    <w:rsid w:val="00776118"/>
    <w:rsid w:val="007767E8"/>
    <w:rsid w:val="00792542"/>
    <w:rsid w:val="0079433C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7E5"/>
    <w:rsid w:val="00854DB8"/>
    <w:rsid w:val="00854EF2"/>
    <w:rsid w:val="00863B86"/>
    <w:rsid w:val="00871F69"/>
    <w:rsid w:val="00876932"/>
    <w:rsid w:val="008828E4"/>
    <w:rsid w:val="008842D0"/>
    <w:rsid w:val="00884AC4"/>
    <w:rsid w:val="0088570B"/>
    <w:rsid w:val="0088579D"/>
    <w:rsid w:val="008A0E41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15F3"/>
    <w:rsid w:val="008F26CB"/>
    <w:rsid w:val="008F4AEC"/>
    <w:rsid w:val="008F6509"/>
    <w:rsid w:val="008F79D9"/>
    <w:rsid w:val="009027C8"/>
    <w:rsid w:val="00913D22"/>
    <w:rsid w:val="00930E93"/>
    <w:rsid w:val="0093467A"/>
    <w:rsid w:val="00936352"/>
    <w:rsid w:val="0094155C"/>
    <w:rsid w:val="00943437"/>
    <w:rsid w:val="00951531"/>
    <w:rsid w:val="00952ED9"/>
    <w:rsid w:val="00957CAC"/>
    <w:rsid w:val="00960A3B"/>
    <w:rsid w:val="00967DE0"/>
    <w:rsid w:val="00971E07"/>
    <w:rsid w:val="00980944"/>
    <w:rsid w:val="00986D77"/>
    <w:rsid w:val="009943EC"/>
    <w:rsid w:val="009A32D5"/>
    <w:rsid w:val="009A7184"/>
    <w:rsid w:val="009B6012"/>
    <w:rsid w:val="009C102D"/>
    <w:rsid w:val="009C2A4F"/>
    <w:rsid w:val="009D4C59"/>
    <w:rsid w:val="009D7F91"/>
    <w:rsid w:val="009E20EF"/>
    <w:rsid w:val="009E26EE"/>
    <w:rsid w:val="009F21A2"/>
    <w:rsid w:val="00A007E0"/>
    <w:rsid w:val="00A1108F"/>
    <w:rsid w:val="00A232FF"/>
    <w:rsid w:val="00A32FBF"/>
    <w:rsid w:val="00A407EA"/>
    <w:rsid w:val="00A4368C"/>
    <w:rsid w:val="00A51749"/>
    <w:rsid w:val="00A521B6"/>
    <w:rsid w:val="00A56962"/>
    <w:rsid w:val="00A6412C"/>
    <w:rsid w:val="00A73C7A"/>
    <w:rsid w:val="00A75419"/>
    <w:rsid w:val="00A76661"/>
    <w:rsid w:val="00A76D2A"/>
    <w:rsid w:val="00A82081"/>
    <w:rsid w:val="00A8557E"/>
    <w:rsid w:val="00A91181"/>
    <w:rsid w:val="00A935AC"/>
    <w:rsid w:val="00AA4939"/>
    <w:rsid w:val="00AB299E"/>
    <w:rsid w:val="00AB507C"/>
    <w:rsid w:val="00AD6E76"/>
    <w:rsid w:val="00AE3EAA"/>
    <w:rsid w:val="00AE5EDF"/>
    <w:rsid w:val="00AF102C"/>
    <w:rsid w:val="00B12CCB"/>
    <w:rsid w:val="00B14F7F"/>
    <w:rsid w:val="00B16EB9"/>
    <w:rsid w:val="00B22F24"/>
    <w:rsid w:val="00B22F53"/>
    <w:rsid w:val="00B24DBE"/>
    <w:rsid w:val="00B27FB0"/>
    <w:rsid w:val="00B328A2"/>
    <w:rsid w:val="00B34EB2"/>
    <w:rsid w:val="00B514FE"/>
    <w:rsid w:val="00B517C3"/>
    <w:rsid w:val="00B518B2"/>
    <w:rsid w:val="00B526EA"/>
    <w:rsid w:val="00B536FE"/>
    <w:rsid w:val="00B560DC"/>
    <w:rsid w:val="00B619B3"/>
    <w:rsid w:val="00B73FFA"/>
    <w:rsid w:val="00B76A85"/>
    <w:rsid w:val="00B819BC"/>
    <w:rsid w:val="00B874F1"/>
    <w:rsid w:val="00BC1DE7"/>
    <w:rsid w:val="00BC5AEE"/>
    <w:rsid w:val="00BD6029"/>
    <w:rsid w:val="00BE0541"/>
    <w:rsid w:val="00BE1ADB"/>
    <w:rsid w:val="00C070DE"/>
    <w:rsid w:val="00C1089B"/>
    <w:rsid w:val="00C20DC8"/>
    <w:rsid w:val="00C210C3"/>
    <w:rsid w:val="00C26DFB"/>
    <w:rsid w:val="00C273FA"/>
    <w:rsid w:val="00C30D06"/>
    <w:rsid w:val="00C35E04"/>
    <w:rsid w:val="00C42067"/>
    <w:rsid w:val="00C432D0"/>
    <w:rsid w:val="00C4398E"/>
    <w:rsid w:val="00C4737F"/>
    <w:rsid w:val="00C60B4A"/>
    <w:rsid w:val="00C62C5E"/>
    <w:rsid w:val="00C65BDB"/>
    <w:rsid w:val="00C71A3B"/>
    <w:rsid w:val="00C76810"/>
    <w:rsid w:val="00C76CFA"/>
    <w:rsid w:val="00C90469"/>
    <w:rsid w:val="00C963F8"/>
    <w:rsid w:val="00C96BB1"/>
    <w:rsid w:val="00CA1806"/>
    <w:rsid w:val="00CA2F80"/>
    <w:rsid w:val="00CB0C2A"/>
    <w:rsid w:val="00CC0DA6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4840"/>
    <w:rsid w:val="00D2776A"/>
    <w:rsid w:val="00D30931"/>
    <w:rsid w:val="00D317F2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2378"/>
    <w:rsid w:val="00DD3FA0"/>
    <w:rsid w:val="00DE5B2D"/>
    <w:rsid w:val="00DE5CE9"/>
    <w:rsid w:val="00E03064"/>
    <w:rsid w:val="00E04BD5"/>
    <w:rsid w:val="00E04DAF"/>
    <w:rsid w:val="00E070D2"/>
    <w:rsid w:val="00E1539C"/>
    <w:rsid w:val="00E162B6"/>
    <w:rsid w:val="00E16E01"/>
    <w:rsid w:val="00E24A50"/>
    <w:rsid w:val="00E35639"/>
    <w:rsid w:val="00E36856"/>
    <w:rsid w:val="00E4067C"/>
    <w:rsid w:val="00E41702"/>
    <w:rsid w:val="00E432CC"/>
    <w:rsid w:val="00E50711"/>
    <w:rsid w:val="00E60EDA"/>
    <w:rsid w:val="00E62BBC"/>
    <w:rsid w:val="00E73DEC"/>
    <w:rsid w:val="00E9503C"/>
    <w:rsid w:val="00E956D9"/>
    <w:rsid w:val="00EA1958"/>
    <w:rsid w:val="00EA29F5"/>
    <w:rsid w:val="00EA2CD7"/>
    <w:rsid w:val="00EA482D"/>
    <w:rsid w:val="00EA50B7"/>
    <w:rsid w:val="00EB5FE6"/>
    <w:rsid w:val="00EB61A5"/>
    <w:rsid w:val="00EB7A09"/>
    <w:rsid w:val="00EC5AF4"/>
    <w:rsid w:val="00ED273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11D"/>
    <w:rsid w:val="00F17A2C"/>
    <w:rsid w:val="00F26708"/>
    <w:rsid w:val="00F31D0C"/>
    <w:rsid w:val="00F402B4"/>
    <w:rsid w:val="00F40388"/>
    <w:rsid w:val="00F511EE"/>
    <w:rsid w:val="00F511F9"/>
    <w:rsid w:val="00F558E7"/>
    <w:rsid w:val="00F57F9E"/>
    <w:rsid w:val="00F62016"/>
    <w:rsid w:val="00F63F44"/>
    <w:rsid w:val="00F6746D"/>
    <w:rsid w:val="00F7499A"/>
    <w:rsid w:val="00F760B5"/>
    <w:rsid w:val="00F768EF"/>
    <w:rsid w:val="00F811CD"/>
    <w:rsid w:val="00F82D8F"/>
    <w:rsid w:val="00F83F62"/>
    <w:rsid w:val="00F9711D"/>
    <w:rsid w:val="00F97550"/>
    <w:rsid w:val="00F979EA"/>
    <w:rsid w:val="00FA75E0"/>
    <w:rsid w:val="00FB20B1"/>
    <w:rsid w:val="00FB3AB4"/>
    <w:rsid w:val="00FC39C3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F31D0C"/>
    <w:rPr>
      <w:color w:val="800080"/>
      <w:u w:val="single"/>
    </w:rPr>
  </w:style>
  <w:style w:type="character" w:customStyle="1" w:styleId="f51">
    <w:name w:val="f51"/>
    <w:rsid w:val="00876932"/>
    <w:rPr>
      <w:rFonts w:ascii="Times" w:hAnsi="Times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F31D0C"/>
    <w:rPr>
      <w:color w:val="800080"/>
      <w:u w:val="single"/>
    </w:rPr>
  </w:style>
  <w:style w:type="character" w:customStyle="1" w:styleId="f51">
    <w:name w:val="f51"/>
    <w:rsid w:val="00876932"/>
    <w:rPr>
      <w:rFonts w:ascii="Times" w:hAnsi="Time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licacao4.tst.jus.br/consultaProcessual/consultaTstNumUnica.do?consulta=Consultar&amp;conscsjt=&amp;numeroTst=59886&amp;digitoTst=60&amp;anoTst=1993&amp;orgaoTst=5&amp;tribunalTst=05&amp;varaTst=00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licacao4.tst.jus.br/consultaProcessual/consultaTstNumUnica.do?consulta=Consultar&amp;conscsjt=&amp;numeroTst=154900&amp;digitoTst=19&amp;anoTst=2004&amp;orgaoTst=5&amp;tribunalTst=15&amp;varaTst=004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44900&amp;digitoTst=98&amp;anoTst=2002&amp;orgaoTst=5&amp;tribunalTst=04&amp;varaTst=070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plicacao4.tst.jus.br/consultaProcessual/consultaTstNumUnica.do?consulta=Consultar&amp;conscsjt=&amp;numeroTst=1150&amp;digitoTst=73&amp;anoTst=2012&amp;orgaoTst=5&amp;tribunalTst=02&amp;varaTst=004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666&amp;digitoTst=80&amp;anoTst=2012&amp;orgaoTst=5&amp;tribunalTst=09&amp;varaTst=0009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6D0F-BD56-4D78-88D3-5FEED9AA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1311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8379</CharactersWithSpaces>
  <SharedDoc>false</SharedDoc>
  <HLinks>
    <vt:vector size="30" baseType="variant"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http://aplicacao4.tst.jus.br/consultaProcessual/consultaTstNumUnica.do?consulta=Consultar&amp;conscsjt=&amp;numeroTst=59886&amp;digitoTst=60&amp;anoTst=1993&amp;orgaoTst=5&amp;tribunalTst=05&amp;varaTst=0017</vt:lpwstr>
      </vt:variant>
      <vt:variant>
        <vt:lpwstr/>
      </vt:variant>
      <vt:variant>
        <vt:i4>1638475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http://aplicacao4.tst.jus.br/consultaProcessual/consultaTstNumUnica.do?consulta=Consultar&amp;conscsjt=&amp;numeroTst=154900&amp;digitoTst=19&amp;anoTst=2004&amp;orgaoTst=5&amp;tribunalTst=15&amp;varaTst=0046</vt:lpwstr>
      </vt:variant>
      <vt:variant>
        <vt:lpwstr/>
      </vt:variant>
      <vt:variant>
        <vt:i4>6619197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http://aplicacao4.tst.jus.br/consultaProcessual/consultaTstNumUnica.do?consulta=Consultar&amp;conscsjt=&amp;numeroTst=44900&amp;digitoTst=98&amp;anoTst=2002&amp;orgaoTst=5&amp;tribunalTst=04&amp;varaTst=0701</vt:lpwstr>
      </vt:variant>
      <vt:variant>
        <vt:lpwstr/>
      </vt:variant>
      <vt:variant>
        <vt:i4>2293873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http://aplicacao4.tst.jus.br/consultaProcessual/consultaTstNumUnica.do?consulta=Consultar&amp;conscsjt=&amp;numeroTst=1150&amp;digitoTst=73&amp;anoTst=2012&amp;orgaoTst=5&amp;tribunalTst=02&amp;varaTst=0047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http://aplicacao4.tst.jus.br/consultaProcessual/consultaTstNumUnica.do?consulta=Consultar&amp;conscsjt=&amp;numeroTst=666&amp;digitoTst=80&amp;anoTst=2012&amp;orgaoTst=5&amp;tribunalTst=09&amp;varaTst=0009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C050728</cp:lastModifiedBy>
  <cp:revision>2</cp:revision>
  <cp:lastPrinted>2016-02-26T20:47:00Z</cp:lastPrinted>
  <dcterms:created xsi:type="dcterms:W3CDTF">2017-07-31T18:27:00Z</dcterms:created>
  <dcterms:modified xsi:type="dcterms:W3CDTF">2017-07-31T18:27:00Z</dcterms:modified>
</cp:coreProperties>
</file>