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F7499A" w:rsidP="00F7499A">
            <w:pPr>
              <w:pStyle w:val="Cabealho"/>
              <w:tabs>
                <w:tab w:val="clear" w:pos="4419"/>
                <w:tab w:val="clear" w:pos="8838"/>
              </w:tabs>
              <w:jc w:val="both"/>
              <w:rPr>
                <w:sz w:val="10"/>
                <w:szCs w:val="10"/>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tc>
      </w:tr>
    </w:tbl>
    <w:p w:rsidR="00E41702" w:rsidRPr="003F7ADC" w:rsidRDefault="00E41702" w:rsidP="005460BD">
      <w:pPr>
        <w:ind w:right="-71"/>
        <w:jc w:val="both"/>
        <w:rPr>
          <w:b/>
          <w:i/>
          <w:sz w:val="10"/>
          <w:szCs w:val="10"/>
        </w:rPr>
      </w:pPr>
    </w:p>
    <w:p w:rsidR="00D30931" w:rsidRPr="004E33B1" w:rsidRDefault="00B27FB0" w:rsidP="00D30931">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4E33B1">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TRIBUNAL PLENO</w:t>
      </w:r>
    </w:p>
    <w:p w:rsidR="00B27FB0" w:rsidRPr="00DD2378" w:rsidRDefault="00B27FB0" w:rsidP="00A232FF">
      <w:pPr>
        <w:jc w:val="both"/>
        <w:rPr>
          <w:u w:val="single"/>
        </w:rPr>
      </w:pPr>
    </w:p>
    <w:p w:rsidR="00DD2378" w:rsidRPr="007A0AC5" w:rsidRDefault="00DD2378" w:rsidP="00DD2378">
      <w:pPr>
        <w:jc w:val="both"/>
        <w:rPr>
          <w:b/>
          <w:i/>
          <w:sz w:val="24"/>
          <w:szCs w:val="24"/>
        </w:rPr>
      </w:pPr>
      <w:r>
        <w:rPr>
          <w:b/>
          <w:i/>
          <w:sz w:val="24"/>
          <w:szCs w:val="24"/>
        </w:rPr>
        <w:t>Embargos de declaração em incidente de arguição de inconstitucionalidade. Atualização monetária dos débitos trabalhistas. Art. 39 da Lei nº 8.177/91. Declaração de inconstitucionalidade da expressão “equivalentes à TRD”.  Aplicação do índice IPCA-E. Efeito modificativo. Modulação de efeitos.</w:t>
      </w:r>
    </w:p>
    <w:p w:rsidR="00DD2378" w:rsidRPr="007A0AC5" w:rsidRDefault="00DD2378" w:rsidP="00DD2378">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O Tribunal Pleno, em sede de embargos de declaração em incidente de arguição de inconstitucionalidade, decidiu, por maioria, conferir efeito modificativo ao julgado para modular os efeitos da decisão que declarou inconstitucional, por arrastamento, a expressão “equivalentes à TRD”, contida no art. 39 da Lei nº 8.177/91, e acolheu </w:t>
      </w:r>
      <w:r w:rsidRPr="006B2EB7">
        <w:rPr>
          <w:rFonts w:ascii="Times New Roman" w:eastAsia="Calibri" w:hAnsi="Times New Roman" w:cs="Times New Roman"/>
          <w:color w:val="auto"/>
          <w:lang w:val="pt-BR" w:eastAsia="en-US"/>
        </w:rPr>
        <w:t>o IPCA-E como índice de atualização monetária dos débitos trabalhistas</w:t>
      </w:r>
      <w:r>
        <w:rPr>
          <w:rFonts w:ascii="Times New Roman" w:eastAsia="Calibri" w:hAnsi="Times New Roman" w:cs="Times New Roman"/>
          <w:color w:val="auto"/>
          <w:lang w:val="pt-BR" w:eastAsia="en-US"/>
        </w:rPr>
        <w:t xml:space="preserve">, para que produza efeitos somente a partir de 25.3.2015, </w:t>
      </w:r>
      <w:r w:rsidRPr="006B2EB7">
        <w:rPr>
          <w:rFonts w:ascii="Times New Roman" w:eastAsia="Calibri" w:hAnsi="Times New Roman" w:cs="Times New Roman"/>
          <w:color w:val="auto"/>
          <w:lang w:val="pt-BR" w:eastAsia="en-US"/>
        </w:rPr>
        <w:t xml:space="preserve">data </w:t>
      </w:r>
      <w:r>
        <w:rPr>
          <w:rFonts w:ascii="Times New Roman" w:eastAsia="Calibri" w:hAnsi="Times New Roman" w:cs="Times New Roman"/>
          <w:color w:val="auto"/>
          <w:lang w:val="pt-BR" w:eastAsia="en-US"/>
        </w:rPr>
        <w:t>coincidente</w:t>
      </w:r>
      <w:r w:rsidRPr="006B2EB7">
        <w:rPr>
          <w:rFonts w:ascii="Times New Roman" w:eastAsia="Calibri" w:hAnsi="Times New Roman" w:cs="Times New Roman"/>
          <w:color w:val="auto"/>
          <w:lang w:val="pt-BR" w:eastAsia="en-US"/>
        </w:rPr>
        <w:t xml:space="preserve"> com aquela</w:t>
      </w:r>
      <w:r>
        <w:rPr>
          <w:rFonts w:ascii="Times New Roman" w:eastAsia="Calibri" w:hAnsi="Times New Roman" w:cs="Times New Roman"/>
          <w:color w:val="auto"/>
          <w:lang w:val="pt-BR" w:eastAsia="en-US"/>
        </w:rPr>
        <w:t xml:space="preserve"> adotada pelo </w:t>
      </w:r>
      <w:r w:rsidRPr="006B2EB7">
        <w:rPr>
          <w:rFonts w:ascii="Times New Roman" w:eastAsia="Calibri" w:hAnsi="Times New Roman" w:cs="Times New Roman"/>
          <w:color w:val="auto"/>
          <w:lang w:val="pt-BR" w:eastAsia="en-US"/>
        </w:rPr>
        <w:t>S</w:t>
      </w:r>
      <w:r>
        <w:rPr>
          <w:rFonts w:ascii="Times New Roman" w:eastAsia="Calibri" w:hAnsi="Times New Roman" w:cs="Times New Roman"/>
          <w:color w:val="auto"/>
          <w:lang w:val="pt-BR" w:eastAsia="en-US"/>
        </w:rPr>
        <w:t xml:space="preserve">upremo </w:t>
      </w:r>
      <w:r w:rsidRPr="006B2EB7">
        <w:rPr>
          <w:rFonts w:ascii="Times New Roman" w:eastAsia="Calibri" w:hAnsi="Times New Roman" w:cs="Times New Roman"/>
          <w:color w:val="auto"/>
          <w:lang w:val="pt-BR" w:eastAsia="en-US"/>
        </w:rPr>
        <w:t>T</w:t>
      </w:r>
      <w:r>
        <w:rPr>
          <w:rFonts w:ascii="Times New Roman" w:eastAsia="Calibri" w:hAnsi="Times New Roman" w:cs="Times New Roman"/>
          <w:color w:val="auto"/>
          <w:lang w:val="pt-BR" w:eastAsia="en-US"/>
        </w:rPr>
        <w:t xml:space="preserve">ribunal </w:t>
      </w:r>
      <w:r w:rsidRPr="006B2EB7">
        <w:rPr>
          <w:rFonts w:ascii="Times New Roman" w:eastAsia="Calibri" w:hAnsi="Times New Roman" w:cs="Times New Roman"/>
          <w:color w:val="auto"/>
          <w:lang w:val="pt-BR" w:eastAsia="en-US"/>
        </w:rPr>
        <w:t>F</w:t>
      </w:r>
      <w:r>
        <w:rPr>
          <w:rFonts w:ascii="Times New Roman" w:eastAsia="Calibri" w:hAnsi="Times New Roman" w:cs="Times New Roman"/>
          <w:color w:val="auto"/>
          <w:lang w:val="pt-BR" w:eastAsia="en-US"/>
        </w:rPr>
        <w:t>ederal</w:t>
      </w:r>
      <w:r w:rsidRPr="006B2EB7">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no acórdão prolatado na ADI 4.357. De outra sorte, por unanimidade, </w:t>
      </w:r>
      <w:r w:rsidRPr="007C22A9">
        <w:rPr>
          <w:rFonts w:ascii="Times New Roman" w:eastAsia="Calibri" w:hAnsi="Times New Roman" w:cs="Times New Roman"/>
          <w:color w:val="auto"/>
          <w:lang w:val="pt-BR" w:eastAsia="en-US"/>
        </w:rPr>
        <w:t xml:space="preserve">em </w:t>
      </w:r>
      <w:r>
        <w:rPr>
          <w:rFonts w:ascii="Times New Roman" w:eastAsia="Calibri" w:hAnsi="Times New Roman" w:cs="Times New Roman"/>
          <w:color w:val="auto"/>
          <w:lang w:val="pt-BR" w:eastAsia="en-US"/>
        </w:rPr>
        <w:t xml:space="preserve">cumprimento à decisão </w:t>
      </w:r>
      <w:r w:rsidRPr="007C22A9">
        <w:rPr>
          <w:rFonts w:ascii="Times New Roman" w:eastAsia="Calibri" w:hAnsi="Times New Roman" w:cs="Times New Roman"/>
          <w:color w:val="auto"/>
          <w:lang w:val="pt-BR" w:eastAsia="en-US"/>
        </w:rPr>
        <w:t>liminar concedida</w:t>
      </w:r>
      <w:r>
        <w:rPr>
          <w:rFonts w:ascii="Times New Roman" w:eastAsia="Calibri" w:hAnsi="Times New Roman" w:cs="Times New Roman"/>
          <w:color w:val="auto"/>
          <w:lang w:val="pt-BR" w:eastAsia="en-US"/>
        </w:rPr>
        <w:t xml:space="preserve"> no processo STF-Rcl-22.012, rel. Min. D</w:t>
      </w:r>
      <w:r w:rsidRPr="007C22A9">
        <w:rPr>
          <w:rFonts w:ascii="Times New Roman" w:eastAsia="Calibri" w:hAnsi="Times New Roman" w:cs="Times New Roman"/>
          <w:color w:val="auto"/>
          <w:lang w:val="pt-BR" w:eastAsia="en-US"/>
        </w:rPr>
        <w:t>ias T</w:t>
      </w:r>
      <w:r>
        <w:rPr>
          <w:rFonts w:ascii="Times New Roman" w:eastAsia="Calibri" w:hAnsi="Times New Roman" w:cs="Times New Roman"/>
          <w:color w:val="auto"/>
          <w:lang w:val="pt-BR" w:eastAsia="en-US"/>
        </w:rPr>
        <w:t>o</w:t>
      </w:r>
      <w:r w:rsidRPr="007C22A9">
        <w:rPr>
          <w:rFonts w:ascii="Times New Roman" w:eastAsia="Calibri" w:hAnsi="Times New Roman" w:cs="Times New Roman"/>
          <w:color w:val="auto"/>
          <w:lang w:val="pt-BR" w:eastAsia="en-US"/>
        </w:rPr>
        <w:t xml:space="preserve">ffoli, </w:t>
      </w:r>
      <w:r>
        <w:rPr>
          <w:rFonts w:ascii="Times New Roman" w:eastAsia="Calibri" w:hAnsi="Times New Roman" w:cs="Times New Roman"/>
          <w:color w:val="auto"/>
          <w:lang w:val="pt-BR" w:eastAsia="en-US"/>
        </w:rPr>
        <w:t>o Pleno excluiu</w:t>
      </w:r>
      <w:r w:rsidRPr="007C22A9">
        <w:rPr>
          <w:rFonts w:ascii="Times New Roman" w:eastAsia="Calibri" w:hAnsi="Times New Roman" w:cs="Times New Roman"/>
          <w:color w:val="auto"/>
          <w:lang w:val="pt-BR" w:eastAsia="en-US"/>
        </w:rPr>
        <w:t xml:space="preserve"> a determinação contida na decisão embargada </w:t>
      </w:r>
      <w:r>
        <w:rPr>
          <w:rFonts w:ascii="Times New Roman" w:eastAsia="Calibri" w:hAnsi="Times New Roman" w:cs="Times New Roman"/>
          <w:color w:val="auto"/>
          <w:lang w:val="pt-BR" w:eastAsia="en-US"/>
        </w:rPr>
        <w:t>de</w:t>
      </w:r>
      <w:r w:rsidRPr="007C22A9">
        <w:rPr>
          <w:rFonts w:ascii="Times New Roman" w:eastAsia="Calibri" w:hAnsi="Times New Roman" w:cs="Times New Roman"/>
          <w:color w:val="auto"/>
          <w:lang w:val="pt-BR" w:eastAsia="en-US"/>
        </w:rPr>
        <w:t xml:space="preserve"> reedição da Tabela Única de cálculo de débitos trabalhistas, a fim de que fosse adotado o índice IPCA-E</w:t>
      </w:r>
      <w:r>
        <w:rPr>
          <w:rFonts w:ascii="Times New Roman" w:eastAsia="Calibri" w:hAnsi="Times New Roman" w:cs="Times New Roman"/>
          <w:color w:val="auto"/>
          <w:lang w:val="pt-BR" w:eastAsia="en-US"/>
        </w:rPr>
        <w:t>, visto que tal comando poderia significar a concessão de efeito “</w:t>
      </w:r>
      <w:r w:rsidRPr="007C22A9">
        <w:rPr>
          <w:rFonts w:ascii="Times New Roman" w:eastAsia="Calibri" w:hAnsi="Times New Roman" w:cs="Times New Roman"/>
          <w:color w:val="auto"/>
          <w:lang w:val="pt-BR" w:eastAsia="en-US"/>
        </w:rPr>
        <w:t>erga omnes</w:t>
      </w:r>
      <w:r>
        <w:rPr>
          <w:rFonts w:ascii="Times New Roman" w:eastAsia="Calibri" w:hAnsi="Times New Roman" w:cs="Times New Roman"/>
          <w:color w:val="auto"/>
          <w:lang w:val="pt-BR" w:eastAsia="en-US"/>
        </w:rPr>
        <w:t>”, o que não é o caso</w:t>
      </w:r>
      <w:r w:rsidRPr="007C22A9">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w:t>
      </w:r>
      <w:r w:rsidRPr="007C22A9">
        <w:rPr>
          <w:rFonts w:ascii="Times New Roman" w:eastAsia="Calibri" w:hAnsi="Times New Roman" w:cs="Times New Roman"/>
          <w:color w:val="auto"/>
          <w:lang w:val="pt-BR" w:eastAsia="en-US"/>
        </w:rPr>
        <w:t>Vencidos</w:t>
      </w:r>
      <w:r>
        <w:rPr>
          <w:rFonts w:ascii="Times New Roman" w:eastAsia="Calibri" w:hAnsi="Times New Roman" w:cs="Times New Roman"/>
          <w:color w:val="auto"/>
          <w:lang w:val="pt-BR" w:eastAsia="en-US"/>
        </w:rPr>
        <w:t>, totalmente,</w:t>
      </w:r>
      <w:r w:rsidRPr="007C22A9">
        <w:rPr>
          <w:rFonts w:ascii="Times New Roman" w:eastAsia="Calibri" w:hAnsi="Times New Roman" w:cs="Times New Roman"/>
          <w:color w:val="auto"/>
          <w:lang w:val="pt-BR" w:eastAsia="en-US"/>
        </w:rPr>
        <w:t xml:space="preserve"> os Ministros Maria de Assis Calsing, Antonio José de Barros Levenhagen, Maria Cristina Irigoyen Peduzzi, Dora Maria da Costa e Ives Gandra Martins Filho, que julgavam prejudic</w:t>
      </w:r>
      <w:r>
        <w:rPr>
          <w:rFonts w:ascii="Times New Roman" w:eastAsia="Calibri" w:hAnsi="Times New Roman" w:cs="Times New Roman"/>
          <w:color w:val="auto"/>
          <w:lang w:val="pt-BR" w:eastAsia="en-US"/>
        </w:rPr>
        <w:t xml:space="preserve">ados os embargos de declaração em razão da liminar deferida pelo STF e, </w:t>
      </w:r>
      <w:r w:rsidRPr="007C22A9">
        <w:rPr>
          <w:rFonts w:ascii="Times New Roman" w:eastAsia="Calibri" w:hAnsi="Times New Roman" w:cs="Times New Roman"/>
          <w:color w:val="auto"/>
          <w:lang w:val="pt-BR" w:eastAsia="en-US"/>
        </w:rPr>
        <w:t>parcialmente</w:t>
      </w:r>
      <w:r>
        <w:rPr>
          <w:rFonts w:ascii="Times New Roman" w:eastAsia="Calibri" w:hAnsi="Times New Roman" w:cs="Times New Roman"/>
          <w:color w:val="auto"/>
          <w:lang w:val="pt-BR" w:eastAsia="en-US"/>
        </w:rPr>
        <w:t xml:space="preserve">, </w:t>
      </w:r>
      <w:r w:rsidRPr="007C22A9">
        <w:rPr>
          <w:rFonts w:ascii="Times New Roman" w:eastAsia="Calibri" w:hAnsi="Times New Roman" w:cs="Times New Roman"/>
          <w:color w:val="auto"/>
          <w:lang w:val="pt-BR" w:eastAsia="en-US"/>
        </w:rPr>
        <w:t>o Ministro Brito Pereira</w:t>
      </w:r>
      <w:r>
        <w:rPr>
          <w:rFonts w:ascii="Times New Roman" w:eastAsia="Calibri" w:hAnsi="Times New Roman" w:cs="Times New Roman"/>
          <w:color w:val="auto"/>
          <w:lang w:val="pt-BR" w:eastAsia="en-US"/>
        </w:rPr>
        <w:t>,</w:t>
      </w:r>
      <w:r w:rsidRPr="007C22A9">
        <w:rPr>
          <w:rFonts w:ascii="Times New Roman" w:eastAsia="Calibri" w:hAnsi="Times New Roman" w:cs="Times New Roman"/>
          <w:color w:val="auto"/>
          <w:lang w:val="pt-BR" w:eastAsia="en-US"/>
        </w:rPr>
        <w:t xml:space="preserve"> que acolhia os embargos declaratórios para prestar esclarecimentos, sem modular os efeitos da decisão.</w:t>
      </w:r>
      <w:r w:rsidRPr="007A0AC5">
        <w:rPr>
          <w:rFonts w:ascii="Times New Roman" w:eastAsia="Calibri" w:hAnsi="Times New Roman" w:cs="Times New Roman"/>
          <w:color w:val="auto"/>
          <w:lang w:val="pt-BR" w:eastAsia="en-US"/>
        </w:rPr>
        <w:t xml:space="preserve"> </w:t>
      </w:r>
      <w:hyperlink r:id="rId9" w:history="1">
        <w:r w:rsidRPr="00DD2378">
          <w:rPr>
            <w:rStyle w:val="Hyperlink"/>
            <w:rFonts w:ascii="Times New Roman" w:hAnsi="Times New Roman" w:cs="Courier New"/>
            <w:lang w:val="pt-BR"/>
          </w:rPr>
          <w:t>TST-ED-ArgInc-479-60.2011.5.04.0231</w:t>
        </w:r>
      </w:hyperlink>
      <w:r w:rsidRPr="007A0AC5">
        <w:rPr>
          <w:rFonts w:ascii="Times New Roman" w:hAnsi="Times New Roman"/>
          <w:u w:val="single"/>
          <w:lang w:val="pt-BR"/>
        </w:rPr>
        <w:t>,</w:t>
      </w:r>
      <w:r>
        <w:rPr>
          <w:rFonts w:ascii="Times New Roman" w:hAnsi="Times New Roman"/>
          <w:u w:val="single"/>
          <w:lang w:val="pt-BR"/>
        </w:rPr>
        <w:t xml:space="preserve"> Tribunal</w:t>
      </w:r>
      <w:r w:rsidRPr="007A0AC5">
        <w:rPr>
          <w:rFonts w:ascii="Times New Roman" w:hAnsi="Times New Roman"/>
          <w:u w:val="single"/>
          <w:lang w:val="pt-BR"/>
        </w:rPr>
        <w:t xml:space="preserve"> </w:t>
      </w:r>
      <w:r>
        <w:rPr>
          <w:rFonts w:ascii="Times New Roman" w:hAnsi="Times New Roman"/>
          <w:u w:val="single"/>
          <w:lang w:val="pt-BR"/>
        </w:rPr>
        <w:t>Pleno</w:t>
      </w:r>
      <w:r w:rsidRPr="007A0AC5">
        <w:rPr>
          <w:rFonts w:ascii="Times New Roman" w:hAnsi="Times New Roman"/>
          <w:u w:val="single"/>
          <w:lang w:val="pt-BR"/>
        </w:rPr>
        <w:t xml:space="preserve">, </w:t>
      </w:r>
      <w:r>
        <w:rPr>
          <w:rFonts w:ascii="Times New Roman" w:hAnsi="Times New Roman"/>
          <w:u w:val="single"/>
          <w:lang w:val="pt-BR"/>
        </w:rPr>
        <w:t>r</w:t>
      </w:r>
      <w:r w:rsidRPr="007A0AC5">
        <w:rPr>
          <w:rFonts w:ascii="Times New Roman" w:hAnsi="Times New Roman"/>
          <w:u w:val="single"/>
          <w:lang w:val="pt-BR"/>
        </w:rPr>
        <w:t xml:space="preserve">el. Min. </w:t>
      </w:r>
      <w:r>
        <w:rPr>
          <w:rFonts w:ascii="Times New Roman" w:hAnsi="Times New Roman"/>
          <w:u w:val="single"/>
          <w:lang w:val="pt-BR"/>
        </w:rPr>
        <w:t>Cláudio Mascarenhas Brandão</w:t>
      </w:r>
      <w:r w:rsidRPr="007A0AC5">
        <w:rPr>
          <w:rFonts w:ascii="Times New Roman" w:hAnsi="Times New Roman"/>
          <w:u w:val="single"/>
          <w:lang w:val="pt-BR"/>
        </w:rPr>
        <w:t>, 20.</w:t>
      </w:r>
      <w:r>
        <w:rPr>
          <w:rFonts w:ascii="Times New Roman" w:hAnsi="Times New Roman"/>
          <w:u w:val="single"/>
          <w:lang w:val="pt-BR"/>
        </w:rPr>
        <w:t>3</w:t>
      </w:r>
      <w:r w:rsidRPr="007A0AC5">
        <w:rPr>
          <w:rFonts w:ascii="Times New Roman" w:hAnsi="Times New Roman"/>
          <w:u w:val="single"/>
          <w:lang w:val="pt-BR"/>
        </w:rPr>
        <w:t>.2017</w:t>
      </w:r>
    </w:p>
    <w:p w:rsidR="00B27FB0" w:rsidRPr="00DD2378" w:rsidRDefault="00B27FB0" w:rsidP="005347E7">
      <w:pPr>
        <w:jc w:val="both"/>
      </w:pPr>
    </w:p>
    <w:p w:rsidR="00C76810" w:rsidRPr="004E33B1" w:rsidRDefault="00C76810" w:rsidP="00C76810">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4E33B1">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SUBSEÇÃO I ESPECIALIZADA EM DISSÍDIOS INDIVIDUAIS</w:t>
      </w:r>
    </w:p>
    <w:p w:rsidR="00B27FB0" w:rsidRPr="00DD2378" w:rsidRDefault="00B27FB0" w:rsidP="00B27FB0">
      <w:pPr>
        <w:jc w:val="both"/>
        <w:rPr>
          <w:b/>
          <w:i/>
        </w:rPr>
      </w:pPr>
    </w:p>
    <w:p w:rsidR="00DD2378" w:rsidRDefault="00DD2378" w:rsidP="00DD2378">
      <w:pPr>
        <w:jc w:val="both"/>
        <w:rPr>
          <w:b/>
          <w:i/>
          <w:sz w:val="24"/>
          <w:szCs w:val="24"/>
        </w:rPr>
      </w:pPr>
      <w:r>
        <w:rPr>
          <w:b/>
          <w:i/>
          <w:sz w:val="24"/>
          <w:szCs w:val="24"/>
        </w:rPr>
        <w:t>Execução</w:t>
      </w:r>
      <w:r w:rsidRPr="001E7887">
        <w:rPr>
          <w:rFonts w:ascii="Courier New" w:hAnsi="Courier New" w:cs="Courier New"/>
          <w:b/>
          <w:color w:val="000000"/>
        </w:rPr>
        <w:t>.</w:t>
      </w:r>
      <w:r>
        <w:rPr>
          <w:rFonts w:ascii="Courier New" w:hAnsi="Courier New" w:cs="Courier New"/>
          <w:b/>
          <w:color w:val="000000"/>
        </w:rPr>
        <w:t xml:space="preserve"> </w:t>
      </w:r>
      <w:r w:rsidRPr="00E01CAD">
        <w:rPr>
          <w:b/>
          <w:i/>
          <w:sz w:val="24"/>
          <w:szCs w:val="24"/>
        </w:rPr>
        <w:t>Sentença proferida nos autos de ação coletiva ajuizada p</w:t>
      </w:r>
      <w:r>
        <w:rPr>
          <w:b/>
          <w:i/>
          <w:sz w:val="24"/>
          <w:szCs w:val="24"/>
        </w:rPr>
        <w:t>or</w:t>
      </w:r>
      <w:r w:rsidRPr="00E01CAD">
        <w:rPr>
          <w:b/>
          <w:i/>
          <w:sz w:val="24"/>
          <w:szCs w:val="24"/>
        </w:rPr>
        <w:t xml:space="preserve"> sindicato na condição de substituto processual</w:t>
      </w:r>
      <w:r w:rsidRPr="00DC75C9">
        <w:rPr>
          <w:b/>
          <w:i/>
          <w:sz w:val="24"/>
          <w:szCs w:val="24"/>
        </w:rPr>
        <w:t>.</w:t>
      </w:r>
      <w:r>
        <w:rPr>
          <w:b/>
          <w:i/>
          <w:sz w:val="24"/>
          <w:szCs w:val="24"/>
        </w:rPr>
        <w:t xml:space="preserve"> Execução individual. Possibilidade. Legitimidade concorrente. Art. 5º, XXXV, da CF.</w:t>
      </w:r>
    </w:p>
    <w:p w:rsidR="00DD2378" w:rsidRPr="005F2A11" w:rsidRDefault="00DD2378" w:rsidP="00DD2378">
      <w:pPr>
        <w:jc w:val="both"/>
        <w:rPr>
          <w:sz w:val="24"/>
          <w:szCs w:val="24"/>
        </w:rPr>
      </w:pPr>
      <w:r w:rsidRPr="005F2A11">
        <w:rPr>
          <w:sz w:val="24"/>
          <w:szCs w:val="24"/>
        </w:rPr>
        <w:t xml:space="preserve">O empregado, de forma individual, possui legitimidade para </w:t>
      </w:r>
      <w:r>
        <w:rPr>
          <w:sz w:val="24"/>
          <w:szCs w:val="24"/>
        </w:rPr>
        <w:t xml:space="preserve">promover a execução de sentença proferida nos autos de ação coletiva ajuizada por sindicato na condição de substituto processual, sob pena de ofensa ao art. 5º, XXXV, da CF. Trata-se de legitimação concorrente e não subsidiária, nos termos dos arts. 97 e 98 do CDC, razão pela qual o direito de escolha quanto à execução, se individual ou coletiva, está relacionado ao próprio conteúdo do direito de ação. Sob esses fundamentos, a SBDI-I, por unanimidade, conheceu dos embargos, por divergência jurisprudência, e, no mérito, deu-lhes provimento para, reformando o acórdão recorrido, determinar o retorno dos autos à vara do trabalho de origem para, afastada a extinção do processo sem resolução do mérito, por falta de interesse de agir, prossiga no julgamento da causa como entender de direito. </w:t>
      </w:r>
      <w:hyperlink r:id="rId10" w:history="1">
        <w:r w:rsidRPr="00DD2378">
          <w:rPr>
            <w:rStyle w:val="Hyperlink"/>
            <w:sz w:val="24"/>
            <w:szCs w:val="24"/>
          </w:rPr>
          <w:t>TST-E-RR-1843-88.2012.5.15.0049</w:t>
        </w:r>
      </w:hyperlink>
      <w:r w:rsidRPr="00B4525E">
        <w:rPr>
          <w:sz w:val="24"/>
          <w:szCs w:val="24"/>
          <w:u w:val="single"/>
        </w:rPr>
        <w:t xml:space="preserve">, SBDI-I, rel. Min. </w:t>
      </w:r>
      <w:r w:rsidRPr="00DE039B">
        <w:rPr>
          <w:sz w:val="24"/>
          <w:szCs w:val="24"/>
          <w:u w:val="single"/>
        </w:rPr>
        <w:t xml:space="preserve">Augusto </w:t>
      </w:r>
      <w:r>
        <w:rPr>
          <w:sz w:val="24"/>
          <w:szCs w:val="24"/>
          <w:u w:val="single"/>
        </w:rPr>
        <w:t>César Leite de Carvalho</w:t>
      </w:r>
      <w:r w:rsidRPr="00B4525E">
        <w:rPr>
          <w:sz w:val="24"/>
          <w:szCs w:val="24"/>
          <w:u w:val="single"/>
        </w:rPr>
        <w:t xml:space="preserve">, </w:t>
      </w:r>
      <w:r>
        <w:rPr>
          <w:sz w:val="24"/>
          <w:szCs w:val="24"/>
          <w:u w:val="single"/>
        </w:rPr>
        <w:t>30.3.</w:t>
      </w:r>
      <w:r w:rsidRPr="00B4525E">
        <w:rPr>
          <w:sz w:val="24"/>
          <w:szCs w:val="24"/>
          <w:u w:val="single"/>
        </w:rPr>
        <w:t>201</w:t>
      </w:r>
      <w:r>
        <w:rPr>
          <w:sz w:val="24"/>
          <w:szCs w:val="24"/>
          <w:u w:val="single"/>
        </w:rPr>
        <w:t>7</w:t>
      </w:r>
    </w:p>
    <w:p w:rsidR="008828E4" w:rsidRPr="00DD2378" w:rsidRDefault="008828E4" w:rsidP="00B27FB0">
      <w:pPr>
        <w:jc w:val="both"/>
      </w:pPr>
    </w:p>
    <w:p w:rsidR="00DD2378" w:rsidRDefault="00DD2378" w:rsidP="00DD2378">
      <w:pPr>
        <w:jc w:val="both"/>
        <w:rPr>
          <w:sz w:val="24"/>
          <w:szCs w:val="24"/>
        </w:rPr>
      </w:pPr>
      <w:r w:rsidRPr="005B1859">
        <w:rPr>
          <w:b/>
          <w:i/>
          <w:sz w:val="24"/>
          <w:szCs w:val="24"/>
        </w:rPr>
        <w:t xml:space="preserve">Execução. Bem de família. </w:t>
      </w:r>
      <w:r>
        <w:rPr>
          <w:b/>
          <w:i/>
          <w:sz w:val="24"/>
          <w:szCs w:val="24"/>
        </w:rPr>
        <w:t>P</w:t>
      </w:r>
      <w:r w:rsidRPr="005B1859">
        <w:rPr>
          <w:b/>
          <w:i/>
          <w:sz w:val="24"/>
          <w:szCs w:val="24"/>
        </w:rPr>
        <w:t xml:space="preserve">enhora. </w:t>
      </w:r>
      <w:r>
        <w:rPr>
          <w:b/>
          <w:i/>
          <w:sz w:val="24"/>
          <w:szCs w:val="24"/>
        </w:rPr>
        <w:t>R</w:t>
      </w:r>
      <w:r w:rsidRPr="005B1859">
        <w:rPr>
          <w:b/>
          <w:i/>
          <w:sz w:val="24"/>
          <w:szCs w:val="24"/>
        </w:rPr>
        <w:t xml:space="preserve">econhecimento de ofensa </w:t>
      </w:r>
      <w:r>
        <w:rPr>
          <w:b/>
          <w:i/>
          <w:sz w:val="24"/>
          <w:szCs w:val="24"/>
        </w:rPr>
        <w:t>c</w:t>
      </w:r>
      <w:r w:rsidRPr="005B1859">
        <w:rPr>
          <w:b/>
          <w:i/>
          <w:sz w:val="24"/>
          <w:szCs w:val="24"/>
        </w:rPr>
        <w:t>onstitucional.</w:t>
      </w:r>
      <w:r w:rsidRPr="00BF5783">
        <w:rPr>
          <w:b/>
          <w:i/>
          <w:sz w:val="24"/>
          <w:szCs w:val="24"/>
        </w:rPr>
        <w:t xml:space="preserve"> </w:t>
      </w:r>
      <w:r w:rsidRPr="005B1859">
        <w:rPr>
          <w:b/>
          <w:i/>
          <w:sz w:val="24"/>
          <w:szCs w:val="24"/>
        </w:rPr>
        <w:t>Possibilidade</w:t>
      </w:r>
      <w:r>
        <w:rPr>
          <w:b/>
          <w:i/>
          <w:sz w:val="24"/>
          <w:szCs w:val="24"/>
        </w:rPr>
        <w:t>.</w:t>
      </w:r>
    </w:p>
    <w:p w:rsidR="00DD2378" w:rsidRPr="00A742B7" w:rsidRDefault="00DD2378" w:rsidP="00DD2378">
      <w:pPr>
        <w:jc w:val="both"/>
        <w:rPr>
          <w:sz w:val="24"/>
          <w:szCs w:val="24"/>
        </w:rPr>
      </w:pPr>
      <w:r>
        <w:rPr>
          <w:sz w:val="24"/>
          <w:szCs w:val="24"/>
        </w:rPr>
        <w:t>É</w:t>
      </w:r>
      <w:r w:rsidRPr="005C60F5">
        <w:rPr>
          <w:sz w:val="24"/>
          <w:szCs w:val="24"/>
        </w:rPr>
        <w:t xml:space="preserve"> poss</w:t>
      </w:r>
      <w:r>
        <w:rPr>
          <w:sz w:val="24"/>
          <w:szCs w:val="24"/>
        </w:rPr>
        <w:t>ível</w:t>
      </w:r>
      <w:r w:rsidRPr="005C60F5">
        <w:rPr>
          <w:sz w:val="24"/>
          <w:szCs w:val="24"/>
        </w:rPr>
        <w:t xml:space="preserve"> conhecer de recurso de revista</w:t>
      </w:r>
      <w:r>
        <w:rPr>
          <w:sz w:val="24"/>
          <w:szCs w:val="24"/>
        </w:rPr>
        <w:t>,</w:t>
      </w:r>
      <w:r w:rsidRPr="005C60F5">
        <w:rPr>
          <w:sz w:val="24"/>
          <w:szCs w:val="24"/>
        </w:rPr>
        <w:t xml:space="preserve"> em fase de execução</w:t>
      </w:r>
      <w:r>
        <w:rPr>
          <w:sz w:val="24"/>
          <w:szCs w:val="24"/>
        </w:rPr>
        <w:t>,</w:t>
      </w:r>
      <w:r w:rsidRPr="005C60F5">
        <w:rPr>
          <w:sz w:val="24"/>
          <w:szCs w:val="24"/>
        </w:rPr>
        <w:t xml:space="preserve"> por violação dos art</w:t>
      </w:r>
      <w:r>
        <w:rPr>
          <w:sz w:val="24"/>
          <w:szCs w:val="24"/>
        </w:rPr>
        <w:t>s.</w:t>
      </w:r>
      <w:r w:rsidRPr="005C60F5">
        <w:rPr>
          <w:sz w:val="24"/>
          <w:szCs w:val="24"/>
        </w:rPr>
        <w:t xml:space="preserve"> 5º, XXII, e 6º, da C</w:t>
      </w:r>
      <w:r>
        <w:rPr>
          <w:sz w:val="24"/>
          <w:szCs w:val="24"/>
        </w:rPr>
        <w:t>F</w:t>
      </w:r>
      <w:r w:rsidRPr="005C60F5">
        <w:rPr>
          <w:sz w:val="24"/>
          <w:szCs w:val="24"/>
        </w:rPr>
        <w:t>, na hipótese de penhora de imóvel</w:t>
      </w:r>
      <w:r>
        <w:rPr>
          <w:sz w:val="24"/>
          <w:szCs w:val="24"/>
        </w:rPr>
        <w:t xml:space="preserve"> que fora</w:t>
      </w:r>
      <w:r w:rsidRPr="005C60F5">
        <w:rPr>
          <w:sz w:val="24"/>
          <w:szCs w:val="24"/>
        </w:rPr>
        <w:t xml:space="preserve"> </w:t>
      </w:r>
      <w:r>
        <w:rPr>
          <w:sz w:val="24"/>
          <w:szCs w:val="24"/>
        </w:rPr>
        <w:t>caracterizado</w:t>
      </w:r>
      <w:r w:rsidRPr="005C60F5">
        <w:rPr>
          <w:sz w:val="24"/>
          <w:szCs w:val="24"/>
        </w:rPr>
        <w:t xml:space="preserve"> como bem de família</w:t>
      </w:r>
      <w:r>
        <w:rPr>
          <w:sz w:val="24"/>
          <w:szCs w:val="24"/>
        </w:rPr>
        <w:t xml:space="preserve">, por ser o único destinado à residência e à moradia do executado, sem registro de outros de sua propriedade </w:t>
      </w:r>
      <w:r>
        <w:rPr>
          <w:sz w:val="24"/>
          <w:szCs w:val="24"/>
        </w:rPr>
        <w:lastRenderedPageBreak/>
        <w:t>que sejam utilizados com o mesmo caráter de habitação</w:t>
      </w:r>
      <w:r w:rsidRPr="005C60F5">
        <w:rPr>
          <w:sz w:val="24"/>
          <w:szCs w:val="24"/>
        </w:rPr>
        <w:t>.</w:t>
      </w:r>
      <w:r>
        <w:rPr>
          <w:sz w:val="24"/>
          <w:szCs w:val="24"/>
        </w:rPr>
        <w:t xml:space="preserve"> </w:t>
      </w:r>
      <w:r w:rsidRPr="00595CFE">
        <w:rPr>
          <w:sz w:val="24"/>
          <w:szCs w:val="24"/>
        </w:rPr>
        <w:t>Não obstante</w:t>
      </w:r>
      <w:r>
        <w:rPr>
          <w:sz w:val="24"/>
          <w:szCs w:val="24"/>
        </w:rPr>
        <w:t xml:space="preserve"> o bem de família possa ser penhorado em determinadas circunstâncias, </w:t>
      </w:r>
      <w:r w:rsidRPr="00595CFE">
        <w:rPr>
          <w:sz w:val="24"/>
          <w:szCs w:val="24"/>
        </w:rPr>
        <w:t xml:space="preserve">a regra primeira a ser observada é a de </w:t>
      </w:r>
      <w:r>
        <w:rPr>
          <w:sz w:val="24"/>
          <w:szCs w:val="24"/>
        </w:rPr>
        <w:t>sua</w:t>
      </w:r>
      <w:r w:rsidRPr="00595CFE">
        <w:rPr>
          <w:sz w:val="24"/>
          <w:szCs w:val="24"/>
        </w:rPr>
        <w:t xml:space="preserve"> impenhorabilidade.</w:t>
      </w:r>
      <w:r>
        <w:rPr>
          <w:sz w:val="24"/>
          <w:szCs w:val="24"/>
        </w:rPr>
        <w:t xml:space="preserve"> Assim, a inobservância de tal garantia</w:t>
      </w:r>
      <w:r w:rsidRPr="00595CFE">
        <w:rPr>
          <w:sz w:val="24"/>
          <w:szCs w:val="24"/>
        </w:rPr>
        <w:t>, ainda que contida em norma infraconstitucional, implica violação</w:t>
      </w:r>
      <w:r>
        <w:rPr>
          <w:sz w:val="24"/>
          <w:szCs w:val="24"/>
        </w:rPr>
        <w:t xml:space="preserve">, por via direta, </w:t>
      </w:r>
      <w:r w:rsidRPr="00595CFE">
        <w:rPr>
          <w:sz w:val="24"/>
          <w:szCs w:val="24"/>
        </w:rPr>
        <w:t>da proteção constitucional relativa aos bens jurídicos da família que se referem à vida, à dignidade humana, à moradia e à propriedade.</w:t>
      </w:r>
      <w:r>
        <w:rPr>
          <w:sz w:val="24"/>
          <w:szCs w:val="24"/>
        </w:rPr>
        <w:t xml:space="preserve"> </w:t>
      </w:r>
      <w:r w:rsidRPr="007D253C">
        <w:rPr>
          <w:sz w:val="24"/>
          <w:szCs w:val="24"/>
        </w:rPr>
        <w:t xml:space="preserve">Sob esses fundamentos, </w:t>
      </w:r>
      <w:r w:rsidRPr="00041B7F">
        <w:rPr>
          <w:sz w:val="24"/>
          <w:szCs w:val="24"/>
        </w:rPr>
        <w:t xml:space="preserve">a </w:t>
      </w:r>
      <w:r>
        <w:rPr>
          <w:sz w:val="24"/>
          <w:szCs w:val="24"/>
        </w:rPr>
        <w:t>SBDI-I decidiu</w:t>
      </w:r>
      <w:r w:rsidRPr="00041B7F">
        <w:rPr>
          <w:sz w:val="24"/>
          <w:szCs w:val="24"/>
        </w:rPr>
        <w:t xml:space="preserve">, </w:t>
      </w:r>
      <w:r w:rsidRPr="007A367C">
        <w:rPr>
          <w:sz w:val="24"/>
          <w:szCs w:val="24"/>
        </w:rPr>
        <w:t>por maioria, conhecer do recurso de embargos, por divergência jurisprudencial, e, no mérito, ainda por maioria, neg</w:t>
      </w:r>
      <w:r>
        <w:rPr>
          <w:sz w:val="24"/>
          <w:szCs w:val="24"/>
        </w:rPr>
        <w:t>ou</w:t>
      </w:r>
      <w:r w:rsidRPr="007A367C">
        <w:rPr>
          <w:sz w:val="24"/>
          <w:szCs w:val="24"/>
        </w:rPr>
        <w:t>-lhe provimento</w:t>
      </w:r>
      <w:r>
        <w:rPr>
          <w:sz w:val="24"/>
          <w:szCs w:val="24"/>
        </w:rPr>
        <w:t xml:space="preserve"> para manter a decisão turmária que, vislumbrando violação dos art. 5º, XXII, e 6º, da CF, desconstituiu a penhora de bem imóvel e invalidou os atos posteriores dela decorrentes. Vencidos parcialmente no conhecimento e totalmente no mérito os Ministros João Oreste Dalazen e Brito Pereira. </w:t>
      </w:r>
      <w:hyperlink r:id="rId11" w:history="1">
        <w:r w:rsidRPr="00DD2378">
          <w:rPr>
            <w:rStyle w:val="Hyperlink"/>
            <w:sz w:val="24"/>
            <w:szCs w:val="24"/>
          </w:rPr>
          <w:t>TST-E-ED-RR-767-88.2011.5.01.0005</w:t>
        </w:r>
      </w:hyperlink>
      <w:r w:rsidRPr="007D253C">
        <w:rPr>
          <w:sz w:val="24"/>
          <w:szCs w:val="24"/>
          <w:u w:val="single"/>
        </w:rPr>
        <w:t xml:space="preserve">, </w:t>
      </w:r>
      <w:r>
        <w:rPr>
          <w:sz w:val="24"/>
          <w:szCs w:val="24"/>
          <w:u w:val="single"/>
        </w:rPr>
        <w:t>SBDI-I</w:t>
      </w:r>
      <w:r w:rsidRPr="007D253C">
        <w:rPr>
          <w:sz w:val="24"/>
          <w:szCs w:val="24"/>
          <w:u w:val="single"/>
        </w:rPr>
        <w:t xml:space="preserve">, rel. Min. </w:t>
      </w:r>
      <w:r w:rsidRPr="00070942">
        <w:rPr>
          <w:sz w:val="24"/>
          <w:szCs w:val="24"/>
          <w:u w:val="single"/>
        </w:rPr>
        <w:t>Alexandre Agra Belmonte</w:t>
      </w:r>
      <w:r w:rsidRPr="007D253C">
        <w:rPr>
          <w:sz w:val="24"/>
          <w:szCs w:val="24"/>
          <w:u w:val="single"/>
        </w:rPr>
        <w:t xml:space="preserve">, </w:t>
      </w:r>
      <w:r>
        <w:rPr>
          <w:sz w:val="24"/>
          <w:szCs w:val="24"/>
          <w:u w:val="single"/>
        </w:rPr>
        <w:t>4.5.2017</w:t>
      </w:r>
      <w:r w:rsidRPr="00A742B7">
        <w:rPr>
          <w:sz w:val="24"/>
          <w:szCs w:val="24"/>
        </w:rPr>
        <w:t xml:space="preserve"> </w:t>
      </w:r>
    </w:p>
    <w:p w:rsidR="00A232FF" w:rsidRDefault="00A232FF" w:rsidP="00A232FF">
      <w:pPr>
        <w:jc w:val="both"/>
        <w:rPr>
          <w:rFonts w:eastAsia="Calibri"/>
          <w:u w:val="single"/>
        </w:rPr>
      </w:pPr>
    </w:p>
    <w:p w:rsidR="00DD2378" w:rsidRPr="004E33B1" w:rsidRDefault="00DD2378" w:rsidP="00DD237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4E33B1">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SUBSEÇÃO I ESPECIALIZADA EM DISSÍDIOS INDIVIDUAIS</w:t>
      </w:r>
    </w:p>
    <w:p w:rsidR="00DD2378" w:rsidRDefault="00DD2378" w:rsidP="00A232FF">
      <w:pPr>
        <w:jc w:val="both"/>
        <w:rPr>
          <w:rFonts w:eastAsia="Calibri"/>
          <w:u w:val="single"/>
        </w:rPr>
      </w:pPr>
    </w:p>
    <w:p w:rsidR="00DD2378" w:rsidRDefault="00DD2378" w:rsidP="00DD2378">
      <w:pPr>
        <w:jc w:val="both"/>
        <w:rPr>
          <w:b/>
          <w:i/>
          <w:sz w:val="24"/>
          <w:szCs w:val="24"/>
        </w:rPr>
      </w:pPr>
      <w:r w:rsidRPr="00C509DB">
        <w:rPr>
          <w:b/>
          <w:i/>
          <w:sz w:val="24"/>
          <w:szCs w:val="24"/>
        </w:rPr>
        <w:t xml:space="preserve">Mandado de Segurança. </w:t>
      </w:r>
      <w:r>
        <w:rPr>
          <w:b/>
          <w:i/>
          <w:sz w:val="24"/>
          <w:szCs w:val="24"/>
        </w:rPr>
        <w:t>Determinação de constrição, via BacenJud, de reserva técnica de sociedade seguradora. Legalidade do ato. Ausência de registro na Susep. Art. 85 do Decreto-Lei nº 73/66.</w:t>
      </w:r>
    </w:p>
    <w:p w:rsidR="00DD2378" w:rsidRPr="00C509DB" w:rsidRDefault="00DD2378" w:rsidP="00DD2378">
      <w:pPr>
        <w:jc w:val="both"/>
        <w:rPr>
          <w:sz w:val="24"/>
          <w:szCs w:val="24"/>
        </w:rPr>
      </w:pPr>
      <w:r w:rsidRPr="00C509DB">
        <w:rPr>
          <w:sz w:val="24"/>
          <w:szCs w:val="24"/>
        </w:rPr>
        <w:t>Para a caracterização da impenhorabilidade dos ativos garantidores das reservas técnicas, das provisões e dos fundos de entidades abertas de previdência privada complementar e sociedades seguradoras é imperioso o respectivo registro na Superintendência de Seguros Privados</w:t>
      </w:r>
      <w:r>
        <w:rPr>
          <w:sz w:val="24"/>
          <w:szCs w:val="24"/>
        </w:rPr>
        <w:t xml:space="preserve"> - </w:t>
      </w:r>
      <w:r w:rsidRPr="00C509DB">
        <w:rPr>
          <w:sz w:val="24"/>
          <w:szCs w:val="24"/>
        </w:rPr>
        <w:t>S</w:t>
      </w:r>
      <w:r>
        <w:rPr>
          <w:sz w:val="24"/>
          <w:szCs w:val="24"/>
        </w:rPr>
        <w:t>usep</w:t>
      </w:r>
      <w:r w:rsidRPr="00C509DB">
        <w:rPr>
          <w:sz w:val="24"/>
          <w:szCs w:val="24"/>
        </w:rPr>
        <w:t xml:space="preserve">, nos termos do art. 85 do Decreto-Lei nº 73/66. </w:t>
      </w:r>
      <w:r>
        <w:rPr>
          <w:sz w:val="24"/>
          <w:szCs w:val="24"/>
        </w:rPr>
        <w:t xml:space="preserve">Assim, ausente demonstração do citado registro, não há falar em ilegalidade do ato do juízo da execução que determinou a constrição, junto ao sistema BacenJud, de contas e aplicações de sociedade seguradora para a satisfação de crédito trabalhista. </w:t>
      </w:r>
      <w:r w:rsidRPr="00C509DB">
        <w:rPr>
          <w:sz w:val="24"/>
          <w:szCs w:val="24"/>
        </w:rPr>
        <w:t>Sob esse entendimento, a SBDI-II, por unanimidade,</w:t>
      </w:r>
      <w:r>
        <w:rPr>
          <w:sz w:val="24"/>
          <w:szCs w:val="24"/>
        </w:rPr>
        <w:t xml:space="preserve"> conheceu do recurso ordinário em mandado de segurança e, no mérito, negou-lhe provimento. </w:t>
      </w:r>
      <w:hyperlink r:id="rId12" w:history="1">
        <w:r w:rsidRPr="00DD2378">
          <w:rPr>
            <w:rStyle w:val="Hyperlink"/>
            <w:sz w:val="24"/>
            <w:szCs w:val="24"/>
          </w:rPr>
          <w:t>TST-RO-3329-58.2011.5.02.0000</w:t>
        </w:r>
      </w:hyperlink>
      <w:r w:rsidRPr="00707971">
        <w:rPr>
          <w:sz w:val="24"/>
          <w:szCs w:val="24"/>
          <w:u w:val="single"/>
        </w:rPr>
        <w:t xml:space="preserve">, SBDI-II, rel. </w:t>
      </w:r>
      <w:r w:rsidRPr="0011748F">
        <w:rPr>
          <w:sz w:val="24"/>
          <w:szCs w:val="24"/>
          <w:u w:val="single"/>
        </w:rPr>
        <w:t>Min. Luiz Philippe Vieira de Mello Filho, 16.5.2017</w:t>
      </w:r>
    </w:p>
    <w:p w:rsidR="00DD2378" w:rsidRPr="00F1711D" w:rsidRDefault="00DD2378" w:rsidP="00A232FF">
      <w:pPr>
        <w:jc w:val="both"/>
        <w:rPr>
          <w:rFonts w:eastAsia="Calibri"/>
          <w:u w:val="single"/>
        </w:rPr>
      </w:pPr>
    </w:p>
    <w:p w:rsidR="00F1711D" w:rsidRDefault="00F1711D" w:rsidP="00A232FF">
      <w:pPr>
        <w:jc w:val="both"/>
        <w:rPr>
          <w:sz w:val="24"/>
          <w:szCs w:val="24"/>
          <w:u w:val="single"/>
        </w:rPr>
      </w:pPr>
    </w:p>
    <w:p w:rsidR="00A232FF" w:rsidRDefault="00A232FF" w:rsidP="00A232FF">
      <w:pPr>
        <w:jc w:val="both"/>
        <w:rPr>
          <w:rFonts w:eastAsia="Calibri"/>
          <w:sz w:val="24"/>
          <w:szCs w:val="24"/>
          <w:u w:val="single"/>
        </w:rPr>
      </w:pPr>
    </w:p>
    <w:p w:rsidR="00DD2378" w:rsidRDefault="00DD2378" w:rsidP="00A232FF">
      <w:pPr>
        <w:jc w:val="both"/>
        <w:rPr>
          <w:rFonts w:eastAsia="Calibri"/>
          <w:sz w:val="24"/>
          <w:szCs w:val="24"/>
          <w:u w:val="single"/>
        </w:rPr>
      </w:pPr>
    </w:p>
    <w:p w:rsidR="00A232FF" w:rsidRPr="00D30931" w:rsidRDefault="00A232FF">
      <w:pPr>
        <w:jc w:val="both"/>
        <w:rPr>
          <w:sz w:val="10"/>
          <w:szCs w:val="10"/>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w:t>
      </w:r>
      <w:r w:rsidR="00876932">
        <w:rPr>
          <w:b w:val="0"/>
          <w:bCs w:val="0"/>
          <w:snapToGrid w:val="0"/>
          <w:sz w:val="20"/>
          <w:szCs w:val="20"/>
        </w:rPr>
        <w:t>issão Nacional de Efetividade da</w:t>
      </w:r>
      <w:r>
        <w:rPr>
          <w:b w:val="0"/>
          <w:bCs w:val="0"/>
          <w:snapToGrid w:val="0"/>
          <w:sz w:val="20"/>
          <w:szCs w:val="20"/>
        </w:rPr>
        <w:t xml:space="preserv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F3" w:rsidRDefault="008F15F3">
      <w:r>
        <w:separator/>
      </w:r>
    </w:p>
  </w:endnote>
  <w:endnote w:type="continuationSeparator" w:id="0">
    <w:p w:rsidR="008F15F3" w:rsidRDefault="008F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B7" w:rsidRDefault="00EA50B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3B1">
      <w:rPr>
        <w:rStyle w:val="Nmerodepgina"/>
        <w:noProof/>
      </w:rPr>
      <w:t>2</w:t>
    </w:r>
    <w:r>
      <w:rPr>
        <w:rStyle w:val="Nmerodepgina"/>
      </w:rPr>
      <w:fldChar w:fldCharType="end"/>
    </w:r>
  </w:p>
  <w:p w:rsidR="00FE00AD" w:rsidRDefault="004E33B1">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4E33B1">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FE00AD">
      <w:rPr>
        <w:rStyle w:val="Nmerodepgina"/>
      </w:rPr>
      <w:fldChar w:fldCharType="begin"/>
    </w:r>
    <w:r w:rsidR="00FE00AD">
      <w:rPr>
        <w:rStyle w:val="Nmerodepgina"/>
      </w:rPr>
      <w:instrText xml:space="preserve"> PAGE </w:instrText>
    </w:r>
    <w:r w:rsidR="00FE00AD">
      <w:rPr>
        <w:rStyle w:val="Nmerodepgina"/>
      </w:rPr>
      <w:fldChar w:fldCharType="separate"/>
    </w:r>
    <w:r>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F3" w:rsidRDefault="008F15F3">
      <w:r>
        <w:separator/>
      </w:r>
    </w:p>
  </w:footnote>
  <w:footnote w:type="continuationSeparator" w:id="0">
    <w:p w:rsidR="008F15F3" w:rsidRDefault="008F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B7" w:rsidRDefault="00EA50B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4E33B1" w:rsidRDefault="00FE00AD">
    <w:pPr>
      <w:pStyle w:val="Corpodetexto"/>
      <w:jc w:val="right"/>
      <w:rPr>
        <w:sz w:val="24"/>
        <w:szCs w:val="24"/>
        <w14:shadow w14:blurRad="50800" w14:dist="38100" w14:dir="2700000" w14:sx="100000" w14:sy="100000" w14:kx="0" w14:ky="0" w14:algn="tl">
          <w14:srgbClr w14:val="000000">
            <w14:alpha w14:val="60000"/>
          </w14:srgbClr>
        </w14:shadow>
      </w:rPr>
    </w:pPr>
    <w:r w:rsidRPr="004E33B1">
      <w:rPr>
        <w:sz w:val="24"/>
        <w:szCs w:val="24"/>
        <w14:shadow w14:blurRad="50800" w14:dist="38100" w14:dir="2700000" w14:sx="100000" w14:sy="100000" w14:kx="0" w14:ky="0" w14:algn="tl">
          <w14:srgbClr w14:val="000000">
            <w14:alpha w14:val="60000"/>
          </w14:srgbClr>
        </w14:shadow>
      </w:rPr>
      <w:t>Informativo TST</w:t>
    </w:r>
    <w:r w:rsidR="00072A6F" w:rsidRPr="004E33B1">
      <w:rPr>
        <w:sz w:val="24"/>
        <w:szCs w:val="24"/>
        <w14:shadow w14:blurRad="50800" w14:dist="38100" w14:dir="2700000" w14:sx="100000" w14:sy="100000" w14:kx="0" w14:ky="0" w14:algn="tl">
          <w14:srgbClr w14:val="000000">
            <w14:alpha w14:val="60000"/>
          </w14:srgbClr>
        </w14:shadow>
      </w:rPr>
      <w:t xml:space="preserve"> Execução</w:t>
    </w:r>
    <w:r w:rsidRPr="004E33B1">
      <w:rPr>
        <w:sz w:val="24"/>
        <w:szCs w:val="24"/>
        <w14:shadow w14:blurRad="50800" w14:dist="38100" w14:dir="2700000" w14:sx="100000" w14:sy="100000" w14:kx="0" w14:ky="0" w14:algn="tl">
          <w14:srgbClr w14:val="000000">
            <w14:alpha w14:val="60000"/>
          </w14:srgbClr>
        </w14:shadow>
      </w:rPr>
      <w:t xml:space="preserve"> - </w:t>
    </w:r>
    <w:r w:rsidR="00986D77" w:rsidRPr="004E33B1">
      <w:rPr>
        <w:sz w:val="24"/>
        <w:szCs w:val="24"/>
        <w14:shadow w14:blurRad="50800" w14:dist="38100" w14:dir="2700000" w14:sx="100000" w14:sy="100000" w14:kx="0" w14:ky="0" w14:algn="tl">
          <w14:srgbClr w14:val="000000">
            <w14:alpha w14:val="60000"/>
          </w14:srgbClr>
        </w14:shadow>
      </w:rPr>
      <w:t>n</w:t>
    </w:r>
    <w:r w:rsidRPr="004E33B1">
      <w:rPr>
        <w:sz w:val="24"/>
        <w:szCs w:val="24"/>
        <w14:shadow w14:blurRad="50800" w14:dist="38100" w14:dir="2700000" w14:sx="100000" w14:sy="100000" w14:kx="0" w14:ky="0" w14:algn="tl">
          <w14:srgbClr w14:val="000000">
            <w14:alpha w14:val="60000"/>
          </w14:srgbClr>
        </w14:shadow>
      </w:rPr>
      <w:t xml:space="preserve">º </w:t>
    </w:r>
    <w:r w:rsidR="00F40388" w:rsidRPr="004E33B1">
      <w:rPr>
        <w:sz w:val="24"/>
        <w:szCs w:val="24"/>
        <w14:shadow w14:blurRad="50800" w14:dist="38100" w14:dir="2700000" w14:sx="100000" w14:sy="100000" w14:kx="0" w14:ky="0" w14:algn="tl">
          <w14:srgbClr w14:val="000000">
            <w14:alpha w14:val="60000"/>
          </w14:srgbClr>
        </w14:shadow>
      </w:rPr>
      <w:t>2</w:t>
    </w:r>
    <w:r w:rsidR="00B27FB0" w:rsidRPr="004E33B1">
      <w:rPr>
        <w:sz w:val="24"/>
        <w:szCs w:val="24"/>
        <w14:shadow w14:blurRad="50800" w14:dist="38100" w14:dir="2700000" w14:sx="100000" w14:sy="100000" w14:kx="0" w14:ky="0" w14:algn="tl">
          <w14:srgbClr w14:val="000000">
            <w14:alpha w14:val="60000"/>
          </w14:srgbClr>
        </w14:shadow>
      </w:rPr>
      <w:t>9</w:t>
    </w:r>
  </w:p>
  <w:p w:rsidR="00FE00AD" w:rsidRPr="00971E07" w:rsidRDefault="004E33B1">
    <w:pPr>
      <w:pStyle w:val="Ttulo6"/>
      <w:spacing w:line="360" w:lineRule="auto"/>
      <w:jc w:val="right"/>
      <w:rPr>
        <w:i/>
        <w:iCs/>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168DE">
      <w:rPr>
        <w:sz w:val="20"/>
        <w:szCs w:val="20"/>
      </w:rPr>
      <w:t xml:space="preserve">Período: </w:t>
    </w:r>
    <w:r w:rsidR="0079433C">
      <w:rPr>
        <w:sz w:val="20"/>
        <w:szCs w:val="20"/>
      </w:rPr>
      <w:t>1</w:t>
    </w:r>
    <w:r w:rsidR="00B27FB0">
      <w:rPr>
        <w:sz w:val="20"/>
        <w:szCs w:val="20"/>
      </w:rPr>
      <w:t>3</w:t>
    </w:r>
    <w:r w:rsidR="00F40388">
      <w:rPr>
        <w:sz w:val="20"/>
        <w:szCs w:val="20"/>
      </w:rPr>
      <w:t xml:space="preserve"> de</w:t>
    </w:r>
    <w:r w:rsidR="00C20DC8">
      <w:rPr>
        <w:sz w:val="20"/>
        <w:szCs w:val="20"/>
      </w:rPr>
      <w:t xml:space="preserve"> </w:t>
    </w:r>
    <w:r w:rsidR="00F1711D">
      <w:rPr>
        <w:sz w:val="20"/>
        <w:szCs w:val="20"/>
      </w:rPr>
      <w:t>dezembro</w:t>
    </w:r>
    <w:r w:rsidR="00C20DC8">
      <w:rPr>
        <w:sz w:val="20"/>
        <w:szCs w:val="20"/>
      </w:rPr>
      <w:t xml:space="preserve"> de </w:t>
    </w:r>
    <w:r w:rsidR="00FE00AD" w:rsidRPr="00971E07">
      <w:rPr>
        <w:sz w:val="20"/>
        <w:szCs w:val="20"/>
      </w:rPr>
      <w:t>20</w:t>
    </w:r>
    <w:r w:rsidR="00E16E01" w:rsidRPr="00971E07">
      <w:rPr>
        <w:sz w:val="20"/>
        <w:szCs w:val="20"/>
      </w:rPr>
      <w:t>1</w:t>
    </w:r>
    <w:r w:rsidR="00F40388">
      <w:rPr>
        <w:sz w:val="20"/>
        <w:szCs w:val="20"/>
      </w:rPr>
      <w:t>6</w:t>
    </w:r>
    <w:r w:rsidR="00B27FB0">
      <w:rPr>
        <w:sz w:val="20"/>
        <w:szCs w:val="20"/>
      </w:rPr>
      <w:t xml:space="preserve"> a 6 de março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8C1F97">
    <w:pPr>
      <w:pStyle w:val="Cabealho"/>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rsidR="004E33B1">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EA50B7">
      <w:rPr>
        <w:b/>
        <w:sz w:val="40"/>
        <w:szCs w:val="40"/>
      </w:rPr>
      <w:t>30</w:t>
    </w:r>
  </w:p>
  <w:p w:rsidR="00FE00AD" w:rsidRPr="005D1DE4" w:rsidRDefault="005221E4">
    <w:pPr>
      <w:pStyle w:val="Cabealho"/>
      <w:jc w:val="right"/>
      <w:rPr>
        <w:i/>
        <w:iCs/>
        <w:sz w:val="10"/>
        <w:szCs w:val="10"/>
      </w:rPr>
    </w:pPr>
    <w:r>
      <w:rPr>
        <w:i/>
        <w:iCs/>
      </w:rPr>
      <w:t>Período:</w:t>
    </w:r>
    <w:r w:rsidR="00876932">
      <w:rPr>
        <w:i/>
        <w:iCs/>
      </w:rPr>
      <w:t xml:space="preserve"> </w:t>
    </w:r>
    <w:r w:rsidR="00EA50B7">
      <w:rPr>
        <w:i/>
        <w:iCs/>
      </w:rPr>
      <w:t>7 de março a 1</w:t>
    </w:r>
    <w:r w:rsidR="00B27FB0">
      <w:rPr>
        <w:i/>
        <w:iCs/>
      </w:rPr>
      <w:t>6 de ma</w:t>
    </w:r>
    <w:r w:rsidR="00EA50B7">
      <w:rPr>
        <w:i/>
        <w:iCs/>
      </w:rPr>
      <w:t>io</w:t>
    </w:r>
    <w:r w:rsidR="00B27FB0">
      <w:rPr>
        <w:i/>
        <w:iCs/>
      </w:rPr>
      <w:t xml:space="preserve"> de 2017</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F4E"/>
    <w:rsid w:val="0001157D"/>
    <w:rsid w:val="000228E6"/>
    <w:rsid w:val="00032056"/>
    <w:rsid w:val="000322FB"/>
    <w:rsid w:val="000425FC"/>
    <w:rsid w:val="00050E85"/>
    <w:rsid w:val="00056752"/>
    <w:rsid w:val="00057B87"/>
    <w:rsid w:val="0006020E"/>
    <w:rsid w:val="000632E4"/>
    <w:rsid w:val="00072A6F"/>
    <w:rsid w:val="000733B4"/>
    <w:rsid w:val="00073880"/>
    <w:rsid w:val="00075BDB"/>
    <w:rsid w:val="00080F10"/>
    <w:rsid w:val="0009237D"/>
    <w:rsid w:val="00093AE9"/>
    <w:rsid w:val="00093BA8"/>
    <w:rsid w:val="000A04E6"/>
    <w:rsid w:val="000B3BE1"/>
    <w:rsid w:val="000B4D41"/>
    <w:rsid w:val="000B67DF"/>
    <w:rsid w:val="000B7CDE"/>
    <w:rsid w:val="000C3022"/>
    <w:rsid w:val="000C672B"/>
    <w:rsid w:val="000D0FC8"/>
    <w:rsid w:val="000E0A91"/>
    <w:rsid w:val="000E0B8C"/>
    <w:rsid w:val="000E766E"/>
    <w:rsid w:val="00110AE4"/>
    <w:rsid w:val="0011575C"/>
    <w:rsid w:val="0011692E"/>
    <w:rsid w:val="00126301"/>
    <w:rsid w:val="00137564"/>
    <w:rsid w:val="00137DC1"/>
    <w:rsid w:val="001418E3"/>
    <w:rsid w:val="0015612D"/>
    <w:rsid w:val="001655D0"/>
    <w:rsid w:val="00176D15"/>
    <w:rsid w:val="00184590"/>
    <w:rsid w:val="00187762"/>
    <w:rsid w:val="00187A37"/>
    <w:rsid w:val="0019151D"/>
    <w:rsid w:val="00193208"/>
    <w:rsid w:val="0019725D"/>
    <w:rsid w:val="001C04D2"/>
    <w:rsid w:val="001C271F"/>
    <w:rsid w:val="001C6C93"/>
    <w:rsid w:val="001D4CF9"/>
    <w:rsid w:val="001D5AB0"/>
    <w:rsid w:val="001D757D"/>
    <w:rsid w:val="001E14BB"/>
    <w:rsid w:val="001E4B57"/>
    <w:rsid w:val="001E5BD1"/>
    <w:rsid w:val="001E713B"/>
    <w:rsid w:val="001F030F"/>
    <w:rsid w:val="00203892"/>
    <w:rsid w:val="00206810"/>
    <w:rsid w:val="002168DE"/>
    <w:rsid w:val="00224AC2"/>
    <w:rsid w:val="0023559D"/>
    <w:rsid w:val="002402B0"/>
    <w:rsid w:val="002449F9"/>
    <w:rsid w:val="002635ED"/>
    <w:rsid w:val="002662BA"/>
    <w:rsid w:val="00266D49"/>
    <w:rsid w:val="00271C5C"/>
    <w:rsid w:val="00271E67"/>
    <w:rsid w:val="002730B5"/>
    <w:rsid w:val="00277CC6"/>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40C8"/>
    <w:rsid w:val="00396053"/>
    <w:rsid w:val="003A2774"/>
    <w:rsid w:val="003A4086"/>
    <w:rsid w:val="003A5E5B"/>
    <w:rsid w:val="003A75E8"/>
    <w:rsid w:val="003B045C"/>
    <w:rsid w:val="003B0A59"/>
    <w:rsid w:val="003B3EB5"/>
    <w:rsid w:val="003B4E23"/>
    <w:rsid w:val="003B767E"/>
    <w:rsid w:val="003C3F95"/>
    <w:rsid w:val="003C6FE7"/>
    <w:rsid w:val="003D032E"/>
    <w:rsid w:val="003D399C"/>
    <w:rsid w:val="003D4205"/>
    <w:rsid w:val="003F2078"/>
    <w:rsid w:val="003F49C6"/>
    <w:rsid w:val="003F7ADC"/>
    <w:rsid w:val="0042772A"/>
    <w:rsid w:val="0042781A"/>
    <w:rsid w:val="004323B0"/>
    <w:rsid w:val="00434655"/>
    <w:rsid w:val="004407B4"/>
    <w:rsid w:val="00444C71"/>
    <w:rsid w:val="00444E88"/>
    <w:rsid w:val="0045657C"/>
    <w:rsid w:val="004655CC"/>
    <w:rsid w:val="00466DB9"/>
    <w:rsid w:val="00473238"/>
    <w:rsid w:val="00474C4A"/>
    <w:rsid w:val="00481282"/>
    <w:rsid w:val="00486521"/>
    <w:rsid w:val="00486DFC"/>
    <w:rsid w:val="004922D6"/>
    <w:rsid w:val="004A14FC"/>
    <w:rsid w:val="004A4DC6"/>
    <w:rsid w:val="004A5264"/>
    <w:rsid w:val="004B21AD"/>
    <w:rsid w:val="004C011C"/>
    <w:rsid w:val="004C14EA"/>
    <w:rsid w:val="004C2118"/>
    <w:rsid w:val="004C2612"/>
    <w:rsid w:val="004D2DB8"/>
    <w:rsid w:val="004D6000"/>
    <w:rsid w:val="004D6415"/>
    <w:rsid w:val="004D71E8"/>
    <w:rsid w:val="004E33B1"/>
    <w:rsid w:val="004E393E"/>
    <w:rsid w:val="004E4507"/>
    <w:rsid w:val="004E4619"/>
    <w:rsid w:val="004F0A7D"/>
    <w:rsid w:val="004F6939"/>
    <w:rsid w:val="0051538E"/>
    <w:rsid w:val="00517E01"/>
    <w:rsid w:val="00521EEC"/>
    <w:rsid w:val="005221E4"/>
    <w:rsid w:val="00525E80"/>
    <w:rsid w:val="005347E7"/>
    <w:rsid w:val="00534BC6"/>
    <w:rsid w:val="005460BD"/>
    <w:rsid w:val="00553197"/>
    <w:rsid w:val="0055409E"/>
    <w:rsid w:val="00556367"/>
    <w:rsid w:val="00556B35"/>
    <w:rsid w:val="00573E13"/>
    <w:rsid w:val="00584F82"/>
    <w:rsid w:val="00591DFA"/>
    <w:rsid w:val="00594854"/>
    <w:rsid w:val="00594EA8"/>
    <w:rsid w:val="005A5695"/>
    <w:rsid w:val="005A779D"/>
    <w:rsid w:val="005B2F00"/>
    <w:rsid w:val="005B57DE"/>
    <w:rsid w:val="005C1886"/>
    <w:rsid w:val="005C761E"/>
    <w:rsid w:val="005D0E5F"/>
    <w:rsid w:val="005D1DE4"/>
    <w:rsid w:val="005D4F86"/>
    <w:rsid w:val="005E1A86"/>
    <w:rsid w:val="005E35BD"/>
    <w:rsid w:val="005E3D4D"/>
    <w:rsid w:val="005E7FD1"/>
    <w:rsid w:val="005F2858"/>
    <w:rsid w:val="006002E3"/>
    <w:rsid w:val="006069B0"/>
    <w:rsid w:val="006145AC"/>
    <w:rsid w:val="00615F98"/>
    <w:rsid w:val="00621F9C"/>
    <w:rsid w:val="00631166"/>
    <w:rsid w:val="00631F1C"/>
    <w:rsid w:val="006366A4"/>
    <w:rsid w:val="006456B1"/>
    <w:rsid w:val="006564EC"/>
    <w:rsid w:val="00660228"/>
    <w:rsid w:val="0066084C"/>
    <w:rsid w:val="006672B8"/>
    <w:rsid w:val="006672C1"/>
    <w:rsid w:val="00672CF9"/>
    <w:rsid w:val="00672E11"/>
    <w:rsid w:val="0068273B"/>
    <w:rsid w:val="00691234"/>
    <w:rsid w:val="006931CC"/>
    <w:rsid w:val="006947F2"/>
    <w:rsid w:val="00697919"/>
    <w:rsid w:val="006B0315"/>
    <w:rsid w:val="006B3FCF"/>
    <w:rsid w:val="006B46CA"/>
    <w:rsid w:val="006C0391"/>
    <w:rsid w:val="006C0F93"/>
    <w:rsid w:val="006C28B3"/>
    <w:rsid w:val="006D1F66"/>
    <w:rsid w:val="006D306E"/>
    <w:rsid w:val="006D4497"/>
    <w:rsid w:val="006F6C15"/>
    <w:rsid w:val="0070727E"/>
    <w:rsid w:val="00710D3A"/>
    <w:rsid w:val="0071315F"/>
    <w:rsid w:val="00721942"/>
    <w:rsid w:val="00722967"/>
    <w:rsid w:val="00722BE7"/>
    <w:rsid w:val="00732DF2"/>
    <w:rsid w:val="007614F1"/>
    <w:rsid w:val="007618C5"/>
    <w:rsid w:val="00763644"/>
    <w:rsid w:val="00764066"/>
    <w:rsid w:val="00776118"/>
    <w:rsid w:val="007767E8"/>
    <w:rsid w:val="00792542"/>
    <w:rsid w:val="0079433C"/>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7E5"/>
    <w:rsid w:val="00854DB8"/>
    <w:rsid w:val="00854EF2"/>
    <w:rsid w:val="00863B86"/>
    <w:rsid w:val="00871F69"/>
    <w:rsid w:val="00876932"/>
    <w:rsid w:val="008828E4"/>
    <w:rsid w:val="008842D0"/>
    <w:rsid w:val="00884AC4"/>
    <w:rsid w:val="0088579D"/>
    <w:rsid w:val="008A0E41"/>
    <w:rsid w:val="008A7953"/>
    <w:rsid w:val="008B3081"/>
    <w:rsid w:val="008B32D4"/>
    <w:rsid w:val="008C1F97"/>
    <w:rsid w:val="008D0020"/>
    <w:rsid w:val="008D3C38"/>
    <w:rsid w:val="008D6A05"/>
    <w:rsid w:val="008E2AE5"/>
    <w:rsid w:val="008E3F89"/>
    <w:rsid w:val="008F15F3"/>
    <w:rsid w:val="008F26CB"/>
    <w:rsid w:val="008F4AEC"/>
    <w:rsid w:val="008F6509"/>
    <w:rsid w:val="008F79D9"/>
    <w:rsid w:val="009027C8"/>
    <w:rsid w:val="00913D22"/>
    <w:rsid w:val="00930E93"/>
    <w:rsid w:val="0093467A"/>
    <w:rsid w:val="00936352"/>
    <w:rsid w:val="0094155C"/>
    <w:rsid w:val="00943437"/>
    <w:rsid w:val="00951531"/>
    <w:rsid w:val="00952ED9"/>
    <w:rsid w:val="00957CAC"/>
    <w:rsid w:val="00960A3B"/>
    <w:rsid w:val="00967DE0"/>
    <w:rsid w:val="00971E07"/>
    <w:rsid w:val="00980944"/>
    <w:rsid w:val="00986D77"/>
    <w:rsid w:val="009943EC"/>
    <w:rsid w:val="009A32D5"/>
    <w:rsid w:val="009A7184"/>
    <w:rsid w:val="009B6012"/>
    <w:rsid w:val="009C102D"/>
    <w:rsid w:val="009C2A4F"/>
    <w:rsid w:val="009D4C59"/>
    <w:rsid w:val="009D7F91"/>
    <w:rsid w:val="009E20EF"/>
    <w:rsid w:val="009E26EE"/>
    <w:rsid w:val="009F21A2"/>
    <w:rsid w:val="00A007E0"/>
    <w:rsid w:val="00A1108F"/>
    <w:rsid w:val="00A232FF"/>
    <w:rsid w:val="00A32FBF"/>
    <w:rsid w:val="00A407EA"/>
    <w:rsid w:val="00A4368C"/>
    <w:rsid w:val="00A51749"/>
    <w:rsid w:val="00A521B6"/>
    <w:rsid w:val="00A56962"/>
    <w:rsid w:val="00A6412C"/>
    <w:rsid w:val="00A73C7A"/>
    <w:rsid w:val="00A75419"/>
    <w:rsid w:val="00A76661"/>
    <w:rsid w:val="00A76D2A"/>
    <w:rsid w:val="00A82081"/>
    <w:rsid w:val="00A8557E"/>
    <w:rsid w:val="00A91181"/>
    <w:rsid w:val="00A935AC"/>
    <w:rsid w:val="00AA4939"/>
    <w:rsid w:val="00AB299E"/>
    <w:rsid w:val="00AB507C"/>
    <w:rsid w:val="00AD6E76"/>
    <w:rsid w:val="00AE3EAA"/>
    <w:rsid w:val="00AE5EDF"/>
    <w:rsid w:val="00AF102C"/>
    <w:rsid w:val="00B12CCB"/>
    <w:rsid w:val="00B14F7F"/>
    <w:rsid w:val="00B16EB9"/>
    <w:rsid w:val="00B22F24"/>
    <w:rsid w:val="00B22F53"/>
    <w:rsid w:val="00B24DBE"/>
    <w:rsid w:val="00B27FB0"/>
    <w:rsid w:val="00B328A2"/>
    <w:rsid w:val="00B34EB2"/>
    <w:rsid w:val="00B514FE"/>
    <w:rsid w:val="00B517C3"/>
    <w:rsid w:val="00B518B2"/>
    <w:rsid w:val="00B526EA"/>
    <w:rsid w:val="00B536FE"/>
    <w:rsid w:val="00B619B3"/>
    <w:rsid w:val="00B73FFA"/>
    <w:rsid w:val="00B76A85"/>
    <w:rsid w:val="00B819BC"/>
    <w:rsid w:val="00B874F1"/>
    <w:rsid w:val="00BC1DE7"/>
    <w:rsid w:val="00BC5AEE"/>
    <w:rsid w:val="00BD6029"/>
    <w:rsid w:val="00BE0541"/>
    <w:rsid w:val="00BE1ADB"/>
    <w:rsid w:val="00C070DE"/>
    <w:rsid w:val="00C1089B"/>
    <w:rsid w:val="00C20DC8"/>
    <w:rsid w:val="00C210C3"/>
    <w:rsid w:val="00C26DFB"/>
    <w:rsid w:val="00C273FA"/>
    <w:rsid w:val="00C30D06"/>
    <w:rsid w:val="00C35E04"/>
    <w:rsid w:val="00C42067"/>
    <w:rsid w:val="00C432D0"/>
    <w:rsid w:val="00C4398E"/>
    <w:rsid w:val="00C4737F"/>
    <w:rsid w:val="00C60B4A"/>
    <w:rsid w:val="00C62C5E"/>
    <w:rsid w:val="00C65BDB"/>
    <w:rsid w:val="00C71A3B"/>
    <w:rsid w:val="00C76810"/>
    <w:rsid w:val="00C76CFA"/>
    <w:rsid w:val="00C90469"/>
    <w:rsid w:val="00C963F8"/>
    <w:rsid w:val="00C96BB1"/>
    <w:rsid w:val="00CA1806"/>
    <w:rsid w:val="00CA2F80"/>
    <w:rsid w:val="00CB0C2A"/>
    <w:rsid w:val="00CC0DA6"/>
    <w:rsid w:val="00CC4B2B"/>
    <w:rsid w:val="00CC579C"/>
    <w:rsid w:val="00CC5F5F"/>
    <w:rsid w:val="00CD3460"/>
    <w:rsid w:val="00CD4B61"/>
    <w:rsid w:val="00CD5043"/>
    <w:rsid w:val="00CE2928"/>
    <w:rsid w:val="00CE314A"/>
    <w:rsid w:val="00D01C50"/>
    <w:rsid w:val="00D11B24"/>
    <w:rsid w:val="00D133C8"/>
    <w:rsid w:val="00D14DB8"/>
    <w:rsid w:val="00D244D5"/>
    <w:rsid w:val="00D24840"/>
    <w:rsid w:val="00D2776A"/>
    <w:rsid w:val="00D30931"/>
    <w:rsid w:val="00D317F2"/>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2378"/>
    <w:rsid w:val="00DD3FA0"/>
    <w:rsid w:val="00DE5B2D"/>
    <w:rsid w:val="00DE5CE9"/>
    <w:rsid w:val="00E03064"/>
    <w:rsid w:val="00E04BD5"/>
    <w:rsid w:val="00E04DAF"/>
    <w:rsid w:val="00E070D2"/>
    <w:rsid w:val="00E1539C"/>
    <w:rsid w:val="00E162B6"/>
    <w:rsid w:val="00E16E01"/>
    <w:rsid w:val="00E24A50"/>
    <w:rsid w:val="00E35639"/>
    <w:rsid w:val="00E36856"/>
    <w:rsid w:val="00E41702"/>
    <w:rsid w:val="00E432CC"/>
    <w:rsid w:val="00E50711"/>
    <w:rsid w:val="00E60EDA"/>
    <w:rsid w:val="00E62BBC"/>
    <w:rsid w:val="00E73DEC"/>
    <w:rsid w:val="00E9503C"/>
    <w:rsid w:val="00E956D9"/>
    <w:rsid w:val="00EA1958"/>
    <w:rsid w:val="00EA29F5"/>
    <w:rsid w:val="00EA2CD7"/>
    <w:rsid w:val="00EA482D"/>
    <w:rsid w:val="00EA50B7"/>
    <w:rsid w:val="00EB5FE6"/>
    <w:rsid w:val="00EB61A5"/>
    <w:rsid w:val="00EB7A09"/>
    <w:rsid w:val="00EC5AF4"/>
    <w:rsid w:val="00ED2734"/>
    <w:rsid w:val="00ED661C"/>
    <w:rsid w:val="00EE41B5"/>
    <w:rsid w:val="00EE66C9"/>
    <w:rsid w:val="00EF11A9"/>
    <w:rsid w:val="00EF38E1"/>
    <w:rsid w:val="00EF749A"/>
    <w:rsid w:val="00EF771E"/>
    <w:rsid w:val="00F02565"/>
    <w:rsid w:val="00F05542"/>
    <w:rsid w:val="00F1711D"/>
    <w:rsid w:val="00F17A2C"/>
    <w:rsid w:val="00F26708"/>
    <w:rsid w:val="00F31D0C"/>
    <w:rsid w:val="00F402B4"/>
    <w:rsid w:val="00F40388"/>
    <w:rsid w:val="00F511EE"/>
    <w:rsid w:val="00F511F9"/>
    <w:rsid w:val="00F558E7"/>
    <w:rsid w:val="00F57F9E"/>
    <w:rsid w:val="00F62016"/>
    <w:rsid w:val="00F63F44"/>
    <w:rsid w:val="00F6746D"/>
    <w:rsid w:val="00F7499A"/>
    <w:rsid w:val="00F760B5"/>
    <w:rsid w:val="00F768EF"/>
    <w:rsid w:val="00F811CD"/>
    <w:rsid w:val="00F82D8F"/>
    <w:rsid w:val="00F83F62"/>
    <w:rsid w:val="00F9711D"/>
    <w:rsid w:val="00F97550"/>
    <w:rsid w:val="00F979EA"/>
    <w:rsid w:val="00FA75E0"/>
    <w:rsid w:val="00FB20B1"/>
    <w:rsid w:val="00FB3AB4"/>
    <w:rsid w:val="00FC39C3"/>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F31D0C"/>
    <w:rPr>
      <w:color w:val="800080"/>
      <w:u w:val="single"/>
    </w:rPr>
  </w:style>
  <w:style w:type="character" w:customStyle="1" w:styleId="f51">
    <w:name w:val="f51"/>
    <w:rsid w:val="00876932"/>
    <w:rPr>
      <w:rFonts w:ascii="Times" w:hAnsi="Times"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styleId="HiperlinkVisitado">
    <w:name w:val="FollowedHyperlink"/>
    <w:uiPriority w:val="99"/>
    <w:semiHidden/>
    <w:unhideWhenUsed/>
    <w:rsid w:val="00F31D0C"/>
    <w:rPr>
      <w:color w:val="800080"/>
      <w:u w:val="single"/>
    </w:rPr>
  </w:style>
  <w:style w:type="character" w:customStyle="1" w:styleId="f51">
    <w:name w:val="f51"/>
    <w:rsid w:val="00876932"/>
    <w:rPr>
      <w:rFonts w:ascii="Times" w:hAnsi="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3329&amp;digitoTst=58&amp;anoTst=2011&amp;orgaoTst=5&amp;tribunalTst=02&amp;varaTst=00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767&amp;digitoTst=88&amp;anoTst=2011&amp;orgaoTst=5&amp;tribunalTst=01&amp;varaTst=00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843&amp;digitoTst=88&amp;anoTst=2012&amp;orgaoTst=5&amp;tribunalTst=15&amp;varaTst=004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479&amp;digitoTst=60&amp;anoTst=2011&amp;orgaoTst=5&amp;tribunalTst=04&amp;varaTst=0231"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EFEC-90DF-4739-945F-F862B79C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6751</CharactersWithSpaces>
  <SharedDoc>false</SharedDoc>
  <HLinks>
    <vt:vector size="24" baseType="variant">
      <vt:variant>
        <vt:i4>2949240</vt:i4>
      </vt:variant>
      <vt:variant>
        <vt:i4>9</vt:i4>
      </vt:variant>
      <vt:variant>
        <vt:i4>0</vt:i4>
      </vt:variant>
      <vt:variant>
        <vt:i4>5</vt:i4>
      </vt:variant>
      <vt:variant>
        <vt:lpwstr>http://aplicacao4.tst.jus.br/consultaProcessual/consultaTstNumUnica.do?consulta=Consultar&amp;conscsjt=&amp;numeroTst=3329&amp;digitoTst=58&amp;anoTst=2011&amp;orgaoTst=5&amp;tribunalTst=02&amp;varaTst=0000</vt:lpwstr>
      </vt:variant>
      <vt:variant>
        <vt:lpwstr/>
      </vt:variant>
      <vt:variant>
        <vt:i4>5308423</vt:i4>
      </vt:variant>
      <vt:variant>
        <vt:i4>6</vt:i4>
      </vt:variant>
      <vt:variant>
        <vt:i4>0</vt:i4>
      </vt:variant>
      <vt:variant>
        <vt:i4>5</vt:i4>
      </vt:variant>
      <vt:variant>
        <vt:lpwstr>http://aplicacao4.tst.jus.br/consultaProcessual/consultaTstNumUnica.do?consulta=Consultar&amp;conscsjt=&amp;numeroTst=767&amp;digitoTst=88&amp;anoTst=2011&amp;orgaoTst=5&amp;tribunalTst=01&amp;varaTst=0005</vt:lpwstr>
      </vt:variant>
      <vt:variant>
        <vt:lpwstr/>
      </vt:variant>
      <vt:variant>
        <vt:i4>2687100</vt:i4>
      </vt:variant>
      <vt:variant>
        <vt:i4>3</vt:i4>
      </vt:variant>
      <vt:variant>
        <vt:i4>0</vt:i4>
      </vt:variant>
      <vt:variant>
        <vt:i4>5</vt:i4>
      </vt:variant>
      <vt:variant>
        <vt:lpwstr>http://aplicacao4.tst.jus.br/consultaProcessual/consultaTstNumUnica.do?consulta=Consultar&amp;conscsjt=&amp;numeroTst=1843&amp;digitoTst=88&amp;anoTst=2012&amp;orgaoTst=5&amp;tribunalTst=15&amp;varaTst=0049</vt:lpwstr>
      </vt:variant>
      <vt:variant>
        <vt:lpwstr/>
      </vt:variant>
      <vt:variant>
        <vt:i4>6160390</vt:i4>
      </vt:variant>
      <vt:variant>
        <vt:i4>0</vt:i4>
      </vt:variant>
      <vt:variant>
        <vt:i4>0</vt:i4>
      </vt:variant>
      <vt:variant>
        <vt:i4>5</vt:i4>
      </vt:variant>
      <vt:variant>
        <vt:lpwstr>http://aplicacao4.tst.jus.br/consultaProcessual/consultaTstNumUnica.do?consulta=Consultar&amp;conscsjt=&amp;numeroTst=479&amp;digitoTst=60&amp;anoTst=2011&amp;orgaoTst=5&amp;tribunalTst=04&amp;varaTst=0231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2016-02-26T20:47:00Z</cp:lastPrinted>
  <dcterms:created xsi:type="dcterms:W3CDTF">2017-07-28T20:47:00Z</dcterms:created>
  <dcterms:modified xsi:type="dcterms:W3CDTF">2017-07-28T20:47:00Z</dcterms:modified>
</cp:coreProperties>
</file>