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963D6F" w:rsidRPr="00750D8F" w:rsidRDefault="00A0468E" w:rsidP="00963D6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50D8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963D6F" w:rsidRDefault="00963D6F" w:rsidP="00963D6F">
      <w:pPr>
        <w:jc w:val="both"/>
        <w:rPr>
          <w:u w:val="single"/>
        </w:rPr>
      </w:pPr>
    </w:p>
    <w:p w:rsidR="00A0468E" w:rsidRDefault="00A0468E" w:rsidP="00A0468E">
      <w:pPr>
        <w:jc w:val="both"/>
        <w:rPr>
          <w:b/>
          <w:i/>
          <w:sz w:val="24"/>
          <w:szCs w:val="24"/>
        </w:rPr>
      </w:pPr>
      <w:r>
        <w:rPr>
          <w:b/>
          <w:i/>
          <w:sz w:val="24"/>
          <w:szCs w:val="24"/>
        </w:rPr>
        <w:t>Incidente de Recursos de Revista Repetitivos. “Tema nº 0007 – TAP Manutenção e Engenharia Brasil S.A. Ilegitimidade passiva. Grupo econômico. Responsabilidade solidária. Empresa que não mais integra o grupo econômico”.</w:t>
      </w:r>
    </w:p>
    <w:p w:rsidR="00A0468E" w:rsidRDefault="00A0468E" w:rsidP="00A0468E">
      <w:pPr>
        <w:jc w:val="both"/>
        <w:rPr>
          <w:sz w:val="24"/>
          <w:szCs w:val="24"/>
        </w:rPr>
      </w:pPr>
      <w:r>
        <w:rPr>
          <w:sz w:val="24"/>
          <w:szCs w:val="24"/>
        </w:rPr>
        <w:t>O Tribunal Pleno, por maioria, definiu a</w:t>
      </w:r>
      <w:r w:rsidRPr="00EE5604">
        <w:rPr>
          <w:sz w:val="24"/>
          <w:szCs w:val="24"/>
        </w:rPr>
        <w:t xml:space="preserve"> seguinte tese jurídica para o Tema Repetitivo nº </w:t>
      </w:r>
      <w:r w:rsidRPr="001145C7">
        <w:rPr>
          <w:sz w:val="24"/>
          <w:szCs w:val="24"/>
        </w:rPr>
        <w:t>0007 – TAP MANUTENÇÃO E ENGENHARIA BRASIL S.A. ILEGITIMIDADE PASSIVA. GRUPO ECONÔMICO. RESPONSABILIDADE SOLIDÁRIA. EMPRESA QUE NÃO MAIS INTEGRA O GRUPO ECONÔMICO:</w:t>
      </w:r>
      <w:r>
        <w:rPr>
          <w:sz w:val="24"/>
          <w:szCs w:val="24"/>
        </w:rPr>
        <w:t xml:space="preserve"> </w:t>
      </w:r>
      <w:r w:rsidRPr="005536FA">
        <w:rPr>
          <w:sz w:val="24"/>
          <w:szCs w:val="24"/>
        </w:rPr>
        <w:t xml:space="preserve">nos termos dos artigos 60, parágrafo único, e 141, II, da Lei nº 11.101/2005, a TAP </w:t>
      </w:r>
      <w:r>
        <w:rPr>
          <w:sz w:val="24"/>
          <w:szCs w:val="24"/>
        </w:rPr>
        <w:t>Manutenção e Engenharia Brasil S.A.</w:t>
      </w:r>
      <w:r w:rsidRPr="005536FA">
        <w:rPr>
          <w:sz w:val="24"/>
          <w:szCs w:val="24"/>
        </w:rPr>
        <w:t xml:space="preserve"> não poderá ser responsabilizada por obrigações de natureza trabalhista da V</w:t>
      </w:r>
      <w:r>
        <w:rPr>
          <w:sz w:val="24"/>
          <w:szCs w:val="24"/>
        </w:rPr>
        <w:t>arig</w:t>
      </w:r>
      <w:r w:rsidRPr="005536FA">
        <w:rPr>
          <w:sz w:val="24"/>
          <w:szCs w:val="24"/>
        </w:rPr>
        <w:t xml:space="preserve"> S.A. pelo fato de haver adquirido a V</w:t>
      </w:r>
      <w:r>
        <w:rPr>
          <w:sz w:val="24"/>
          <w:szCs w:val="24"/>
        </w:rPr>
        <w:t>em</w:t>
      </w:r>
      <w:r w:rsidRPr="005536FA">
        <w:rPr>
          <w:sz w:val="24"/>
          <w:szCs w:val="24"/>
        </w:rPr>
        <w:t xml:space="preserve"> S.A., empresa que compunha grupo econômico com a segunda.</w:t>
      </w:r>
      <w:r>
        <w:rPr>
          <w:sz w:val="24"/>
          <w:szCs w:val="24"/>
        </w:rPr>
        <w:t xml:space="preserve"> Vencidos os Ministros Márcio Eurico Vitral Amaro, revisor, Augusto César Leite de Carvalho e Aloysio Corrêa da Veiga, os quais </w:t>
      </w:r>
      <w:r w:rsidRPr="005536FA">
        <w:rPr>
          <w:sz w:val="24"/>
          <w:szCs w:val="24"/>
        </w:rPr>
        <w:t>entendiam inaplicáv</w:t>
      </w:r>
      <w:r>
        <w:rPr>
          <w:sz w:val="24"/>
          <w:szCs w:val="24"/>
        </w:rPr>
        <w:t xml:space="preserve">el o preceito insculpido no art. </w:t>
      </w:r>
      <w:r w:rsidRPr="005536FA">
        <w:rPr>
          <w:sz w:val="24"/>
          <w:szCs w:val="24"/>
        </w:rPr>
        <w:t>60, parágrafo único, da Lei nº 11.101/2005 aos casos envolvendo a venda de ativos da V</w:t>
      </w:r>
      <w:r>
        <w:rPr>
          <w:sz w:val="24"/>
          <w:szCs w:val="24"/>
        </w:rPr>
        <w:t>em</w:t>
      </w:r>
      <w:r w:rsidRPr="005536FA">
        <w:rPr>
          <w:sz w:val="24"/>
          <w:szCs w:val="24"/>
        </w:rPr>
        <w:t xml:space="preserve"> S.A, e os Ministros Kátia Magalhães Arruda, Mauricio Godinho Delgado, José Roberto Freire Pimenta e Delaíde Miranda Arantes, que entendiam inaplicáveis o art. 60 da Lei </w:t>
      </w:r>
      <w:r>
        <w:rPr>
          <w:sz w:val="24"/>
          <w:szCs w:val="24"/>
        </w:rPr>
        <w:t xml:space="preserve">nº </w:t>
      </w:r>
      <w:r w:rsidRPr="005536FA">
        <w:rPr>
          <w:sz w:val="24"/>
          <w:szCs w:val="24"/>
        </w:rPr>
        <w:t>11.101/</w:t>
      </w:r>
      <w:r>
        <w:rPr>
          <w:sz w:val="24"/>
          <w:szCs w:val="24"/>
        </w:rPr>
        <w:t>20</w:t>
      </w:r>
      <w:r w:rsidRPr="005536FA">
        <w:rPr>
          <w:sz w:val="24"/>
          <w:szCs w:val="24"/>
        </w:rPr>
        <w:t>05 e a Orientação Jurisprudencial</w:t>
      </w:r>
      <w:r>
        <w:rPr>
          <w:sz w:val="24"/>
          <w:szCs w:val="24"/>
        </w:rPr>
        <w:t xml:space="preserve"> nº 411 da SBDI-I. </w:t>
      </w:r>
      <w:hyperlink r:id="rId9" w:history="1">
        <w:r w:rsidRPr="00A0468E">
          <w:rPr>
            <w:rStyle w:val="Hyperlink"/>
            <w:sz w:val="24"/>
            <w:szCs w:val="24"/>
          </w:rPr>
          <w:t>TST-IRR-69700-28.2008.5.04.0008</w:t>
        </w:r>
      </w:hyperlink>
      <w:r w:rsidRPr="00CE4AE1">
        <w:rPr>
          <w:sz w:val="24"/>
          <w:szCs w:val="24"/>
          <w:u w:val="single"/>
        </w:rPr>
        <w:t xml:space="preserve">, </w:t>
      </w:r>
      <w:r>
        <w:rPr>
          <w:sz w:val="24"/>
          <w:szCs w:val="24"/>
          <w:u w:val="single"/>
        </w:rPr>
        <w:t>Tribunal Pleno</w:t>
      </w:r>
      <w:r w:rsidRPr="00CE4AE1">
        <w:rPr>
          <w:sz w:val="24"/>
          <w:szCs w:val="24"/>
          <w:u w:val="single"/>
        </w:rPr>
        <w:t xml:space="preserve">, rel. </w:t>
      </w:r>
      <w:r w:rsidRPr="00EE5604">
        <w:rPr>
          <w:sz w:val="24"/>
          <w:szCs w:val="24"/>
          <w:u w:val="single"/>
        </w:rPr>
        <w:t xml:space="preserve">Min. </w:t>
      </w:r>
      <w:r>
        <w:rPr>
          <w:sz w:val="24"/>
          <w:szCs w:val="24"/>
          <w:u w:val="single"/>
        </w:rPr>
        <w:t>Guilherme Augusto Caputo Bastos, 22</w:t>
      </w:r>
      <w:r w:rsidRPr="00EE5604">
        <w:rPr>
          <w:sz w:val="24"/>
          <w:szCs w:val="24"/>
          <w:u w:val="single"/>
        </w:rPr>
        <w:t>.5.2017</w:t>
      </w:r>
    </w:p>
    <w:p w:rsidR="00A0468E" w:rsidRPr="00A0468E" w:rsidRDefault="00A0468E" w:rsidP="00A0468E">
      <w:pPr>
        <w:jc w:val="both"/>
        <w:rPr>
          <w:b/>
          <w:i/>
        </w:rPr>
      </w:pPr>
    </w:p>
    <w:p w:rsidR="00A0468E" w:rsidRDefault="00A0468E" w:rsidP="00A0468E">
      <w:pPr>
        <w:jc w:val="both"/>
        <w:rPr>
          <w:b/>
          <w:i/>
          <w:sz w:val="24"/>
          <w:szCs w:val="24"/>
        </w:rPr>
      </w:pPr>
      <w:r>
        <w:rPr>
          <w:b/>
          <w:i/>
          <w:sz w:val="24"/>
          <w:szCs w:val="24"/>
        </w:rPr>
        <w:t xml:space="preserve">Incidente de Recursos de Revista Repetitivos. “Tema nº 0007 – TAP Manutenção e Engenharia Brasil S.A. Ilegitimidade passiva. Grupo econômico. Responsabilidade solidária. Empresa que não mais integra o grupo econômico”. Questão de ordem. Julgamento do processo apenas no tema em análise. Retorno dos autos ao órgão de origem para julgamento das matérias remanescentes. </w:t>
      </w:r>
    </w:p>
    <w:p w:rsidR="00A0468E" w:rsidRDefault="00A0468E" w:rsidP="00A0468E">
      <w:pPr>
        <w:jc w:val="both"/>
        <w:rPr>
          <w:sz w:val="24"/>
          <w:szCs w:val="24"/>
        </w:rPr>
      </w:pPr>
      <w:r>
        <w:rPr>
          <w:sz w:val="24"/>
          <w:szCs w:val="24"/>
        </w:rPr>
        <w:t xml:space="preserve">O Tribunal Pleno, resolvendo questão de ordem suscitada durante o julgamento do </w:t>
      </w:r>
      <w:r w:rsidRPr="00EE5604">
        <w:rPr>
          <w:sz w:val="24"/>
          <w:szCs w:val="24"/>
        </w:rPr>
        <w:t xml:space="preserve">Tema Repetitivo nº </w:t>
      </w:r>
      <w:r w:rsidRPr="001145C7">
        <w:rPr>
          <w:sz w:val="24"/>
          <w:szCs w:val="24"/>
        </w:rPr>
        <w:t>0007 – TAP MANUTENÇÃO E ENGENHARIA BRASIL S.A. ILEGITIMIDADE PASSIVA. GRUPO ECONÔMICO. RESPONSABILIDADE SOLIDÁRIA. EMPRESA QUE NÃO MAIS INTEGRA O GRUPO ECONÔMICO</w:t>
      </w:r>
      <w:r>
        <w:rPr>
          <w:sz w:val="24"/>
          <w:szCs w:val="24"/>
        </w:rPr>
        <w:t xml:space="preserve">, decidiu, por maioria, </w:t>
      </w:r>
      <w:r w:rsidRPr="00CE4AE1">
        <w:rPr>
          <w:sz w:val="24"/>
          <w:szCs w:val="24"/>
        </w:rPr>
        <w:t>julgar os processos submetidos ao incidente de recurso</w:t>
      </w:r>
      <w:r>
        <w:rPr>
          <w:sz w:val="24"/>
          <w:szCs w:val="24"/>
        </w:rPr>
        <w:t>s</w:t>
      </w:r>
      <w:r w:rsidRPr="00CE4AE1">
        <w:rPr>
          <w:sz w:val="24"/>
          <w:szCs w:val="24"/>
        </w:rPr>
        <w:t xml:space="preserve"> repetitivo</w:t>
      </w:r>
      <w:r>
        <w:rPr>
          <w:sz w:val="24"/>
          <w:szCs w:val="24"/>
        </w:rPr>
        <w:t>s</w:t>
      </w:r>
      <w:r w:rsidRPr="00CE4AE1">
        <w:rPr>
          <w:sz w:val="24"/>
          <w:szCs w:val="24"/>
        </w:rPr>
        <w:t xml:space="preserve"> exclusivamente quanto </w:t>
      </w:r>
      <w:r>
        <w:rPr>
          <w:sz w:val="24"/>
          <w:szCs w:val="24"/>
        </w:rPr>
        <w:t>ao tema</w:t>
      </w:r>
      <w:r w:rsidRPr="00CE4AE1">
        <w:rPr>
          <w:sz w:val="24"/>
          <w:szCs w:val="24"/>
        </w:rPr>
        <w:t xml:space="preserve"> objeto de análise e, havendo outras matérias impugnadas, determinar o retorno dos recursos aos ór</w:t>
      </w:r>
      <w:r>
        <w:rPr>
          <w:sz w:val="24"/>
          <w:szCs w:val="24"/>
        </w:rPr>
        <w:t>gãos de origem para apreciá-las</w:t>
      </w:r>
      <w:r w:rsidRPr="00CE4AE1">
        <w:rPr>
          <w:sz w:val="24"/>
          <w:szCs w:val="24"/>
        </w:rPr>
        <w:t xml:space="preserve">. Vencidos os Ministros Guilherme Augusto Caputo Bastos, </w:t>
      </w:r>
      <w:r>
        <w:rPr>
          <w:sz w:val="24"/>
          <w:szCs w:val="24"/>
        </w:rPr>
        <w:t>r</w:t>
      </w:r>
      <w:r w:rsidRPr="00CE4AE1">
        <w:rPr>
          <w:sz w:val="24"/>
          <w:szCs w:val="24"/>
        </w:rPr>
        <w:t xml:space="preserve">elator, Cláudio Mascarenhas Brandão, João Oreste Dalazen, Lelio Bentes Corrêa, Luiz Philippe Vieira de Mello Filho, Maria de Assis Calsing, Augusto César Leite de Carvalho e Aloysio Corrêa da Veiga, que pugnavam pelo julgamento da íntegra dos recursos afetados após a fixação da tese. Inicialmente ficaram vencidos os Ministros Márcio Eurico Vitral Amaro, Walmir Oliveira da Costa, Mauricio Godinho Delgado, Alexandre de Souza Agra Belmonte, Brito Pereira e Renato de Lacerda Paiva, </w:t>
      </w:r>
      <w:r>
        <w:rPr>
          <w:sz w:val="24"/>
          <w:szCs w:val="24"/>
        </w:rPr>
        <w:t>os quais</w:t>
      </w:r>
      <w:r w:rsidRPr="00CE4AE1">
        <w:rPr>
          <w:sz w:val="24"/>
          <w:szCs w:val="24"/>
        </w:rPr>
        <w:t xml:space="preserve"> entendiam que, após fixada a tese, os autos deveriam ser remetidos aos órgãos de origem para julgamento dos recursos e aplicação da tese firmada.</w:t>
      </w:r>
      <w:r>
        <w:rPr>
          <w:sz w:val="24"/>
          <w:szCs w:val="24"/>
        </w:rPr>
        <w:t xml:space="preserve"> </w:t>
      </w:r>
      <w:hyperlink r:id="rId10" w:history="1">
        <w:r w:rsidRPr="00A0468E">
          <w:rPr>
            <w:rStyle w:val="Hyperlink"/>
            <w:sz w:val="24"/>
            <w:szCs w:val="24"/>
          </w:rPr>
          <w:t>TST-IRR-69700-28.2008.5.04.0008</w:t>
        </w:r>
      </w:hyperlink>
      <w:r w:rsidRPr="00CE4AE1">
        <w:rPr>
          <w:sz w:val="24"/>
          <w:szCs w:val="24"/>
          <w:u w:val="single"/>
        </w:rPr>
        <w:t xml:space="preserve">, </w:t>
      </w:r>
      <w:r>
        <w:rPr>
          <w:sz w:val="24"/>
          <w:szCs w:val="24"/>
          <w:u w:val="single"/>
        </w:rPr>
        <w:t>Tribunal Pleno</w:t>
      </w:r>
      <w:r w:rsidRPr="00CE4AE1">
        <w:rPr>
          <w:sz w:val="24"/>
          <w:szCs w:val="24"/>
          <w:u w:val="single"/>
        </w:rPr>
        <w:t xml:space="preserve">, rel. </w:t>
      </w:r>
      <w:r w:rsidRPr="00EE5604">
        <w:rPr>
          <w:sz w:val="24"/>
          <w:szCs w:val="24"/>
          <w:u w:val="single"/>
        </w:rPr>
        <w:t xml:space="preserve">Min. </w:t>
      </w:r>
      <w:r>
        <w:rPr>
          <w:sz w:val="24"/>
          <w:szCs w:val="24"/>
          <w:u w:val="single"/>
        </w:rPr>
        <w:t>Guilherme Augusto Caputo Bastos, 22</w:t>
      </w:r>
      <w:r w:rsidRPr="00EE5604">
        <w:rPr>
          <w:sz w:val="24"/>
          <w:szCs w:val="24"/>
          <w:u w:val="single"/>
        </w:rPr>
        <w:t>.5.2017</w:t>
      </w:r>
    </w:p>
    <w:p w:rsidR="00A0468E" w:rsidRDefault="00A0468E" w:rsidP="00200A8C">
      <w:pPr>
        <w:jc w:val="both"/>
        <w:rPr>
          <w:sz w:val="24"/>
          <w:szCs w:val="24"/>
          <w:u w:val="single"/>
        </w:rPr>
      </w:pPr>
    </w:p>
    <w:p w:rsidR="00A0468E" w:rsidRDefault="00A0468E" w:rsidP="00200A8C">
      <w:pPr>
        <w:jc w:val="both"/>
        <w:rPr>
          <w:sz w:val="24"/>
          <w:szCs w:val="24"/>
          <w:u w:val="single"/>
        </w:rPr>
      </w:pPr>
    </w:p>
    <w:p w:rsidR="00A0468E" w:rsidRPr="00750D8F" w:rsidRDefault="00A0468E" w:rsidP="00A0468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50D8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 ESPECIALIZADA EM DISSÍDIOS INDIVIDUAIS</w:t>
      </w:r>
    </w:p>
    <w:p w:rsidR="00200A8C" w:rsidRDefault="00200A8C" w:rsidP="00200A8C">
      <w:pPr>
        <w:jc w:val="both"/>
      </w:pPr>
    </w:p>
    <w:p w:rsidR="00A0468E" w:rsidRDefault="00A0468E" w:rsidP="00A0468E">
      <w:pPr>
        <w:jc w:val="both"/>
        <w:rPr>
          <w:b/>
          <w:i/>
          <w:sz w:val="24"/>
          <w:szCs w:val="24"/>
        </w:rPr>
      </w:pPr>
      <w:r>
        <w:rPr>
          <w:b/>
          <w:i/>
          <w:sz w:val="24"/>
          <w:szCs w:val="24"/>
        </w:rPr>
        <w:t xml:space="preserve">Incidente de Recursos de Revista Repetitivos. “Tema nº 0006 – Responsabilidade subsidiária. Dona da obra. Aplicação da OJ 191 da SBDI-I limitada à pessoa física ou micro e pequenas empresas”. </w:t>
      </w:r>
    </w:p>
    <w:p w:rsidR="00A0468E" w:rsidRDefault="00A0468E" w:rsidP="00A0468E">
      <w:pPr>
        <w:jc w:val="both"/>
        <w:rPr>
          <w:sz w:val="24"/>
          <w:szCs w:val="24"/>
        </w:rPr>
      </w:pPr>
      <w:r w:rsidRPr="00EE5604">
        <w:rPr>
          <w:sz w:val="24"/>
          <w:szCs w:val="24"/>
        </w:rPr>
        <w:t>A SBDI-I definiu as seguintes teses jurídicas para o Tema Repetitivo nº 0006 – RESPONSABILIDADE SUBSIDIÁRIA. DONA DA OBRA. APLICAÇÃO DA OJ 191 DA SBDI-I LIMITADA À PESSOA FÍSICA OU MICRO E PEQUENAS EMPRESAS: I) A exclusão de responsabilidade solidária ou subsidiária por obrigação trabalhista a que se refere a Orientação Jurisprudencial n.º 191 da SBDI-I do TST não se restringe à pessoa física ou micro e pequenas empresas, compreende igualmente empresas de médio e grande porte e entes públicos (decidido por unanimidade); II) A excepcional responsabilidade por obrigações trabalhistas prevista na parte final da Orientação Jurisprudencial n.º 191 da SBDI-I do TST, por aplicação analógica do art. 455 da CLT, alcança os casos em que o dono da obra de construção civil é construtor ou incorporador e, portanto, desenvolve a mesma atividade econômica do empreiteiro (decidido por unanimidade); III) Não é compatível com a diretriz sufragada na Orientação Jurisprudencial n.º 191 da SBDI-I do TST jurisprudência de Tribunal Regional do Trabalho que amplia a responsabilidade trabalhista do dono da obra, excepcionando apenas a pessoa física ou micro e pequenas empresas, na forma da lei, que não exerçam atividade econômica vinculada ao objeto contratado (decidido por unanimidade); IV) Exceto ente público da Administração Direta e Indireta, se houver inadimplemento das obrigações trabalhistas contraídas por empreiteiro que contratar, sem idoneidade econômico-financeira, o dono da obra responderá subsidiariamente por tais obrigações, em face de aplicação analógica do art. 455 da CLT e culpa</w:t>
      </w:r>
      <w:r w:rsidRPr="00EE5604">
        <w:rPr>
          <w:i/>
          <w:sz w:val="24"/>
          <w:szCs w:val="24"/>
        </w:rPr>
        <w:t xml:space="preserve"> in eligendo </w:t>
      </w:r>
      <w:r w:rsidRPr="00EE5604">
        <w:rPr>
          <w:sz w:val="24"/>
          <w:szCs w:val="24"/>
        </w:rPr>
        <w:t xml:space="preserve">(decidido por maioria, vencido o Ministro Márcio Eurico Vitral Amaro). </w:t>
      </w:r>
      <w:hyperlink r:id="rId11" w:history="1">
        <w:r w:rsidRPr="00696523">
          <w:rPr>
            <w:rStyle w:val="Hyperlink"/>
            <w:sz w:val="24"/>
            <w:szCs w:val="24"/>
          </w:rPr>
          <w:t>TST-IRR-190-53.2015.5.03.0090</w:t>
        </w:r>
      </w:hyperlink>
      <w:r w:rsidRPr="00EE5604">
        <w:rPr>
          <w:sz w:val="24"/>
          <w:szCs w:val="24"/>
          <w:u w:val="single"/>
        </w:rPr>
        <w:t>, SBDI-I, rel. Min. João Oreste Dalazen, 11.5.2017</w:t>
      </w:r>
    </w:p>
    <w:p w:rsidR="00A0468E" w:rsidRPr="00200A8C" w:rsidRDefault="00A0468E" w:rsidP="00200A8C">
      <w:pPr>
        <w:jc w:val="both"/>
      </w:pPr>
    </w:p>
    <w:p w:rsidR="00A0468E" w:rsidRPr="004738AB" w:rsidRDefault="00A0468E" w:rsidP="00A0468E">
      <w:pPr>
        <w:jc w:val="both"/>
        <w:rPr>
          <w:b/>
          <w:i/>
          <w:sz w:val="24"/>
          <w:szCs w:val="24"/>
        </w:rPr>
      </w:pPr>
      <w:r>
        <w:rPr>
          <w:b/>
          <w:i/>
          <w:sz w:val="24"/>
          <w:szCs w:val="24"/>
        </w:rPr>
        <w:t>Embargos de declaração interpostos pelo reclamante. Intuito protelatório. Aplicação da multa prevista no art. 1.026, § 2º, do CPC de 2015. Possibilidade.</w:t>
      </w:r>
    </w:p>
    <w:p w:rsidR="00A0468E" w:rsidRPr="004738AB" w:rsidRDefault="00A0468E" w:rsidP="00A0468E">
      <w:pPr>
        <w:jc w:val="both"/>
        <w:rPr>
          <w:sz w:val="24"/>
          <w:szCs w:val="24"/>
        </w:rPr>
      </w:pPr>
      <w:r>
        <w:rPr>
          <w:sz w:val="24"/>
          <w:szCs w:val="24"/>
        </w:rPr>
        <w:t xml:space="preserve">É admissível a imposição de multa em situações em que se constate que há procrastinação na interposição de embargos de declaração pelo reclamante. Verificado que o empregado se utilizou dos embargos de declaração para </w:t>
      </w:r>
      <w:r w:rsidRPr="0078525C">
        <w:rPr>
          <w:sz w:val="24"/>
          <w:szCs w:val="24"/>
        </w:rPr>
        <w:t>ver reapreciadas premissas</w:t>
      </w:r>
      <w:r>
        <w:rPr>
          <w:sz w:val="24"/>
          <w:szCs w:val="24"/>
        </w:rPr>
        <w:t xml:space="preserve"> fáticas</w:t>
      </w:r>
      <w:r w:rsidRPr="0078525C">
        <w:rPr>
          <w:sz w:val="24"/>
          <w:szCs w:val="24"/>
        </w:rPr>
        <w:t xml:space="preserve"> já afastadas</w:t>
      </w:r>
      <w:r>
        <w:rPr>
          <w:sz w:val="24"/>
          <w:szCs w:val="24"/>
        </w:rPr>
        <w:t>, em contrário aos seus interesses, resultou demonstrado o manifesto caráter protelatório d</w:t>
      </w:r>
      <w:r w:rsidRPr="0078525C">
        <w:rPr>
          <w:sz w:val="24"/>
          <w:szCs w:val="24"/>
        </w:rPr>
        <w:t xml:space="preserve">o curso normal do processo, </w:t>
      </w:r>
      <w:r>
        <w:rPr>
          <w:sz w:val="24"/>
          <w:szCs w:val="24"/>
        </w:rPr>
        <w:t>a atrair</w:t>
      </w:r>
      <w:r w:rsidRPr="0078525C">
        <w:rPr>
          <w:sz w:val="24"/>
          <w:szCs w:val="24"/>
        </w:rPr>
        <w:t xml:space="preserve"> a aplicação da multa prevista no art. 1.026, § 2º, do CPC</w:t>
      </w:r>
      <w:r>
        <w:rPr>
          <w:sz w:val="24"/>
          <w:szCs w:val="24"/>
        </w:rPr>
        <w:t xml:space="preserve"> de 2015</w:t>
      </w:r>
      <w:r w:rsidRPr="0078525C">
        <w:rPr>
          <w:sz w:val="24"/>
          <w:szCs w:val="24"/>
        </w:rPr>
        <w:t>.</w:t>
      </w:r>
      <w:r>
        <w:rPr>
          <w:sz w:val="24"/>
          <w:szCs w:val="24"/>
        </w:rPr>
        <w:t xml:space="preserve"> Na ocasião, ressaltou-se que não é possível adotar a presunção de que o credor de verba alimentar nunca tem a intenção de procrastinar o feito, devendo-se apurar, no caso concreto, a má utilização dos embargos de declaração.</w:t>
      </w:r>
      <w:r w:rsidRPr="00D26013">
        <w:rPr>
          <w:sz w:val="24"/>
          <w:szCs w:val="24"/>
        </w:rPr>
        <w:t xml:space="preserve"> </w:t>
      </w:r>
      <w:r w:rsidRPr="004738AB">
        <w:rPr>
          <w:sz w:val="24"/>
          <w:szCs w:val="24"/>
        </w:rPr>
        <w:t xml:space="preserve">Sob esse fundamento, a SBDI-I, </w:t>
      </w:r>
      <w:r>
        <w:rPr>
          <w:sz w:val="24"/>
          <w:szCs w:val="24"/>
        </w:rPr>
        <w:t>por unanimidade, conheceu</w:t>
      </w:r>
      <w:r w:rsidRPr="0078525C">
        <w:rPr>
          <w:sz w:val="24"/>
          <w:szCs w:val="24"/>
        </w:rPr>
        <w:t xml:space="preserve"> do recurso de embargos, por divergência jurisprudencial, </w:t>
      </w:r>
      <w:r>
        <w:rPr>
          <w:sz w:val="24"/>
          <w:szCs w:val="24"/>
        </w:rPr>
        <w:t>e, no mérito, por maioria, negou</w:t>
      </w:r>
      <w:r w:rsidRPr="0078525C">
        <w:rPr>
          <w:sz w:val="24"/>
          <w:szCs w:val="24"/>
        </w:rPr>
        <w:t>-lhe</w:t>
      </w:r>
      <w:r>
        <w:rPr>
          <w:sz w:val="24"/>
          <w:szCs w:val="24"/>
        </w:rPr>
        <w:t>s</w:t>
      </w:r>
      <w:r w:rsidRPr="0078525C">
        <w:rPr>
          <w:sz w:val="24"/>
          <w:szCs w:val="24"/>
        </w:rPr>
        <w:t xml:space="preserve"> provimento</w:t>
      </w:r>
      <w:r>
        <w:rPr>
          <w:sz w:val="24"/>
          <w:szCs w:val="24"/>
        </w:rPr>
        <w:t>. V</w:t>
      </w:r>
      <w:r w:rsidRPr="0078525C">
        <w:rPr>
          <w:sz w:val="24"/>
          <w:szCs w:val="24"/>
        </w:rPr>
        <w:t>encidos os Ministros Augusto César Leite de Carvalho</w:t>
      </w:r>
      <w:r>
        <w:rPr>
          <w:sz w:val="24"/>
          <w:szCs w:val="24"/>
        </w:rPr>
        <w:t xml:space="preserve">, relator, e Alexandre </w:t>
      </w:r>
      <w:r w:rsidRPr="0078525C">
        <w:rPr>
          <w:sz w:val="24"/>
          <w:szCs w:val="24"/>
        </w:rPr>
        <w:t>Agra Belmonte.</w:t>
      </w:r>
      <w:r w:rsidRPr="004738AB">
        <w:rPr>
          <w:sz w:val="24"/>
          <w:szCs w:val="24"/>
        </w:rPr>
        <w:t xml:space="preserve"> </w:t>
      </w:r>
      <w:hyperlink r:id="rId12" w:history="1">
        <w:r w:rsidRPr="00696523">
          <w:rPr>
            <w:rStyle w:val="Hyperlink"/>
            <w:sz w:val="24"/>
            <w:szCs w:val="24"/>
          </w:rPr>
          <w:t>TST-E-ED-ARR-414800-90.2007.5.09.0892</w:t>
        </w:r>
      </w:hyperlink>
      <w:r w:rsidRPr="004738AB">
        <w:rPr>
          <w:sz w:val="24"/>
          <w:szCs w:val="24"/>
          <w:u w:val="single"/>
        </w:rPr>
        <w:t xml:space="preserve">, SBDI-I, </w:t>
      </w:r>
      <w:r w:rsidRPr="000142CC">
        <w:rPr>
          <w:sz w:val="24"/>
          <w:szCs w:val="24"/>
          <w:u w:val="single"/>
        </w:rPr>
        <w:t xml:space="preserve">rel. Min. </w:t>
      </w:r>
      <w:r>
        <w:rPr>
          <w:sz w:val="24"/>
          <w:szCs w:val="24"/>
          <w:u w:val="single"/>
        </w:rPr>
        <w:t>Ministro</w:t>
      </w:r>
      <w:r w:rsidRPr="00F644AE">
        <w:rPr>
          <w:sz w:val="24"/>
          <w:szCs w:val="24"/>
          <w:u w:val="single"/>
        </w:rPr>
        <w:t xml:space="preserve"> Augusto César Leite de Carvalho</w:t>
      </w:r>
      <w:r w:rsidRPr="000142CC">
        <w:rPr>
          <w:sz w:val="24"/>
          <w:szCs w:val="24"/>
          <w:u w:val="single"/>
        </w:rPr>
        <w:t xml:space="preserve">, red. p/ acórdão </w:t>
      </w:r>
      <w:r w:rsidRPr="004738AB">
        <w:rPr>
          <w:sz w:val="24"/>
          <w:szCs w:val="24"/>
          <w:u w:val="single"/>
        </w:rPr>
        <w:t xml:space="preserve">Min. </w:t>
      </w:r>
      <w:r>
        <w:rPr>
          <w:sz w:val="24"/>
          <w:szCs w:val="24"/>
          <w:u w:val="single"/>
        </w:rPr>
        <w:t>João Oreste Dalazen</w:t>
      </w:r>
      <w:r w:rsidRPr="004738AB">
        <w:rPr>
          <w:sz w:val="24"/>
          <w:szCs w:val="24"/>
          <w:u w:val="single"/>
        </w:rPr>
        <w:t xml:space="preserve">, </w:t>
      </w:r>
      <w:r>
        <w:rPr>
          <w:sz w:val="24"/>
          <w:szCs w:val="24"/>
          <w:u w:val="single"/>
        </w:rPr>
        <w:t>18</w:t>
      </w:r>
      <w:r w:rsidRPr="004738AB">
        <w:rPr>
          <w:sz w:val="24"/>
          <w:szCs w:val="24"/>
          <w:u w:val="single"/>
        </w:rPr>
        <w:t>.</w:t>
      </w:r>
      <w:r>
        <w:rPr>
          <w:sz w:val="24"/>
          <w:szCs w:val="24"/>
          <w:u w:val="single"/>
        </w:rPr>
        <w:t>5</w:t>
      </w:r>
      <w:r w:rsidRPr="004738AB">
        <w:rPr>
          <w:sz w:val="24"/>
          <w:szCs w:val="24"/>
          <w:u w:val="single"/>
        </w:rPr>
        <w:t>.2017</w:t>
      </w:r>
    </w:p>
    <w:p w:rsidR="00A0468E" w:rsidRPr="00696523" w:rsidRDefault="00A0468E" w:rsidP="00A0468E">
      <w:pPr>
        <w:jc w:val="center"/>
        <w:rPr>
          <w:b/>
          <w:i/>
        </w:rPr>
      </w:pPr>
    </w:p>
    <w:p w:rsidR="00A0468E" w:rsidRDefault="00A0468E" w:rsidP="00A0468E">
      <w:pPr>
        <w:jc w:val="both"/>
        <w:rPr>
          <w:b/>
          <w:i/>
          <w:sz w:val="24"/>
          <w:szCs w:val="24"/>
        </w:rPr>
      </w:pPr>
      <w:r>
        <w:rPr>
          <w:b/>
          <w:i/>
          <w:sz w:val="24"/>
          <w:szCs w:val="24"/>
        </w:rPr>
        <w:t xml:space="preserve">Incidente de Recursos de Revista Repetitivos. “Tema nº 0005 – Adicional de insalubridade. Utilização de fones de ouvido. Operador de telemarketing”. </w:t>
      </w:r>
    </w:p>
    <w:p w:rsidR="00A0468E" w:rsidRDefault="00A0468E" w:rsidP="00A0468E">
      <w:pPr>
        <w:jc w:val="both"/>
        <w:rPr>
          <w:sz w:val="24"/>
          <w:szCs w:val="24"/>
        </w:rPr>
      </w:pPr>
      <w:r w:rsidRPr="00EE5604">
        <w:rPr>
          <w:sz w:val="24"/>
          <w:szCs w:val="24"/>
        </w:rPr>
        <w:t>A SBDI-I</w:t>
      </w:r>
      <w:r>
        <w:rPr>
          <w:sz w:val="24"/>
          <w:szCs w:val="24"/>
        </w:rPr>
        <w:t>, por unanimidade,</w:t>
      </w:r>
      <w:r w:rsidRPr="00EE5604">
        <w:rPr>
          <w:sz w:val="24"/>
          <w:szCs w:val="24"/>
        </w:rPr>
        <w:t xml:space="preserve"> definiu as seguintes teses jurídicas para o Tema Repetitivo nº 000</w:t>
      </w:r>
      <w:r>
        <w:rPr>
          <w:sz w:val="24"/>
          <w:szCs w:val="24"/>
        </w:rPr>
        <w:t>5</w:t>
      </w:r>
      <w:r w:rsidRPr="00EE5604">
        <w:rPr>
          <w:sz w:val="24"/>
          <w:szCs w:val="24"/>
        </w:rPr>
        <w:t xml:space="preserve"> – </w:t>
      </w:r>
      <w:r w:rsidRPr="00554C65">
        <w:rPr>
          <w:sz w:val="24"/>
          <w:szCs w:val="24"/>
        </w:rPr>
        <w:t>ADICIONAL DE INSALUBRIDADE. UTILIZAÇÃO DE FONES DE OUVIDO. OPERADOR DE TELEMARKETING</w:t>
      </w:r>
      <w:r w:rsidRPr="00EE5604">
        <w:rPr>
          <w:sz w:val="24"/>
          <w:szCs w:val="24"/>
        </w:rPr>
        <w:t xml:space="preserve">: I) </w:t>
      </w:r>
      <w:r w:rsidRPr="00554C65">
        <w:rPr>
          <w:sz w:val="24"/>
          <w:szCs w:val="24"/>
        </w:rPr>
        <w:t>O reconhecimento da insalubridade, para fins do percebimento do adicional previsto no art</w:t>
      </w:r>
      <w:r>
        <w:rPr>
          <w:sz w:val="24"/>
          <w:szCs w:val="24"/>
        </w:rPr>
        <w:t>.</w:t>
      </w:r>
      <w:r w:rsidRPr="00554C65">
        <w:rPr>
          <w:sz w:val="24"/>
          <w:szCs w:val="24"/>
        </w:rPr>
        <w:t xml:space="preserve"> 192 da CLT, não prescinde do enquadramento da atividade ou operação na relação elaborada pelo Ministério do Trabalho ou da constatação de extrapolação de níveis de tolerância fixados para agente nocivo expressam</w:t>
      </w:r>
      <w:r>
        <w:rPr>
          <w:sz w:val="24"/>
          <w:szCs w:val="24"/>
        </w:rPr>
        <w:t xml:space="preserve">ente arrolado no quadro oficial; </w:t>
      </w:r>
      <w:r w:rsidRPr="00EE5604">
        <w:rPr>
          <w:sz w:val="24"/>
          <w:szCs w:val="24"/>
        </w:rPr>
        <w:t xml:space="preserve">II) </w:t>
      </w:r>
      <w:r w:rsidRPr="00554C65">
        <w:rPr>
          <w:sz w:val="24"/>
          <w:szCs w:val="24"/>
        </w:rPr>
        <w:t xml:space="preserve">A atividade com utilização constante de fones de ouvido, tal como a de operador de teleatendimento, não gera direito a adicional de insalubridade tão somente por equiparação aos serviços de telegrafia e radiotelegrafia, manipulação em aparelhos do tipo Morse e recepção de sinais em fones, </w:t>
      </w:r>
      <w:r w:rsidR="00696523">
        <w:rPr>
          <w:sz w:val="24"/>
          <w:szCs w:val="24"/>
        </w:rPr>
        <w:t xml:space="preserve">descritos no </w:t>
      </w:r>
      <w:r w:rsidRPr="00554C65">
        <w:rPr>
          <w:sz w:val="24"/>
          <w:szCs w:val="24"/>
        </w:rPr>
        <w:t>Anexo 13 da NR-15 da Portaria nº 3.214/78 do Ministério do Trabalho.</w:t>
      </w:r>
      <w:r>
        <w:rPr>
          <w:sz w:val="24"/>
          <w:szCs w:val="24"/>
        </w:rPr>
        <w:t xml:space="preserve"> </w:t>
      </w:r>
      <w:hyperlink r:id="rId13" w:history="1">
        <w:r w:rsidRPr="00696523">
          <w:rPr>
            <w:rStyle w:val="Hyperlink"/>
            <w:sz w:val="24"/>
            <w:szCs w:val="24"/>
          </w:rPr>
          <w:t>TST-IRR-356-84.2013.5.04.0007</w:t>
        </w:r>
      </w:hyperlink>
      <w:r w:rsidRPr="00554C65">
        <w:rPr>
          <w:sz w:val="24"/>
          <w:szCs w:val="24"/>
          <w:u w:val="single"/>
        </w:rPr>
        <w:t xml:space="preserve">, SBDI-I, rel. </w:t>
      </w:r>
      <w:r w:rsidRPr="00EE5604">
        <w:rPr>
          <w:sz w:val="24"/>
          <w:szCs w:val="24"/>
          <w:u w:val="single"/>
        </w:rPr>
        <w:t xml:space="preserve">Min. </w:t>
      </w:r>
      <w:r>
        <w:rPr>
          <w:sz w:val="24"/>
          <w:szCs w:val="24"/>
          <w:u w:val="single"/>
        </w:rPr>
        <w:t>Walmir Oliveira da Costa</w:t>
      </w:r>
      <w:r w:rsidRPr="00EE5604">
        <w:rPr>
          <w:sz w:val="24"/>
          <w:szCs w:val="24"/>
          <w:u w:val="single"/>
        </w:rPr>
        <w:t xml:space="preserve">, </w:t>
      </w:r>
      <w:r>
        <w:rPr>
          <w:sz w:val="24"/>
          <w:szCs w:val="24"/>
          <w:u w:val="single"/>
        </w:rPr>
        <w:t>25</w:t>
      </w:r>
      <w:r w:rsidRPr="00EE5604">
        <w:rPr>
          <w:sz w:val="24"/>
          <w:szCs w:val="24"/>
          <w:u w:val="single"/>
        </w:rPr>
        <w:t>.5.2017</w:t>
      </w:r>
    </w:p>
    <w:p w:rsidR="00200A8C" w:rsidRDefault="00200A8C" w:rsidP="00200A8C">
      <w:pPr>
        <w:jc w:val="both"/>
      </w:pPr>
    </w:p>
    <w:p w:rsidR="00A0468E" w:rsidRPr="00750D8F" w:rsidRDefault="00A0468E" w:rsidP="00A0468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750D8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9A610E" w:rsidRPr="009A610E" w:rsidRDefault="009A610E" w:rsidP="00200A8C">
      <w:pPr>
        <w:jc w:val="both"/>
        <w:rPr>
          <w:u w:val="single"/>
        </w:rPr>
      </w:pPr>
    </w:p>
    <w:p w:rsidR="00A0468E" w:rsidRDefault="00A0468E" w:rsidP="00A0468E">
      <w:pPr>
        <w:jc w:val="both"/>
        <w:rPr>
          <w:b/>
          <w:i/>
          <w:sz w:val="24"/>
          <w:szCs w:val="24"/>
        </w:rPr>
      </w:pPr>
      <w:r>
        <w:rPr>
          <w:b/>
          <w:i/>
          <w:sz w:val="24"/>
          <w:szCs w:val="24"/>
        </w:rPr>
        <w:t xml:space="preserve">Mandado de segurança. Quebra de sigilo bancário. Indícios de utilização de manobras para impedir a constrição de valores pela Justiça do Trabalho. Ausência de direito líquido e certo.  </w:t>
      </w:r>
    </w:p>
    <w:p w:rsidR="00A0468E" w:rsidRDefault="00A0468E" w:rsidP="00A0468E">
      <w:pPr>
        <w:jc w:val="both"/>
        <w:rPr>
          <w:sz w:val="24"/>
          <w:szCs w:val="24"/>
        </w:rPr>
      </w:pPr>
      <w:r>
        <w:rPr>
          <w:sz w:val="24"/>
          <w:szCs w:val="24"/>
        </w:rPr>
        <w:t>Não se vislumbra violação a direito líquido e certo na hipótese em que a quebra de sigilo bancário, autorizada judicialmente, decorreu da presença de indícios de que os impetrantes utilizaram-se de manobras bancárias para impedir que valores fossem localizados e constritos pela Justiça do Trabalho. A natureza alimentar dos valores devidos pelos impetrantes aos ex-empregados que não receberam o salário do último mês trabalhado, aliado ao amplo poder de direção do julgador conferido pelo art. 795 da CLT impedem a constatação de ofensa à inviolabilidade do sigilo de dados no caso concreto. Sob esse fundamento, a SBDI-II, à unanimidade, conheceu do recurso ordinário e, no mérito negou-lhe provimento para manter a decisão do Regional que denegara a segurança pleiteada.</w:t>
      </w:r>
      <w:hyperlink r:id="rId14" w:history="1">
        <w:r w:rsidRPr="00696523">
          <w:rPr>
            <w:rStyle w:val="Hyperlink"/>
            <w:sz w:val="24"/>
            <w:szCs w:val="24"/>
          </w:rPr>
          <w:t xml:space="preserve"> TST-RO-20033-19.2016.5.04.0000</w:t>
        </w:r>
      </w:hyperlink>
      <w:r w:rsidRPr="00EE5604">
        <w:rPr>
          <w:sz w:val="24"/>
          <w:szCs w:val="24"/>
          <w:u w:val="single"/>
        </w:rPr>
        <w:t>, SBDI-</w:t>
      </w:r>
      <w:r>
        <w:rPr>
          <w:sz w:val="24"/>
          <w:szCs w:val="24"/>
          <w:u w:val="single"/>
        </w:rPr>
        <w:t>I</w:t>
      </w:r>
      <w:r w:rsidRPr="00EE5604">
        <w:rPr>
          <w:sz w:val="24"/>
          <w:szCs w:val="24"/>
          <w:u w:val="single"/>
        </w:rPr>
        <w:t xml:space="preserve">I, rel. Min. </w:t>
      </w:r>
      <w:r>
        <w:rPr>
          <w:sz w:val="24"/>
          <w:szCs w:val="24"/>
          <w:u w:val="single"/>
        </w:rPr>
        <w:t>Alberto Luiz Bresciani de Fontan Pereira</w:t>
      </w:r>
      <w:r w:rsidRPr="00EE5604">
        <w:rPr>
          <w:sz w:val="24"/>
          <w:szCs w:val="24"/>
          <w:u w:val="single"/>
        </w:rPr>
        <w:t xml:space="preserve">, </w:t>
      </w:r>
      <w:r>
        <w:rPr>
          <w:sz w:val="24"/>
          <w:szCs w:val="24"/>
          <w:u w:val="single"/>
        </w:rPr>
        <w:t>23</w:t>
      </w:r>
      <w:r w:rsidRPr="00EE5604">
        <w:rPr>
          <w:sz w:val="24"/>
          <w:szCs w:val="24"/>
          <w:u w:val="single"/>
        </w:rPr>
        <w:t>.5.2017</w:t>
      </w:r>
    </w:p>
    <w:p w:rsidR="007023BC" w:rsidRDefault="007023BC" w:rsidP="00723134">
      <w:pPr>
        <w:jc w:val="both"/>
        <w:rPr>
          <w:sz w:val="24"/>
          <w:szCs w:val="24"/>
        </w:rPr>
      </w:pPr>
    </w:p>
    <w:p w:rsidR="00696523" w:rsidRDefault="00696523" w:rsidP="00723134">
      <w:pPr>
        <w:jc w:val="both"/>
        <w:rPr>
          <w:sz w:val="24"/>
          <w:szCs w:val="24"/>
        </w:rPr>
      </w:pPr>
    </w:p>
    <w:p w:rsidR="00696523" w:rsidRPr="00A742B7" w:rsidRDefault="00696523" w:rsidP="00723134">
      <w:pPr>
        <w:jc w:val="both"/>
        <w:rPr>
          <w:sz w:val="24"/>
          <w:szCs w:val="24"/>
        </w:rPr>
      </w:pPr>
    </w:p>
    <w:p w:rsidR="00963D6F" w:rsidRDefault="00963D6F"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FF" w:rsidRDefault="007A28FF">
      <w:r>
        <w:separator/>
      </w:r>
    </w:p>
  </w:endnote>
  <w:endnote w:type="continuationSeparator" w:id="0">
    <w:p w:rsidR="007A28FF" w:rsidRDefault="007A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0D8F">
      <w:rPr>
        <w:rStyle w:val="Nmerodepgina"/>
        <w:noProof/>
      </w:rPr>
      <w:t>3</w:t>
    </w:r>
    <w:r>
      <w:rPr>
        <w:rStyle w:val="Nmerodepgina"/>
      </w:rPr>
      <w:fldChar w:fldCharType="end"/>
    </w:r>
  </w:p>
  <w:p w:rsidR="0027684A" w:rsidRDefault="00750D8F">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750D8F">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FF" w:rsidRDefault="007A28FF">
      <w:r>
        <w:separator/>
      </w:r>
    </w:p>
  </w:footnote>
  <w:footnote w:type="continuationSeparator" w:id="0">
    <w:p w:rsidR="007A28FF" w:rsidRDefault="007A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750D8F"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750D8F">
      <w:rPr>
        <w:sz w:val="24"/>
        <w:szCs w:val="24"/>
        <w14:shadow w14:blurRad="50800" w14:dist="38100" w14:dir="2700000" w14:sx="100000" w14:sy="100000" w14:kx="0" w14:ky="0" w14:algn="tl">
          <w14:srgbClr w14:val="000000">
            <w14:alpha w14:val="60000"/>
          </w14:srgbClr>
        </w14:shadow>
      </w:rPr>
      <w:t>Informativo TST - nº 15</w:t>
    </w:r>
    <w:r w:rsidR="00696523" w:rsidRPr="00750D8F">
      <w:rPr>
        <w:sz w:val="24"/>
        <w:szCs w:val="24"/>
        <w14:shadow w14:blurRad="50800" w14:dist="38100" w14:dir="2700000" w14:sx="100000" w14:sy="100000" w14:kx="0" w14:ky="0" w14:algn="tl">
          <w14:srgbClr w14:val="000000">
            <w14:alpha w14:val="60000"/>
          </w14:srgbClr>
        </w14:shadow>
      </w:rPr>
      <w:t>9</w:t>
    </w:r>
  </w:p>
  <w:p w:rsidR="0027684A" w:rsidRPr="005D1DE4" w:rsidRDefault="00750D8F"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696523">
      <w:rPr>
        <w:i/>
        <w:iCs/>
      </w:rPr>
      <w:t>9</w:t>
    </w:r>
    <w:r w:rsidR="007023BC">
      <w:rPr>
        <w:i/>
        <w:iCs/>
      </w:rPr>
      <w:t xml:space="preserve"> a </w:t>
    </w:r>
    <w:r w:rsidR="00696523">
      <w:rPr>
        <w:i/>
        <w:iCs/>
      </w:rPr>
      <w:t>29</w:t>
    </w:r>
    <w:r w:rsidR="007023BC">
      <w:rPr>
        <w:i/>
        <w:iCs/>
      </w:rPr>
      <w:t xml:space="preserve"> de maio </w:t>
    </w:r>
    <w:r w:rsidR="00063834">
      <w:rPr>
        <w:i/>
        <w:iCs/>
      </w:rPr>
      <w:t>de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750D8F">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15</w:t>
    </w:r>
    <w:r w:rsidR="00A0468E">
      <w:rPr>
        <w:b/>
        <w:sz w:val="40"/>
        <w:szCs w:val="40"/>
      </w:rPr>
      <w:t>9</w:t>
    </w:r>
    <w:r w:rsidR="00730CC7">
      <w:rPr>
        <w:b/>
        <w:sz w:val="40"/>
        <w:szCs w:val="40"/>
      </w:rPr>
      <w:t xml:space="preserve">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A0468E">
      <w:rPr>
        <w:i/>
        <w:iCs/>
      </w:rPr>
      <w:t>9</w:t>
    </w:r>
    <w:r w:rsidR="007023BC">
      <w:rPr>
        <w:i/>
        <w:iCs/>
      </w:rPr>
      <w:t xml:space="preserve"> a </w:t>
    </w:r>
    <w:r w:rsidR="00A0468E">
      <w:rPr>
        <w:i/>
        <w:iCs/>
      </w:rPr>
      <w:t xml:space="preserve">29 </w:t>
    </w:r>
    <w:r w:rsidR="00730CC7">
      <w:rPr>
        <w:i/>
        <w:iCs/>
      </w:rPr>
      <w:t>de maio</w:t>
    </w:r>
    <w:r>
      <w:rPr>
        <w:i/>
        <w:iCs/>
      </w:rPr>
      <w:t xml:space="preserve">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7B15"/>
    <w:rsid w:val="001B025A"/>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5064"/>
    <w:rsid w:val="002A219D"/>
    <w:rsid w:val="002A521A"/>
    <w:rsid w:val="002A546D"/>
    <w:rsid w:val="002B0750"/>
    <w:rsid w:val="002B4738"/>
    <w:rsid w:val="002B6377"/>
    <w:rsid w:val="002C2904"/>
    <w:rsid w:val="002E78CB"/>
    <w:rsid w:val="002F28E5"/>
    <w:rsid w:val="002F71BF"/>
    <w:rsid w:val="003070C9"/>
    <w:rsid w:val="003074FC"/>
    <w:rsid w:val="0031207D"/>
    <w:rsid w:val="003200A0"/>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03D6"/>
    <w:rsid w:val="00573E13"/>
    <w:rsid w:val="005811A4"/>
    <w:rsid w:val="00584F82"/>
    <w:rsid w:val="00591DFA"/>
    <w:rsid w:val="005A30AA"/>
    <w:rsid w:val="005A5695"/>
    <w:rsid w:val="005B031E"/>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65CCF"/>
    <w:rsid w:val="00672CF9"/>
    <w:rsid w:val="00672E11"/>
    <w:rsid w:val="0068273B"/>
    <w:rsid w:val="00691234"/>
    <w:rsid w:val="00692202"/>
    <w:rsid w:val="006931CC"/>
    <w:rsid w:val="006947F2"/>
    <w:rsid w:val="00696523"/>
    <w:rsid w:val="00697919"/>
    <w:rsid w:val="006B3FCF"/>
    <w:rsid w:val="006B46CA"/>
    <w:rsid w:val="006C0391"/>
    <w:rsid w:val="006C28B3"/>
    <w:rsid w:val="006D0B48"/>
    <w:rsid w:val="006D1F66"/>
    <w:rsid w:val="006D306E"/>
    <w:rsid w:val="006D4497"/>
    <w:rsid w:val="006E1A9C"/>
    <w:rsid w:val="006F6C15"/>
    <w:rsid w:val="00700B1B"/>
    <w:rsid w:val="007023BC"/>
    <w:rsid w:val="007029CF"/>
    <w:rsid w:val="0070727E"/>
    <w:rsid w:val="00710D3A"/>
    <w:rsid w:val="0071315F"/>
    <w:rsid w:val="00720057"/>
    <w:rsid w:val="00721942"/>
    <w:rsid w:val="00722BE7"/>
    <w:rsid w:val="00723134"/>
    <w:rsid w:val="00730CC7"/>
    <w:rsid w:val="00732DF2"/>
    <w:rsid w:val="007403B3"/>
    <w:rsid w:val="00750D8F"/>
    <w:rsid w:val="007614F1"/>
    <w:rsid w:val="007618C5"/>
    <w:rsid w:val="00764066"/>
    <w:rsid w:val="00766B7B"/>
    <w:rsid w:val="0077600F"/>
    <w:rsid w:val="00776118"/>
    <w:rsid w:val="00781C77"/>
    <w:rsid w:val="00796745"/>
    <w:rsid w:val="007A28FF"/>
    <w:rsid w:val="007A4F78"/>
    <w:rsid w:val="007A7125"/>
    <w:rsid w:val="007B0F83"/>
    <w:rsid w:val="007C0A4F"/>
    <w:rsid w:val="007D29A1"/>
    <w:rsid w:val="007D2B4E"/>
    <w:rsid w:val="007D2EE9"/>
    <w:rsid w:val="007D469A"/>
    <w:rsid w:val="007D6F8C"/>
    <w:rsid w:val="007E094E"/>
    <w:rsid w:val="007E0EA7"/>
    <w:rsid w:val="007E26A1"/>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10E"/>
    <w:rsid w:val="009A6BD9"/>
    <w:rsid w:val="009B320F"/>
    <w:rsid w:val="009B6012"/>
    <w:rsid w:val="009C0EBA"/>
    <w:rsid w:val="009C102D"/>
    <w:rsid w:val="009C2A4F"/>
    <w:rsid w:val="009D10FB"/>
    <w:rsid w:val="009D312C"/>
    <w:rsid w:val="009D4C59"/>
    <w:rsid w:val="009D7F91"/>
    <w:rsid w:val="009E20EF"/>
    <w:rsid w:val="009E26EE"/>
    <w:rsid w:val="009E6646"/>
    <w:rsid w:val="009F1C7B"/>
    <w:rsid w:val="009F21A2"/>
    <w:rsid w:val="00A00D70"/>
    <w:rsid w:val="00A00DEE"/>
    <w:rsid w:val="00A0468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C4F6C"/>
    <w:rsid w:val="00AD1400"/>
    <w:rsid w:val="00AD6E76"/>
    <w:rsid w:val="00AE3EAA"/>
    <w:rsid w:val="00AE5EDF"/>
    <w:rsid w:val="00AE758A"/>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4A53"/>
    <w:rsid w:val="00C8747B"/>
    <w:rsid w:val="00C87D5B"/>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639E"/>
    <w:rsid w:val="00D2776A"/>
    <w:rsid w:val="00D4021B"/>
    <w:rsid w:val="00D413DB"/>
    <w:rsid w:val="00D41D4E"/>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774F6"/>
    <w:rsid w:val="00E9503C"/>
    <w:rsid w:val="00E956D9"/>
    <w:rsid w:val="00EA10DA"/>
    <w:rsid w:val="00EA1958"/>
    <w:rsid w:val="00EA29F5"/>
    <w:rsid w:val="00EA482D"/>
    <w:rsid w:val="00EB5FE6"/>
    <w:rsid w:val="00EB61A5"/>
    <w:rsid w:val="00EB6C1B"/>
    <w:rsid w:val="00EB7A09"/>
    <w:rsid w:val="00EC0EDC"/>
    <w:rsid w:val="00EC5AF4"/>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2CEC"/>
    <w:rsid w:val="00F37F29"/>
    <w:rsid w:val="00F42243"/>
    <w:rsid w:val="00F45608"/>
    <w:rsid w:val="00F511EE"/>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356&amp;digitoTst=84&amp;anoTst=2013&amp;orgaoTst=5&amp;tribunalTst=04&amp;varaTst=000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414800&amp;digitoTst=90&amp;anoTst=2007&amp;orgaoTst=5&amp;tribunalTst=09&amp;varaTst=08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90&amp;digitoTst=53&amp;anoTst=2015&amp;orgaoTst=5&amp;tribunalTst=03&amp;varaTst=009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plicacao4.tst.jus.br/consultaProcessual/consultaTstNumUnica.do?consulta=Consultar&amp;conscsjt=&amp;numeroTst=69700&amp;digitoTst=28&amp;anoTst=2008&amp;orgaoTst=5&amp;tribunalTst=04&amp;varaTst=000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69700&amp;digitoTst=28&amp;anoTst=2008&amp;orgaoTst=5&amp;tribunalTst=04&amp;varaTst=0008" TargetMode="External"/><Relationship Id="rId14" Type="http://schemas.openxmlformats.org/officeDocument/2006/relationships/hyperlink" Target="http://aplicacao4.tst.jus.br/consultaProcessual/consultaTstNumUnica.do?consulta=Consultar&amp;conscsjt=&amp;numeroTst=20033&amp;digitoTst=19&amp;anoTst=2016&amp;orgaoTst=5&amp;tribunalTst=04&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EE76-8A2A-4798-9E99-7A0236F3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8645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10225</CharactersWithSpaces>
  <SharedDoc>false</SharedDoc>
  <HLinks>
    <vt:vector size="36" baseType="variant">
      <vt:variant>
        <vt:i4>6750271</vt:i4>
      </vt:variant>
      <vt:variant>
        <vt:i4>15</vt:i4>
      </vt:variant>
      <vt:variant>
        <vt:i4>0</vt:i4>
      </vt:variant>
      <vt:variant>
        <vt:i4>5</vt:i4>
      </vt:variant>
      <vt:variant>
        <vt:lpwstr>http://aplicacao4.tst.jus.br/consultaProcessual/consultaTstNumUnica.do?consulta=Consultar&amp;conscsjt=&amp;numeroTst=20033&amp;digitoTst=19&amp;anoTst=2016&amp;orgaoTst=5&amp;tribunalTst=04&amp;varaTst=0000</vt:lpwstr>
      </vt:variant>
      <vt:variant>
        <vt:lpwstr/>
      </vt:variant>
      <vt:variant>
        <vt:i4>5832706</vt:i4>
      </vt:variant>
      <vt:variant>
        <vt:i4>12</vt:i4>
      </vt:variant>
      <vt:variant>
        <vt:i4>0</vt:i4>
      </vt:variant>
      <vt:variant>
        <vt:i4>5</vt:i4>
      </vt:variant>
      <vt:variant>
        <vt:lpwstr>http://aplicacao4.tst.jus.br/consultaProcessual/consultaTstNumUnica.do?consulta=Consultar&amp;conscsjt=&amp;numeroTst=356&amp;digitoTst=84&amp;anoTst=2013&amp;orgaoTst=5&amp;tribunalTst=04&amp;varaTst=0007</vt:lpwstr>
      </vt:variant>
      <vt:variant>
        <vt:lpwstr/>
      </vt:variant>
      <vt:variant>
        <vt:i4>1638469</vt:i4>
      </vt:variant>
      <vt:variant>
        <vt:i4>9</vt:i4>
      </vt:variant>
      <vt:variant>
        <vt:i4>0</vt:i4>
      </vt:variant>
      <vt:variant>
        <vt:i4>5</vt:i4>
      </vt:variant>
      <vt:variant>
        <vt:lpwstr>http://aplicacao4.tst.jus.br/consultaProcessual/consultaTstNumUnica.do?consulta=Consultar&amp;conscsjt=&amp;numeroTst=414800&amp;digitoTst=90&amp;anoTst=2007&amp;orgaoTst=5&amp;tribunalTst=09&amp;varaTst=0892</vt:lpwstr>
      </vt:variant>
      <vt:variant>
        <vt:lpwstr/>
      </vt:variant>
      <vt:variant>
        <vt:i4>5898251</vt:i4>
      </vt:variant>
      <vt:variant>
        <vt:i4>6</vt:i4>
      </vt:variant>
      <vt:variant>
        <vt:i4>0</vt:i4>
      </vt:variant>
      <vt:variant>
        <vt:i4>5</vt:i4>
      </vt:variant>
      <vt:variant>
        <vt:lpwstr>http://aplicacao4.tst.jus.br/consultaProcessual/consultaTstNumUnica.do?consulta=Consultar&amp;conscsjt=&amp;numeroTst=190&amp;digitoTst=53&amp;anoTst=2015&amp;orgaoTst=5&amp;tribunalTst=03&amp;varaTst=0090</vt:lpwstr>
      </vt:variant>
      <vt:variant>
        <vt:lpwstr/>
      </vt:variant>
      <vt:variant>
        <vt:i4>6422589</vt:i4>
      </vt:variant>
      <vt:variant>
        <vt:i4>3</vt:i4>
      </vt:variant>
      <vt:variant>
        <vt:i4>0</vt:i4>
      </vt:variant>
      <vt:variant>
        <vt:i4>5</vt:i4>
      </vt:variant>
      <vt:variant>
        <vt:lpwstr>http://aplicacao4.tst.jus.br/consultaProcessual/consultaTstNumUnica.do?consulta=Consultar&amp;conscsjt=&amp;numeroTst=69700&amp;digitoTst=28&amp;anoTst=2008&amp;orgaoTst=5&amp;tribunalTst=04&amp;varaTst=0008</vt:lpwstr>
      </vt:variant>
      <vt:variant>
        <vt:lpwstr/>
      </vt:variant>
      <vt:variant>
        <vt:i4>6422589</vt:i4>
      </vt:variant>
      <vt:variant>
        <vt:i4>0</vt:i4>
      </vt:variant>
      <vt:variant>
        <vt:i4>0</vt:i4>
      </vt:variant>
      <vt:variant>
        <vt:i4>5</vt:i4>
      </vt:variant>
      <vt:variant>
        <vt:lpwstr>http://aplicacao4.tst.jus.br/consultaProcessual/consultaTstNumUnica.do?consulta=Consultar&amp;conscsjt=&amp;numeroTst=69700&amp;digitoTst=28&amp;anoTst=2008&amp;orgaoTst=5&amp;tribunalTst=04&amp;varaTst=0008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2017-03-06T19:28:00Z</cp:lastPrinted>
  <dcterms:created xsi:type="dcterms:W3CDTF">2017-07-27T19:48:00Z</dcterms:created>
  <dcterms:modified xsi:type="dcterms:W3CDTF">2017-07-27T19:48:00Z</dcterms:modified>
</cp:coreProperties>
</file>