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B55AB4" w:rsidRPr="00E531C9" w:rsidRDefault="00B55AB4" w:rsidP="00DC50EB">
            <w:pPr>
              <w:pStyle w:val="Cabealho"/>
              <w:tabs>
                <w:tab w:val="clear" w:pos="4419"/>
                <w:tab w:val="clear" w:pos="8838"/>
              </w:tabs>
              <w:jc w:val="both"/>
              <w:rPr>
                <w:sz w:val="10"/>
                <w:szCs w:val="10"/>
              </w:rPr>
            </w:pPr>
          </w:p>
        </w:tc>
      </w:tr>
    </w:tbl>
    <w:p w:rsidR="00077EAD" w:rsidRPr="00CE7555" w:rsidRDefault="00077EAD" w:rsidP="00077EA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 ESPECIALIZADA EM DISSÍDIOS INDIVIDUAIS</w:t>
      </w:r>
    </w:p>
    <w:p w:rsidR="00971F6D" w:rsidRPr="0040506F" w:rsidRDefault="00971F6D" w:rsidP="00971F6D">
      <w:pPr>
        <w:jc w:val="both"/>
        <w:rPr>
          <w:u w:val="single"/>
        </w:rPr>
      </w:pPr>
    </w:p>
    <w:p w:rsidR="0040506F" w:rsidRPr="009C5D63" w:rsidRDefault="0040506F" w:rsidP="0040506F">
      <w:pPr>
        <w:jc w:val="both"/>
        <w:rPr>
          <w:b/>
          <w:i/>
          <w:sz w:val="24"/>
          <w:szCs w:val="24"/>
        </w:rPr>
      </w:pPr>
      <w:r>
        <w:rPr>
          <w:b/>
          <w:i/>
          <w:sz w:val="24"/>
          <w:szCs w:val="24"/>
        </w:rPr>
        <w:t>Notificação prévia para indicação de provas na audiência inaugural. Ausência de apresentação do rol de testemunhas. Indeferimento do pedido de produção de prova testemunhal na audiência de prosseguimento. Cerceamento de defesa. Não configuração.</w:t>
      </w:r>
    </w:p>
    <w:p w:rsidR="0040506F" w:rsidRPr="003E1F9C" w:rsidRDefault="0040506F" w:rsidP="0040506F">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Não configura cerceamento de defesa o indeferimento do pedido de produção de prova testemunhal na audiência de prosseguimento, quando a parte, previamente notificada para indicar as provas que pretende produzir, comparece à audiência inaugural e não apresenta o rol de testemunhas. Embora, no </w:t>
      </w:r>
      <w:r w:rsidR="001C5885">
        <w:rPr>
          <w:rFonts w:ascii="Times New Roman" w:eastAsia="Calibri" w:hAnsi="Times New Roman" w:cs="Times New Roman"/>
          <w:color w:val="auto"/>
          <w:lang w:val="pt-BR" w:eastAsia="en-US"/>
        </w:rPr>
        <w:t>p</w:t>
      </w:r>
      <w:r>
        <w:rPr>
          <w:rFonts w:ascii="Times New Roman" w:eastAsia="Calibri" w:hAnsi="Times New Roman" w:cs="Times New Roman"/>
          <w:color w:val="auto"/>
          <w:lang w:val="pt-BR" w:eastAsia="en-US"/>
        </w:rPr>
        <w:t xml:space="preserve">rocesso do </w:t>
      </w:r>
      <w:r w:rsidR="001C5885">
        <w:rPr>
          <w:rFonts w:ascii="Times New Roman" w:eastAsia="Calibri" w:hAnsi="Times New Roman" w:cs="Times New Roman"/>
          <w:color w:val="auto"/>
          <w:lang w:val="pt-BR" w:eastAsia="en-US"/>
        </w:rPr>
        <w:t>t</w:t>
      </w:r>
      <w:r>
        <w:rPr>
          <w:rFonts w:ascii="Times New Roman" w:eastAsia="Calibri" w:hAnsi="Times New Roman" w:cs="Times New Roman"/>
          <w:color w:val="auto"/>
          <w:lang w:val="pt-BR" w:eastAsia="en-US"/>
        </w:rPr>
        <w:t>rabalho, não haja obrigação de a parte requerer o arrolamento de testemunhas (arts. 825 e 845 da CLT), no caso, o fato de haver determinação judicial expressa no sentido de que o reclamado indicasse todas as provas que pretendia produzir no feito, quando da audiência inaugural, afastou a pretendida nulidade processual por cerceamento do direito de defesa</w:t>
      </w:r>
      <w:r w:rsidRPr="009C5D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Sob esse fundamento</w:t>
      </w:r>
      <w:r w:rsidRPr="009C5D63">
        <w:rPr>
          <w:rFonts w:ascii="Times New Roman" w:eastAsia="Calibri" w:hAnsi="Times New Roman" w:cs="Times New Roman"/>
          <w:color w:val="auto"/>
          <w:lang w:val="pt-BR" w:eastAsia="en-US"/>
        </w:rPr>
        <w:t xml:space="preserve">, a SBDI-I, por </w:t>
      </w:r>
      <w:r>
        <w:rPr>
          <w:rFonts w:ascii="Times New Roman" w:eastAsia="Calibri" w:hAnsi="Times New Roman" w:cs="Times New Roman"/>
          <w:color w:val="auto"/>
          <w:lang w:val="pt-BR" w:eastAsia="en-US"/>
        </w:rPr>
        <w:t>maioria</w:t>
      </w:r>
      <w:r w:rsidRPr="009C5D63">
        <w:rPr>
          <w:rFonts w:ascii="Times New Roman" w:eastAsia="Calibri" w:hAnsi="Times New Roman" w:cs="Times New Roman"/>
          <w:color w:val="auto"/>
          <w:lang w:val="pt-BR" w:eastAsia="en-US"/>
        </w:rPr>
        <w:t xml:space="preserve">, conheceu dos embargos, por </w:t>
      </w:r>
      <w:r>
        <w:rPr>
          <w:rFonts w:ascii="Times New Roman" w:eastAsia="Calibri" w:hAnsi="Times New Roman" w:cs="Times New Roman"/>
          <w:color w:val="auto"/>
          <w:lang w:val="pt-BR" w:eastAsia="en-US"/>
        </w:rPr>
        <w:t xml:space="preserve">divergência jurisprudencial, </w:t>
      </w:r>
      <w:r w:rsidRPr="00100723">
        <w:rPr>
          <w:rFonts w:ascii="Times New Roman" w:eastAsia="Calibri" w:hAnsi="Times New Roman" w:cs="Times New Roman"/>
          <w:color w:val="auto"/>
          <w:lang w:val="pt-BR" w:eastAsia="en-US"/>
        </w:rPr>
        <w:t>vencidos os Ministros José Roberto</w:t>
      </w:r>
      <w:r>
        <w:rPr>
          <w:rFonts w:ascii="Times New Roman" w:eastAsia="Calibri" w:hAnsi="Times New Roman" w:cs="Times New Roman"/>
          <w:color w:val="auto"/>
          <w:lang w:val="pt-BR" w:eastAsia="en-US"/>
        </w:rPr>
        <w:t xml:space="preserve"> Freire</w:t>
      </w:r>
      <w:r w:rsidRPr="00100723">
        <w:rPr>
          <w:rFonts w:ascii="Times New Roman" w:eastAsia="Calibri" w:hAnsi="Times New Roman" w:cs="Times New Roman"/>
          <w:color w:val="auto"/>
          <w:lang w:val="pt-BR" w:eastAsia="en-US"/>
        </w:rPr>
        <w:t xml:space="preserve"> Pimenta, relator, Ant</w:t>
      </w:r>
      <w:r>
        <w:rPr>
          <w:rFonts w:ascii="Times New Roman" w:eastAsia="Calibri" w:hAnsi="Times New Roman" w:cs="Times New Roman"/>
          <w:color w:val="auto"/>
          <w:lang w:val="pt-BR" w:eastAsia="en-US"/>
        </w:rPr>
        <w:t>o</w:t>
      </w:r>
      <w:r w:rsidRPr="00100723">
        <w:rPr>
          <w:rFonts w:ascii="Times New Roman" w:eastAsia="Calibri" w:hAnsi="Times New Roman" w:cs="Times New Roman"/>
          <w:color w:val="auto"/>
          <w:lang w:val="pt-BR" w:eastAsia="en-US"/>
        </w:rPr>
        <w:t>nio José de Barros Levenhagen, Lelio Bentes Corrêa, Luiz Philippe Vieira de Mello Fi</w:t>
      </w:r>
      <w:r>
        <w:rPr>
          <w:rFonts w:ascii="Times New Roman" w:eastAsia="Calibri" w:hAnsi="Times New Roman" w:cs="Times New Roman"/>
          <w:color w:val="auto"/>
          <w:lang w:val="pt-BR" w:eastAsia="en-US"/>
        </w:rPr>
        <w:t>lho e Delaíde Miranda Arantes,</w:t>
      </w:r>
      <w:r w:rsidRPr="009C5D63">
        <w:rPr>
          <w:rFonts w:ascii="Times New Roman" w:eastAsia="Calibri" w:hAnsi="Times New Roman" w:cs="Times New Roman"/>
          <w:color w:val="auto"/>
          <w:lang w:val="pt-BR" w:eastAsia="en-US"/>
        </w:rPr>
        <w:t xml:space="preserve"> e, no mérito,</w:t>
      </w:r>
      <w:r>
        <w:rPr>
          <w:rFonts w:ascii="Times New Roman" w:eastAsia="Calibri" w:hAnsi="Times New Roman" w:cs="Times New Roman"/>
          <w:color w:val="auto"/>
          <w:lang w:val="pt-BR" w:eastAsia="en-US"/>
        </w:rPr>
        <w:t xml:space="preserve"> por unanimidade,</w:t>
      </w:r>
      <w:r w:rsidRPr="009C5D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negou</w:t>
      </w:r>
      <w:r w:rsidRPr="009C5D63">
        <w:rPr>
          <w:rFonts w:ascii="Times New Roman" w:eastAsia="Calibri" w:hAnsi="Times New Roman" w:cs="Times New Roman"/>
          <w:color w:val="auto"/>
          <w:lang w:val="pt-BR" w:eastAsia="en-US"/>
        </w:rPr>
        <w:t>-lhes provimento</w:t>
      </w:r>
      <w:r>
        <w:rPr>
          <w:rFonts w:ascii="Times New Roman" w:eastAsia="Calibri" w:hAnsi="Times New Roman" w:cs="Times New Roman"/>
          <w:color w:val="auto"/>
          <w:lang w:val="pt-BR" w:eastAsia="en-US"/>
        </w:rPr>
        <w:t xml:space="preserve">, mantendo incólume a decisão turmária mediante a qual não se conheceu do recurso de revista do reclamado. </w:t>
      </w:r>
      <w:hyperlink r:id="rId8" w:history="1">
        <w:r w:rsidRPr="00DA015E">
          <w:rPr>
            <w:rStyle w:val="Hyperlink"/>
            <w:rFonts w:ascii="Times New Roman" w:hAnsi="Times New Roman" w:cs="Courier New"/>
            <w:lang w:val="pt-BR"/>
          </w:rPr>
          <w:t>TST-E-ED-RR-50200-44.2003.5.08.0006</w:t>
        </w:r>
      </w:hyperlink>
      <w:r w:rsidRPr="009C5D63">
        <w:rPr>
          <w:rFonts w:ascii="Times New Roman" w:hAnsi="Times New Roman"/>
          <w:u w:val="single"/>
          <w:lang w:val="pt-BR"/>
        </w:rPr>
        <w:t xml:space="preserve">, SBDI-I, rel. Min. </w:t>
      </w:r>
      <w:r w:rsidRPr="00100723">
        <w:rPr>
          <w:rFonts w:ascii="Times New Roman" w:hAnsi="Times New Roman"/>
          <w:u w:val="single"/>
          <w:lang w:val="pt-BR"/>
        </w:rPr>
        <w:t>José Roberto Freire Pimenta</w:t>
      </w:r>
      <w:r w:rsidRPr="009C5D63">
        <w:rPr>
          <w:rFonts w:ascii="Times New Roman" w:hAnsi="Times New Roman"/>
          <w:u w:val="single"/>
          <w:lang w:val="pt-BR"/>
        </w:rPr>
        <w:t xml:space="preserve">, </w:t>
      </w:r>
      <w:r>
        <w:rPr>
          <w:rFonts w:ascii="Times New Roman" w:hAnsi="Times New Roman"/>
          <w:u w:val="single"/>
          <w:lang w:val="pt-BR"/>
        </w:rPr>
        <w:t>15</w:t>
      </w:r>
      <w:r w:rsidRPr="009C5D63">
        <w:rPr>
          <w:rFonts w:ascii="Times New Roman" w:hAnsi="Times New Roman"/>
          <w:u w:val="single"/>
          <w:lang w:val="pt-BR"/>
        </w:rPr>
        <w:t>.</w:t>
      </w:r>
      <w:r>
        <w:rPr>
          <w:rFonts w:ascii="Times New Roman" w:hAnsi="Times New Roman"/>
          <w:u w:val="single"/>
          <w:lang w:val="pt-BR"/>
        </w:rPr>
        <w:t>12.2016</w:t>
      </w:r>
    </w:p>
    <w:p w:rsidR="0040506F" w:rsidRPr="0040506F" w:rsidRDefault="0040506F" w:rsidP="00077EAD">
      <w:pPr>
        <w:jc w:val="both"/>
        <w:rPr>
          <w:u w:val="single"/>
        </w:rPr>
      </w:pPr>
    </w:p>
    <w:p w:rsidR="0040506F" w:rsidRPr="00B4525E" w:rsidRDefault="0040506F" w:rsidP="0040506F">
      <w:pPr>
        <w:jc w:val="both"/>
        <w:rPr>
          <w:b/>
          <w:i/>
          <w:sz w:val="24"/>
          <w:szCs w:val="24"/>
        </w:rPr>
      </w:pPr>
      <w:r w:rsidRPr="0010053C">
        <w:rPr>
          <w:b/>
          <w:i/>
          <w:sz w:val="24"/>
          <w:szCs w:val="24"/>
        </w:rPr>
        <w:t xml:space="preserve">Horas extras. Concessão de dois períodos de intervalo para café. Acréscimo ao final da jornada. Tempo à disposição do empregador. Aplicação da </w:t>
      </w:r>
      <w:r>
        <w:rPr>
          <w:b/>
          <w:i/>
          <w:sz w:val="24"/>
          <w:szCs w:val="24"/>
        </w:rPr>
        <w:t>S</w:t>
      </w:r>
      <w:r w:rsidRPr="0010053C">
        <w:rPr>
          <w:b/>
          <w:i/>
          <w:sz w:val="24"/>
          <w:szCs w:val="24"/>
        </w:rPr>
        <w:t>úmula</w:t>
      </w:r>
      <w:r>
        <w:rPr>
          <w:b/>
          <w:i/>
          <w:sz w:val="24"/>
          <w:szCs w:val="24"/>
        </w:rPr>
        <w:t xml:space="preserve"> nº</w:t>
      </w:r>
      <w:r w:rsidRPr="0010053C">
        <w:rPr>
          <w:b/>
          <w:i/>
          <w:sz w:val="24"/>
          <w:szCs w:val="24"/>
        </w:rPr>
        <w:t xml:space="preserve"> 118 do TST.</w:t>
      </w:r>
    </w:p>
    <w:p w:rsidR="0040506F" w:rsidRDefault="0040506F" w:rsidP="0040506F">
      <w:pPr>
        <w:jc w:val="both"/>
        <w:rPr>
          <w:sz w:val="24"/>
          <w:szCs w:val="24"/>
          <w:u w:val="single"/>
        </w:rPr>
      </w:pPr>
      <w:r>
        <w:rPr>
          <w:sz w:val="24"/>
          <w:szCs w:val="24"/>
        </w:rPr>
        <w:t xml:space="preserve">Os dois intervalos de dez minutos cada, concedidos como pausa para café, não integram o intervalo intrajornada de uma hora e, sendo acrescidos ao final da jornada, configuram tempo à disposição do empregador. Incidência da Súmula nº 118 do TST. Na espécie, o empregado cumpria jornada de 6:00h às 15:20h, de segunda a sexta, com uma hora de intervalo para almoço e duas pausas de dez minutos. Assim, a SBDI-I, por unanimidade, </w:t>
      </w:r>
      <w:r w:rsidRPr="0010053C">
        <w:rPr>
          <w:sz w:val="24"/>
          <w:szCs w:val="24"/>
        </w:rPr>
        <w:t>conhece</w:t>
      </w:r>
      <w:r>
        <w:rPr>
          <w:sz w:val="24"/>
          <w:szCs w:val="24"/>
        </w:rPr>
        <w:t>u</w:t>
      </w:r>
      <w:r w:rsidRPr="0010053C">
        <w:rPr>
          <w:sz w:val="24"/>
          <w:szCs w:val="24"/>
        </w:rPr>
        <w:t xml:space="preserve"> do recurso de embargos, por divergência jurisprudencial, e, no mérito, d</w:t>
      </w:r>
      <w:r>
        <w:rPr>
          <w:sz w:val="24"/>
          <w:szCs w:val="24"/>
        </w:rPr>
        <w:t>eu</w:t>
      </w:r>
      <w:r w:rsidRPr="0010053C">
        <w:rPr>
          <w:sz w:val="24"/>
          <w:szCs w:val="24"/>
        </w:rPr>
        <w:t xml:space="preserve">-lhe provimento para restabelecer o acórdão do Regional, </w:t>
      </w:r>
      <w:r>
        <w:rPr>
          <w:sz w:val="24"/>
          <w:szCs w:val="24"/>
        </w:rPr>
        <w:t>o qual</w:t>
      </w:r>
      <w:r w:rsidRPr="0010053C">
        <w:rPr>
          <w:sz w:val="24"/>
          <w:szCs w:val="24"/>
        </w:rPr>
        <w:t xml:space="preserve"> manteve a sentença que reconheceu o direito ao cômputo dos dois intervalos para café na jornada de trabalho, sob o fundamento de que as pausas não previstas em lei representam tempo à disposição e devem ser acrescidas à jornada para serem consideradas na contagem das horas extras, a teor da Súmula n° 118 do TST</w:t>
      </w:r>
      <w:r w:rsidRPr="00C9063B">
        <w:t>.</w:t>
      </w:r>
      <w:r>
        <w:t xml:space="preserve"> </w:t>
      </w:r>
      <w:hyperlink r:id="rId9" w:history="1">
        <w:r w:rsidRPr="00DA015E">
          <w:rPr>
            <w:rStyle w:val="Hyperlink"/>
            <w:sz w:val="24"/>
            <w:szCs w:val="24"/>
          </w:rPr>
          <w:t>TST-E-ED-RR-2034-49.2012.5.15.0077</w:t>
        </w:r>
      </w:hyperlink>
      <w:r w:rsidRPr="00B4525E">
        <w:rPr>
          <w:sz w:val="24"/>
          <w:szCs w:val="24"/>
          <w:u w:val="single"/>
        </w:rPr>
        <w:t xml:space="preserve">, SBDI-I, rel. Min. </w:t>
      </w:r>
      <w:r>
        <w:rPr>
          <w:sz w:val="24"/>
          <w:szCs w:val="24"/>
          <w:u w:val="single"/>
        </w:rPr>
        <w:t>Hugo Carlos Scheuermann</w:t>
      </w:r>
      <w:r w:rsidRPr="00B4525E">
        <w:rPr>
          <w:sz w:val="24"/>
          <w:szCs w:val="24"/>
          <w:u w:val="single"/>
        </w:rPr>
        <w:t xml:space="preserve">, </w:t>
      </w:r>
      <w:r>
        <w:rPr>
          <w:sz w:val="24"/>
          <w:szCs w:val="24"/>
          <w:u w:val="single"/>
        </w:rPr>
        <w:t>2.2.2017</w:t>
      </w:r>
    </w:p>
    <w:p w:rsidR="0040506F" w:rsidRPr="0040506F" w:rsidRDefault="0040506F" w:rsidP="0040506F">
      <w:pPr>
        <w:jc w:val="both"/>
        <w:rPr>
          <w:u w:val="single"/>
        </w:rPr>
      </w:pPr>
    </w:p>
    <w:p w:rsidR="0040506F" w:rsidRDefault="0040506F" w:rsidP="0040506F">
      <w:pPr>
        <w:jc w:val="both"/>
        <w:rPr>
          <w:b/>
          <w:i/>
          <w:sz w:val="24"/>
          <w:szCs w:val="24"/>
        </w:rPr>
      </w:pPr>
      <w:r>
        <w:rPr>
          <w:b/>
          <w:i/>
          <w:sz w:val="24"/>
          <w:szCs w:val="24"/>
        </w:rPr>
        <w:t xml:space="preserve">Trabalho doméstico. Serviços prestados </w:t>
      </w:r>
      <w:r w:rsidRPr="00CE2D87">
        <w:rPr>
          <w:b/>
          <w:i/>
          <w:sz w:val="24"/>
          <w:szCs w:val="24"/>
        </w:rPr>
        <w:t xml:space="preserve">sob a égide da </w:t>
      </w:r>
      <w:r>
        <w:rPr>
          <w:b/>
          <w:i/>
          <w:sz w:val="24"/>
          <w:szCs w:val="24"/>
        </w:rPr>
        <w:t>L</w:t>
      </w:r>
      <w:r w:rsidRPr="00CE2D87">
        <w:rPr>
          <w:b/>
          <w:i/>
          <w:sz w:val="24"/>
          <w:szCs w:val="24"/>
        </w:rPr>
        <w:t>ei</w:t>
      </w:r>
      <w:r>
        <w:rPr>
          <w:b/>
          <w:i/>
          <w:sz w:val="24"/>
          <w:szCs w:val="24"/>
        </w:rPr>
        <w:t xml:space="preserve"> nº</w:t>
      </w:r>
      <w:r w:rsidRPr="00CE2D87">
        <w:rPr>
          <w:b/>
          <w:i/>
          <w:sz w:val="24"/>
          <w:szCs w:val="24"/>
        </w:rPr>
        <w:t xml:space="preserve"> 5.854/72.</w:t>
      </w:r>
      <w:r w:rsidRPr="001C5341">
        <w:rPr>
          <w:b/>
          <w:i/>
          <w:sz w:val="24"/>
          <w:szCs w:val="24"/>
        </w:rPr>
        <w:t xml:space="preserve"> </w:t>
      </w:r>
      <w:r>
        <w:rPr>
          <w:b/>
          <w:i/>
          <w:sz w:val="24"/>
          <w:szCs w:val="24"/>
        </w:rPr>
        <w:t>Labor três vezes por semana</w:t>
      </w:r>
      <w:r w:rsidRPr="001C5341">
        <w:rPr>
          <w:b/>
          <w:i/>
          <w:sz w:val="24"/>
          <w:szCs w:val="24"/>
        </w:rPr>
        <w:t xml:space="preserve">, </w:t>
      </w:r>
      <w:r>
        <w:rPr>
          <w:b/>
          <w:i/>
          <w:sz w:val="24"/>
          <w:szCs w:val="24"/>
        </w:rPr>
        <w:t>durante</w:t>
      </w:r>
      <w:r w:rsidRPr="001C5341">
        <w:rPr>
          <w:b/>
          <w:i/>
          <w:sz w:val="24"/>
          <w:szCs w:val="24"/>
        </w:rPr>
        <w:t xml:space="preserve"> quase três anos.</w:t>
      </w:r>
      <w:r>
        <w:rPr>
          <w:b/>
          <w:i/>
          <w:sz w:val="24"/>
          <w:szCs w:val="24"/>
        </w:rPr>
        <w:t xml:space="preserve"> Requisito da continuidade configurado.</w:t>
      </w:r>
      <w:r w:rsidRPr="001C5341">
        <w:rPr>
          <w:b/>
          <w:i/>
          <w:sz w:val="24"/>
          <w:szCs w:val="24"/>
        </w:rPr>
        <w:t xml:space="preserve"> </w:t>
      </w:r>
      <w:r>
        <w:rPr>
          <w:b/>
          <w:i/>
          <w:sz w:val="24"/>
          <w:szCs w:val="24"/>
        </w:rPr>
        <w:t>Vínculo</w:t>
      </w:r>
      <w:r w:rsidRPr="00CE2D87">
        <w:rPr>
          <w:b/>
          <w:i/>
          <w:sz w:val="24"/>
          <w:szCs w:val="24"/>
        </w:rPr>
        <w:t xml:space="preserve"> de emprego</w:t>
      </w:r>
      <w:r>
        <w:rPr>
          <w:b/>
          <w:i/>
          <w:sz w:val="24"/>
          <w:szCs w:val="24"/>
        </w:rPr>
        <w:t xml:space="preserve"> reconhecido.</w:t>
      </w:r>
    </w:p>
    <w:p w:rsidR="0040506F" w:rsidRDefault="0040506F" w:rsidP="0040506F">
      <w:pPr>
        <w:jc w:val="both"/>
        <w:rPr>
          <w:sz w:val="24"/>
          <w:szCs w:val="24"/>
        </w:rPr>
      </w:pPr>
      <w:r>
        <w:rPr>
          <w:sz w:val="24"/>
          <w:szCs w:val="24"/>
        </w:rPr>
        <w:t xml:space="preserve">Na hipótese em que o trabalho doméstico, regido pela Lei nº 5.854/72, foi prestado três vezes por semana por quase três anos, resta configurada a continuidade da prestação de serviços para efeito de reconhecimento do vínculo de emprego. Sob esse entendimento, a SBDI-I, por unanimidade, conheceu dos embargos, por divergência jurisprudencial, e, no mérito, por maioria, negou-lhes provimento. Vencidos os Ministros Aloysio Corrêa da Veiga, Márcio Eurico Vitral Amaro, </w:t>
      </w:r>
      <w:r>
        <w:rPr>
          <w:sz w:val="24"/>
          <w:szCs w:val="24"/>
        </w:rPr>
        <w:lastRenderedPageBreak/>
        <w:t xml:space="preserve">Alexandre Agra Belmonte e Cláudio Mascarenhas Brandão. </w:t>
      </w:r>
      <w:hyperlink r:id="rId10" w:history="1">
        <w:r w:rsidRPr="00DA015E">
          <w:rPr>
            <w:rStyle w:val="Hyperlink"/>
            <w:sz w:val="24"/>
            <w:szCs w:val="24"/>
          </w:rPr>
          <w:t>TST-E-RR-10933-98.2014.5.03.0077</w:t>
        </w:r>
      </w:hyperlink>
      <w:r w:rsidRPr="007D253C">
        <w:rPr>
          <w:sz w:val="24"/>
          <w:szCs w:val="24"/>
          <w:u w:val="single"/>
        </w:rPr>
        <w:t xml:space="preserve">, </w:t>
      </w:r>
      <w:r>
        <w:rPr>
          <w:sz w:val="24"/>
          <w:szCs w:val="24"/>
          <w:u w:val="single"/>
        </w:rPr>
        <w:t>SBDI-I</w:t>
      </w:r>
      <w:r w:rsidRPr="007D253C">
        <w:rPr>
          <w:sz w:val="24"/>
          <w:szCs w:val="24"/>
          <w:u w:val="single"/>
        </w:rPr>
        <w:t xml:space="preserve">, rel. Min. </w:t>
      </w:r>
      <w:r w:rsidRPr="001C5341">
        <w:rPr>
          <w:sz w:val="24"/>
          <w:szCs w:val="24"/>
          <w:u w:val="single"/>
        </w:rPr>
        <w:t>Hugo Carlos Scheuermann</w:t>
      </w:r>
      <w:r w:rsidRPr="007D253C">
        <w:rPr>
          <w:sz w:val="24"/>
          <w:szCs w:val="24"/>
          <w:u w:val="single"/>
        </w:rPr>
        <w:t xml:space="preserve">, </w:t>
      </w:r>
      <w:r>
        <w:rPr>
          <w:sz w:val="24"/>
          <w:szCs w:val="24"/>
          <w:u w:val="single"/>
        </w:rPr>
        <w:t>2.2.2017</w:t>
      </w:r>
    </w:p>
    <w:p w:rsidR="0040506F" w:rsidRPr="0040506F" w:rsidRDefault="0040506F" w:rsidP="0040506F">
      <w:pPr>
        <w:jc w:val="both"/>
      </w:pPr>
    </w:p>
    <w:p w:rsidR="0040506F" w:rsidRPr="00C757CC" w:rsidRDefault="0040506F" w:rsidP="0040506F">
      <w:pPr>
        <w:jc w:val="both"/>
        <w:rPr>
          <w:b/>
          <w:i/>
          <w:sz w:val="24"/>
          <w:szCs w:val="24"/>
        </w:rPr>
      </w:pPr>
      <w:r w:rsidRPr="00C757CC">
        <w:rPr>
          <w:b/>
          <w:i/>
          <w:sz w:val="24"/>
          <w:szCs w:val="24"/>
        </w:rPr>
        <w:t>Justiça gratuita. Declaração de pobreza. Presunção relativa de veracidade não elidida pelo fato de o reclamante ter recebido verbas rescisórias e de indenização em decorrência de adesão a plano de demissão voluntária.</w:t>
      </w:r>
    </w:p>
    <w:p w:rsidR="0040506F" w:rsidRPr="00E75BBE" w:rsidRDefault="0040506F" w:rsidP="0040506F">
      <w:pPr>
        <w:jc w:val="both"/>
        <w:rPr>
          <w:sz w:val="24"/>
          <w:szCs w:val="24"/>
        </w:rPr>
      </w:pPr>
      <w:r w:rsidRPr="00C757CC">
        <w:rPr>
          <w:sz w:val="24"/>
          <w:szCs w:val="24"/>
        </w:rPr>
        <w:t>O fato de o reclamante ter recebido</w:t>
      </w:r>
      <w:r w:rsidR="00C757CC" w:rsidRPr="00C757CC">
        <w:rPr>
          <w:sz w:val="24"/>
          <w:szCs w:val="24"/>
        </w:rPr>
        <w:t xml:space="preserve"> quantia vultosa (R$ 1.358.507,65) decorrente de</w:t>
      </w:r>
      <w:r w:rsidRPr="00C757CC">
        <w:rPr>
          <w:sz w:val="24"/>
          <w:szCs w:val="24"/>
        </w:rPr>
        <w:t xml:space="preserve"> verbas rescisórias e de indenização </w:t>
      </w:r>
      <w:r w:rsidR="00C757CC" w:rsidRPr="00C757CC">
        <w:rPr>
          <w:sz w:val="24"/>
          <w:szCs w:val="24"/>
        </w:rPr>
        <w:t xml:space="preserve">oriunda </w:t>
      </w:r>
      <w:r w:rsidRPr="00C757CC">
        <w:rPr>
          <w:sz w:val="24"/>
          <w:szCs w:val="24"/>
        </w:rPr>
        <w:t xml:space="preserve">de adesão a plano de demissão voluntária não é suficiente para elidir a presunção de veracidade da declaração de pobreza por ele firmada. Sob esse fundamento, a SBDI-I, maioria, conheceu dos embargos por contrariedade à Orientação Jurisprudencial nº 304 da SBDI-I, e, no mérito, deu-lhes provimento para restabelecer a sentença que deferira os benefícios da justiça gratuita. Vencidos os Ministros João Oreste Dalazen, Renato de Lacerda Paiva e Alexandre Agra Belmonte. </w:t>
      </w:r>
      <w:hyperlink r:id="rId11" w:history="1">
        <w:r w:rsidRPr="00C757CC">
          <w:rPr>
            <w:rStyle w:val="Hyperlink"/>
            <w:sz w:val="24"/>
            <w:szCs w:val="24"/>
          </w:rPr>
          <w:t>TST-ERR-11</w:t>
        </w:r>
        <w:r w:rsidRPr="00C757CC">
          <w:rPr>
            <w:rStyle w:val="Hyperlink"/>
            <w:sz w:val="24"/>
            <w:szCs w:val="24"/>
          </w:rPr>
          <w:t>2</w:t>
        </w:r>
        <w:r w:rsidRPr="00C757CC">
          <w:rPr>
            <w:rStyle w:val="Hyperlink"/>
            <w:sz w:val="24"/>
            <w:szCs w:val="24"/>
          </w:rPr>
          <w:t>37-87.2014.5.18.0010</w:t>
        </w:r>
      </w:hyperlink>
      <w:r w:rsidRPr="00C757CC">
        <w:rPr>
          <w:sz w:val="24"/>
          <w:szCs w:val="24"/>
          <w:u w:val="single"/>
        </w:rPr>
        <w:t>, SBDI-I, rel. Min. Hugo Carlos Scheuermann, 2.2.2017</w:t>
      </w:r>
    </w:p>
    <w:p w:rsidR="00077EAD" w:rsidRPr="0040506F" w:rsidRDefault="00077EAD" w:rsidP="006D0B48">
      <w:pPr>
        <w:jc w:val="both"/>
        <w:rPr>
          <w:u w:val="single"/>
        </w:rPr>
      </w:pPr>
    </w:p>
    <w:p w:rsidR="00971F6D" w:rsidRPr="00CE7555" w:rsidRDefault="00971F6D" w:rsidP="00971F6D">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SUBSEÇÃO II ESPECIALIZADA EM DISSÍDIOS INDIVIDUAIS</w:t>
      </w:r>
    </w:p>
    <w:p w:rsidR="0040506F" w:rsidRPr="0040506F" w:rsidRDefault="0040506F" w:rsidP="0040506F">
      <w:pPr>
        <w:pStyle w:val="Corpo"/>
        <w:spacing w:line="240" w:lineRule="auto"/>
        <w:ind w:firstLine="0"/>
        <w:rPr>
          <w:rFonts w:ascii="Times New Roman" w:eastAsia="Calibri" w:hAnsi="Times New Roman" w:cs="Times New Roman"/>
          <w:b/>
          <w:i/>
          <w:color w:val="auto"/>
          <w:sz w:val="20"/>
          <w:szCs w:val="20"/>
          <w:lang w:val="pt-BR" w:eastAsia="en-US"/>
        </w:rPr>
      </w:pPr>
    </w:p>
    <w:p w:rsidR="0040506F" w:rsidRDefault="0040506F" w:rsidP="0040506F">
      <w:pPr>
        <w:pStyle w:val="Corpo"/>
        <w:spacing w:line="240" w:lineRule="auto"/>
        <w:ind w:firstLine="0"/>
        <w:rPr>
          <w:rFonts w:ascii="Times New Roman" w:eastAsia="Calibri" w:hAnsi="Times New Roman" w:cs="Times New Roman"/>
          <w:b/>
          <w:i/>
          <w:color w:val="auto"/>
          <w:lang w:val="pt-BR" w:eastAsia="en-US"/>
        </w:rPr>
      </w:pPr>
      <w:r>
        <w:rPr>
          <w:rFonts w:ascii="Times New Roman" w:eastAsia="Calibri" w:hAnsi="Times New Roman" w:cs="Times New Roman"/>
          <w:b/>
          <w:i/>
          <w:color w:val="auto"/>
          <w:lang w:val="pt-BR" w:eastAsia="en-US"/>
        </w:rPr>
        <w:t>Confissão ficta. Configuração. Comparecimento do advogado da reclamada após o encerramento da audiência. Orientação Jurisprudencial nº 245 da SBDI-I.</w:t>
      </w:r>
    </w:p>
    <w:p w:rsidR="0040506F" w:rsidRPr="006C6941" w:rsidRDefault="0040506F" w:rsidP="0040506F">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Nos termos da Orientação Jurisprudencial nº 245 da SBDI-I, não existe expressa previsão legal de tolerância ao atraso no horário de comparecimento da parte na audiência, aplicando-se o parágrafo único do art. 815 da CLT apenas aos magistrados. Em alguns casos, porém, o TST tem relevado atrasos ínfimos das partes, desde que demonstrada a ausência de prejuízos, ou seja, desde que a parte compareça antes da prática de atos processuais relevantes e do encerramento da audiência. Todavia, no caso concreto, embora o atraso do advogado da reclamada tenha sido de apenas nove minutos, consta dos autos que, no momento do comparecimento, a audiência já estava encerrada e que a preposta, embora tenha chegado no horário, nenhuma informação útil pode prestar. Sob esses fundamentos, a SBDI-II, por unanimidade, negou provimento ao recurso ordinário, mantendo, portanto, a improcedência do corte rescisório por violação ao direito de defesa, bem como a pena de confissão ficta aplicada. </w:t>
      </w:r>
      <w:hyperlink r:id="rId12" w:history="1">
        <w:r w:rsidRPr="0040506F">
          <w:rPr>
            <w:rStyle w:val="Hyperlink"/>
            <w:rFonts w:ascii="Times New Roman" w:hAnsi="Times New Roman" w:cs="Courier New"/>
            <w:lang w:val="pt-BR"/>
          </w:rPr>
          <w:t>TST-RO-10734-07.2013.5.01.0000</w:t>
        </w:r>
      </w:hyperlink>
      <w:r>
        <w:rPr>
          <w:rFonts w:ascii="Times New Roman" w:hAnsi="Times New Roman"/>
          <w:u w:val="single"/>
          <w:lang w:val="pt-BR"/>
        </w:rPr>
        <w:t>, SBDI-II, rel. Min. Luiz Philippe Vieira de Mello Filho</w:t>
      </w:r>
      <w:r w:rsidRPr="009C5D63">
        <w:rPr>
          <w:rFonts w:ascii="Times New Roman" w:hAnsi="Times New Roman"/>
          <w:u w:val="single"/>
          <w:lang w:val="pt-BR"/>
        </w:rPr>
        <w:t xml:space="preserve">, </w:t>
      </w:r>
      <w:r>
        <w:rPr>
          <w:rFonts w:ascii="Times New Roman" w:hAnsi="Times New Roman"/>
          <w:u w:val="single"/>
          <w:lang w:val="pt-BR"/>
        </w:rPr>
        <w:t>13</w:t>
      </w:r>
      <w:r w:rsidRPr="009C5D63">
        <w:rPr>
          <w:rFonts w:ascii="Times New Roman" w:hAnsi="Times New Roman"/>
          <w:u w:val="single"/>
          <w:lang w:val="pt-BR"/>
        </w:rPr>
        <w:t>.</w:t>
      </w:r>
      <w:r>
        <w:rPr>
          <w:rFonts w:ascii="Times New Roman" w:hAnsi="Times New Roman"/>
          <w:u w:val="single"/>
          <w:lang w:val="pt-BR"/>
        </w:rPr>
        <w:t>12.2016</w:t>
      </w:r>
    </w:p>
    <w:p w:rsidR="00CE737B" w:rsidRDefault="00CE737B" w:rsidP="006D0B48">
      <w:pPr>
        <w:jc w:val="both"/>
        <w:rPr>
          <w:sz w:val="24"/>
          <w:szCs w:val="24"/>
        </w:rPr>
      </w:pPr>
    </w:p>
    <w:p w:rsidR="0040506F" w:rsidRDefault="0040506F" w:rsidP="006D0B48">
      <w:pPr>
        <w:jc w:val="both"/>
        <w:rPr>
          <w:sz w:val="24"/>
          <w:szCs w:val="24"/>
        </w:rPr>
      </w:pPr>
    </w:p>
    <w:p w:rsidR="0040506F" w:rsidRDefault="0040506F" w:rsidP="006D0B48">
      <w:pPr>
        <w:jc w:val="both"/>
        <w:rPr>
          <w:sz w:val="24"/>
          <w:szCs w:val="24"/>
        </w:rPr>
      </w:pPr>
    </w:p>
    <w:p w:rsidR="0040506F" w:rsidRDefault="0040506F" w:rsidP="006D0B48">
      <w:pPr>
        <w:jc w:val="both"/>
        <w:rPr>
          <w:sz w:val="24"/>
          <w:szCs w:val="24"/>
        </w:rPr>
      </w:pPr>
    </w:p>
    <w:p w:rsidR="0040506F" w:rsidRDefault="0040506F" w:rsidP="006D0B48">
      <w:pPr>
        <w:jc w:val="both"/>
        <w:rPr>
          <w:sz w:val="24"/>
          <w:szCs w:val="24"/>
        </w:rPr>
      </w:pPr>
    </w:p>
    <w:p w:rsidR="0040506F" w:rsidRDefault="0040506F" w:rsidP="006D0B48">
      <w:pPr>
        <w:jc w:val="both"/>
        <w:rPr>
          <w:sz w:val="24"/>
          <w:szCs w:val="24"/>
        </w:rPr>
      </w:pPr>
    </w:p>
    <w:p w:rsidR="0040506F" w:rsidRDefault="0040506F" w:rsidP="006D0B48">
      <w:pPr>
        <w:jc w:val="both"/>
        <w:rPr>
          <w:sz w:val="24"/>
          <w:szCs w:val="24"/>
        </w:rPr>
      </w:pPr>
    </w:p>
    <w:p w:rsidR="006D0B48" w:rsidRDefault="006D0B48" w:rsidP="00C6738C">
      <w:pPr>
        <w:rPr>
          <w:sz w:val="10"/>
          <w:szCs w:val="10"/>
        </w:rPr>
      </w:pPr>
    </w:p>
    <w:p w:rsidR="006D0B48" w:rsidRPr="001D6AC9" w:rsidRDefault="006D0B48" w:rsidP="00C6738C">
      <w:pPr>
        <w:rPr>
          <w:sz w:val="10"/>
          <w:szCs w:val="10"/>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50" w:rsidRDefault="001A5D50">
      <w:r>
        <w:separator/>
      </w:r>
    </w:p>
  </w:endnote>
  <w:endnote w:type="continuationSeparator" w:id="0">
    <w:p w:rsidR="001A5D50" w:rsidRDefault="001A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6F" w:rsidRDefault="0040506F">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1239">
      <w:rPr>
        <w:rStyle w:val="Nmerodepgina"/>
        <w:noProof/>
      </w:rPr>
      <w:t>2</w:t>
    </w:r>
    <w:r>
      <w:rPr>
        <w:rStyle w:val="Nmerodepgina"/>
      </w:rPr>
      <w:fldChar w:fldCharType="end"/>
    </w:r>
  </w:p>
  <w:p w:rsidR="0040506F" w:rsidRDefault="0040506F">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6F" w:rsidRDefault="0040506F">
    <w:pPr>
      <w:pStyle w:val="Rodap"/>
      <w:jc w:val="right"/>
    </w:pPr>
    <w:r>
      <w:rPr>
        <w:noProof/>
      </w:rPr>
      <w:pict>
        <v:line id="_x0000_s2054" style="position:absolute;left:0;text-align:left;flip:y;z-index:251659264" from=".9pt,-3.55pt" to="497.7pt,-3.4pt" o:allowincell="f" strokecolor="#969696"/>
      </w:pict>
    </w:r>
    <w:r>
      <w:rPr>
        <w:rStyle w:val="Nmerodepgina"/>
      </w:rPr>
      <w:fldChar w:fldCharType="begin"/>
    </w:r>
    <w:r>
      <w:rPr>
        <w:rStyle w:val="Nmerodepgina"/>
      </w:rPr>
      <w:instrText xml:space="preserve"> PAGE </w:instrText>
    </w:r>
    <w:r>
      <w:rPr>
        <w:rStyle w:val="Nmerodepgina"/>
      </w:rPr>
      <w:fldChar w:fldCharType="separate"/>
    </w:r>
    <w:r w:rsidR="000A1239">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50" w:rsidRDefault="001A5D50">
      <w:r>
        <w:separator/>
      </w:r>
    </w:p>
  </w:footnote>
  <w:footnote w:type="continuationSeparator" w:id="0">
    <w:p w:rsidR="001A5D50" w:rsidRDefault="001A5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6F" w:rsidRPr="00971E07" w:rsidRDefault="0040506F">
    <w:pPr>
      <w:pStyle w:val="Corpodetexto"/>
      <w:jc w:val="right"/>
      <w:rPr>
        <w:shadow/>
        <w:sz w:val="24"/>
        <w:szCs w:val="24"/>
      </w:rPr>
    </w:pPr>
    <w:r w:rsidRPr="00971E07">
      <w:rPr>
        <w:shadow/>
        <w:sz w:val="24"/>
        <w:szCs w:val="24"/>
      </w:rPr>
      <w:t xml:space="preserve">Informativo TST - </w:t>
    </w:r>
    <w:r>
      <w:rPr>
        <w:shadow/>
        <w:sz w:val="24"/>
        <w:szCs w:val="24"/>
      </w:rPr>
      <w:t>n</w:t>
    </w:r>
    <w:r w:rsidRPr="00971E07">
      <w:rPr>
        <w:shadow/>
        <w:sz w:val="24"/>
        <w:szCs w:val="24"/>
      </w:rPr>
      <w:t xml:space="preserve">º </w:t>
    </w:r>
    <w:r>
      <w:rPr>
        <w:shadow/>
        <w:sz w:val="24"/>
        <w:szCs w:val="24"/>
      </w:rPr>
      <w:t>151</w:t>
    </w:r>
  </w:p>
  <w:p w:rsidR="0040506F" w:rsidRPr="005D1DE4" w:rsidRDefault="0040506F" w:rsidP="00CE7555">
    <w:pPr>
      <w:pStyle w:val="Cabealho"/>
      <w:jc w:val="right"/>
    </w:pPr>
    <w:r w:rsidRPr="003C0554">
      <w:rPr>
        <w:noProof/>
      </w:rPr>
      <w:pict>
        <v:line id="_x0000_s2049" style="position:absolute;left:0;text-align:left;flip:x;z-index:251657216" from=".9pt,10.15pt" to="497.7pt,10.15pt" o:allowincell="f" strokecolor="#969696"/>
      </w:pict>
    </w:r>
    <w:r w:rsidRPr="003C0554">
      <w:rPr>
        <w:iCs/>
      </w:rPr>
      <w:t xml:space="preserve"> </w:t>
    </w:r>
    <w:r>
      <w:rPr>
        <w:i/>
        <w:iCs/>
      </w:rPr>
      <w:t>Período: 13 de dezembro de 2016 a 6 de fevereiro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6F" w:rsidRDefault="0040506F">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40506F" w:rsidRPr="002168DE" w:rsidRDefault="0040506F"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151</w:t>
    </w:r>
  </w:p>
  <w:p w:rsidR="0040506F" w:rsidRPr="005D1DE4" w:rsidRDefault="0040506F">
    <w:pPr>
      <w:pStyle w:val="Cabealho"/>
      <w:jc w:val="right"/>
      <w:rPr>
        <w:i/>
        <w:iCs/>
        <w:sz w:val="10"/>
        <w:szCs w:val="10"/>
      </w:rPr>
    </w:pPr>
  </w:p>
  <w:p w:rsidR="0040506F" w:rsidRPr="005D1DE4" w:rsidRDefault="0040506F">
    <w:pPr>
      <w:pStyle w:val="Cabealho"/>
      <w:jc w:val="right"/>
    </w:pPr>
    <w:r>
      <w:rPr>
        <w:i/>
        <w:iCs/>
      </w:rPr>
      <w:t>Período: 13 de dezembro d</w:t>
    </w:r>
    <w:r w:rsidRPr="009B320F">
      <w:rPr>
        <w:i/>
        <w:iCs/>
      </w:rPr>
      <w:t>e 2016</w:t>
    </w:r>
    <w:r>
      <w:rPr>
        <w:i/>
        <w:iCs/>
      </w:rPr>
      <w:t xml:space="preserve"> a 6 de fevereiro de 2017</w:t>
    </w:r>
  </w:p>
  <w:p w:rsidR="0040506F" w:rsidRDefault="0040506F"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1967"/>
    <w:rsid w:val="000228E6"/>
    <w:rsid w:val="000249BA"/>
    <w:rsid w:val="00024CE9"/>
    <w:rsid w:val="00032056"/>
    <w:rsid w:val="000322FB"/>
    <w:rsid w:val="000332F1"/>
    <w:rsid w:val="00034034"/>
    <w:rsid w:val="000425FC"/>
    <w:rsid w:val="00050E85"/>
    <w:rsid w:val="0005125E"/>
    <w:rsid w:val="00055A9D"/>
    <w:rsid w:val="00056752"/>
    <w:rsid w:val="0005765E"/>
    <w:rsid w:val="00057B87"/>
    <w:rsid w:val="0006020E"/>
    <w:rsid w:val="00064486"/>
    <w:rsid w:val="00065048"/>
    <w:rsid w:val="000733B4"/>
    <w:rsid w:val="00073643"/>
    <w:rsid w:val="00073880"/>
    <w:rsid w:val="00075BDB"/>
    <w:rsid w:val="00076E4F"/>
    <w:rsid w:val="00077EAD"/>
    <w:rsid w:val="00080C40"/>
    <w:rsid w:val="00080F10"/>
    <w:rsid w:val="000858FB"/>
    <w:rsid w:val="0009237D"/>
    <w:rsid w:val="00093AE9"/>
    <w:rsid w:val="00093BA8"/>
    <w:rsid w:val="00095471"/>
    <w:rsid w:val="000A04E6"/>
    <w:rsid w:val="000A1239"/>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11575C"/>
    <w:rsid w:val="0011692E"/>
    <w:rsid w:val="00122C2A"/>
    <w:rsid w:val="001257D7"/>
    <w:rsid w:val="00137564"/>
    <w:rsid w:val="00137DC1"/>
    <w:rsid w:val="00141630"/>
    <w:rsid w:val="00142C28"/>
    <w:rsid w:val="00152238"/>
    <w:rsid w:val="0015612D"/>
    <w:rsid w:val="00161CDE"/>
    <w:rsid w:val="00163142"/>
    <w:rsid w:val="001648F5"/>
    <w:rsid w:val="00167E80"/>
    <w:rsid w:val="00176D15"/>
    <w:rsid w:val="0018296E"/>
    <w:rsid w:val="00183803"/>
    <w:rsid w:val="00184590"/>
    <w:rsid w:val="00187A37"/>
    <w:rsid w:val="00187BEF"/>
    <w:rsid w:val="0019151D"/>
    <w:rsid w:val="001920CD"/>
    <w:rsid w:val="00193208"/>
    <w:rsid w:val="001932B7"/>
    <w:rsid w:val="00197B15"/>
    <w:rsid w:val="001A5D50"/>
    <w:rsid w:val="001B2C08"/>
    <w:rsid w:val="001C04D2"/>
    <w:rsid w:val="001C21FB"/>
    <w:rsid w:val="001C271F"/>
    <w:rsid w:val="001C5885"/>
    <w:rsid w:val="001C6C93"/>
    <w:rsid w:val="001D4CF9"/>
    <w:rsid w:val="001D4E17"/>
    <w:rsid w:val="001D5AB0"/>
    <w:rsid w:val="001D6AC9"/>
    <w:rsid w:val="001D757D"/>
    <w:rsid w:val="001E14A9"/>
    <w:rsid w:val="001E14BB"/>
    <w:rsid w:val="001E3B29"/>
    <w:rsid w:val="001E4B57"/>
    <w:rsid w:val="001E5BD1"/>
    <w:rsid w:val="001E713B"/>
    <w:rsid w:val="001E79B4"/>
    <w:rsid w:val="001F030F"/>
    <w:rsid w:val="001F45E0"/>
    <w:rsid w:val="00204C97"/>
    <w:rsid w:val="00206810"/>
    <w:rsid w:val="002168DE"/>
    <w:rsid w:val="00224AC2"/>
    <w:rsid w:val="00230183"/>
    <w:rsid w:val="0023559D"/>
    <w:rsid w:val="002402B0"/>
    <w:rsid w:val="002449F9"/>
    <w:rsid w:val="00255732"/>
    <w:rsid w:val="00257B4A"/>
    <w:rsid w:val="00260B37"/>
    <w:rsid w:val="002635ED"/>
    <w:rsid w:val="002662BA"/>
    <w:rsid w:val="00266D49"/>
    <w:rsid w:val="00271C5C"/>
    <w:rsid w:val="00271E67"/>
    <w:rsid w:val="002730B5"/>
    <w:rsid w:val="002766D5"/>
    <w:rsid w:val="00276EA0"/>
    <w:rsid w:val="00280594"/>
    <w:rsid w:val="00285064"/>
    <w:rsid w:val="002A219D"/>
    <w:rsid w:val="002A521A"/>
    <w:rsid w:val="002A546D"/>
    <w:rsid w:val="002B0750"/>
    <w:rsid w:val="002B4738"/>
    <w:rsid w:val="002B6377"/>
    <w:rsid w:val="002C2904"/>
    <w:rsid w:val="002E78CB"/>
    <w:rsid w:val="002F28E5"/>
    <w:rsid w:val="003074FC"/>
    <w:rsid w:val="0031207D"/>
    <w:rsid w:val="0033397A"/>
    <w:rsid w:val="00340D16"/>
    <w:rsid w:val="00340E8D"/>
    <w:rsid w:val="00342846"/>
    <w:rsid w:val="00347170"/>
    <w:rsid w:val="003503FC"/>
    <w:rsid w:val="00352B27"/>
    <w:rsid w:val="0035374D"/>
    <w:rsid w:val="00363255"/>
    <w:rsid w:val="0036325E"/>
    <w:rsid w:val="003671FE"/>
    <w:rsid w:val="003708FD"/>
    <w:rsid w:val="003726D1"/>
    <w:rsid w:val="003745DE"/>
    <w:rsid w:val="0037667D"/>
    <w:rsid w:val="00377D5F"/>
    <w:rsid w:val="00380212"/>
    <w:rsid w:val="00383A89"/>
    <w:rsid w:val="00384075"/>
    <w:rsid w:val="003908C5"/>
    <w:rsid w:val="00393131"/>
    <w:rsid w:val="0039326C"/>
    <w:rsid w:val="00396053"/>
    <w:rsid w:val="003A1F0A"/>
    <w:rsid w:val="003A4086"/>
    <w:rsid w:val="003A5E5B"/>
    <w:rsid w:val="003B045C"/>
    <w:rsid w:val="003B0538"/>
    <w:rsid w:val="003B0A59"/>
    <w:rsid w:val="003B3EB5"/>
    <w:rsid w:val="003B4E23"/>
    <w:rsid w:val="003B767E"/>
    <w:rsid w:val="003C01E8"/>
    <w:rsid w:val="003C0554"/>
    <w:rsid w:val="003C1AB7"/>
    <w:rsid w:val="003C6FE7"/>
    <w:rsid w:val="003D032E"/>
    <w:rsid w:val="003D4205"/>
    <w:rsid w:val="003E1C53"/>
    <w:rsid w:val="003F2078"/>
    <w:rsid w:val="004034A8"/>
    <w:rsid w:val="0040506F"/>
    <w:rsid w:val="004163E7"/>
    <w:rsid w:val="00416D9A"/>
    <w:rsid w:val="00423641"/>
    <w:rsid w:val="0042772A"/>
    <w:rsid w:val="004323B0"/>
    <w:rsid w:val="00437995"/>
    <w:rsid w:val="0044014F"/>
    <w:rsid w:val="00444E88"/>
    <w:rsid w:val="004477EC"/>
    <w:rsid w:val="00450BAD"/>
    <w:rsid w:val="0045657C"/>
    <w:rsid w:val="00457A40"/>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B63FB"/>
    <w:rsid w:val="004C011C"/>
    <w:rsid w:val="004C14EA"/>
    <w:rsid w:val="004C2118"/>
    <w:rsid w:val="004C2612"/>
    <w:rsid w:val="004C749C"/>
    <w:rsid w:val="004C759F"/>
    <w:rsid w:val="004D6000"/>
    <w:rsid w:val="004D6415"/>
    <w:rsid w:val="004D71E8"/>
    <w:rsid w:val="004E393E"/>
    <w:rsid w:val="004E4507"/>
    <w:rsid w:val="004E4619"/>
    <w:rsid w:val="004F0A7D"/>
    <w:rsid w:val="004F5040"/>
    <w:rsid w:val="00513789"/>
    <w:rsid w:val="0051538E"/>
    <w:rsid w:val="00517E01"/>
    <w:rsid w:val="00521EEC"/>
    <w:rsid w:val="00543B94"/>
    <w:rsid w:val="005460BD"/>
    <w:rsid w:val="005521C8"/>
    <w:rsid w:val="00553197"/>
    <w:rsid w:val="0055409E"/>
    <w:rsid w:val="00554139"/>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3F64"/>
    <w:rsid w:val="005E7FD1"/>
    <w:rsid w:val="005F0545"/>
    <w:rsid w:val="005F2858"/>
    <w:rsid w:val="006002E3"/>
    <w:rsid w:val="00602FF7"/>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2202"/>
    <w:rsid w:val="006931CC"/>
    <w:rsid w:val="006947F2"/>
    <w:rsid w:val="00697919"/>
    <w:rsid w:val="006B3FCF"/>
    <w:rsid w:val="006B46CA"/>
    <w:rsid w:val="006C0391"/>
    <w:rsid w:val="006C28B3"/>
    <w:rsid w:val="006D0B48"/>
    <w:rsid w:val="006D1F66"/>
    <w:rsid w:val="006D306E"/>
    <w:rsid w:val="006D4497"/>
    <w:rsid w:val="006E1A9C"/>
    <w:rsid w:val="006F6C15"/>
    <w:rsid w:val="00700B1B"/>
    <w:rsid w:val="007029CF"/>
    <w:rsid w:val="0070727E"/>
    <w:rsid w:val="00710D3A"/>
    <w:rsid w:val="0071315F"/>
    <w:rsid w:val="00720057"/>
    <w:rsid w:val="00721942"/>
    <w:rsid w:val="00722BE7"/>
    <w:rsid w:val="00732DF2"/>
    <w:rsid w:val="007403B3"/>
    <w:rsid w:val="007614F1"/>
    <w:rsid w:val="007618C5"/>
    <w:rsid w:val="00764066"/>
    <w:rsid w:val="00766B7B"/>
    <w:rsid w:val="0077600F"/>
    <w:rsid w:val="00776118"/>
    <w:rsid w:val="00781C77"/>
    <w:rsid w:val="00796745"/>
    <w:rsid w:val="007A4F78"/>
    <w:rsid w:val="007B0F83"/>
    <w:rsid w:val="007C0A4F"/>
    <w:rsid w:val="007D29A1"/>
    <w:rsid w:val="007D2EE9"/>
    <w:rsid w:val="007D469A"/>
    <w:rsid w:val="007E094E"/>
    <w:rsid w:val="007E0EA7"/>
    <w:rsid w:val="007E37B1"/>
    <w:rsid w:val="007E3F23"/>
    <w:rsid w:val="007F142E"/>
    <w:rsid w:val="007F66BC"/>
    <w:rsid w:val="007F7B5E"/>
    <w:rsid w:val="00800B97"/>
    <w:rsid w:val="00801246"/>
    <w:rsid w:val="00802B1A"/>
    <w:rsid w:val="00805CD2"/>
    <w:rsid w:val="0080615C"/>
    <w:rsid w:val="0081027F"/>
    <w:rsid w:val="0081742D"/>
    <w:rsid w:val="00817AB1"/>
    <w:rsid w:val="00821F4D"/>
    <w:rsid w:val="00823906"/>
    <w:rsid w:val="008409D3"/>
    <w:rsid w:val="0084319F"/>
    <w:rsid w:val="00844374"/>
    <w:rsid w:val="00845559"/>
    <w:rsid w:val="00854DB8"/>
    <w:rsid w:val="00854EF2"/>
    <w:rsid w:val="00855623"/>
    <w:rsid w:val="00855D99"/>
    <w:rsid w:val="0086211B"/>
    <w:rsid w:val="008622CF"/>
    <w:rsid w:val="008627C6"/>
    <w:rsid w:val="00863B86"/>
    <w:rsid w:val="008652A2"/>
    <w:rsid w:val="008706CD"/>
    <w:rsid w:val="00871F69"/>
    <w:rsid w:val="008842D0"/>
    <w:rsid w:val="00884AC4"/>
    <w:rsid w:val="0088579D"/>
    <w:rsid w:val="008A1A58"/>
    <w:rsid w:val="008A49DF"/>
    <w:rsid w:val="008A4AFF"/>
    <w:rsid w:val="008A5FA7"/>
    <w:rsid w:val="008A68E7"/>
    <w:rsid w:val="008A7953"/>
    <w:rsid w:val="008B1828"/>
    <w:rsid w:val="008B3081"/>
    <w:rsid w:val="008B32D4"/>
    <w:rsid w:val="008C7AD0"/>
    <w:rsid w:val="008D0020"/>
    <w:rsid w:val="008D3C38"/>
    <w:rsid w:val="008D3C4B"/>
    <w:rsid w:val="008D6A05"/>
    <w:rsid w:val="008E2AE5"/>
    <w:rsid w:val="008E3CCE"/>
    <w:rsid w:val="008E3F89"/>
    <w:rsid w:val="008F26CB"/>
    <w:rsid w:val="008F36EC"/>
    <w:rsid w:val="008F3D95"/>
    <w:rsid w:val="008F6509"/>
    <w:rsid w:val="008F79D9"/>
    <w:rsid w:val="009027C8"/>
    <w:rsid w:val="00922D1B"/>
    <w:rsid w:val="0093467A"/>
    <w:rsid w:val="009353F1"/>
    <w:rsid w:val="0094155C"/>
    <w:rsid w:val="00951531"/>
    <w:rsid w:val="00953B29"/>
    <w:rsid w:val="00960A3B"/>
    <w:rsid w:val="0096375C"/>
    <w:rsid w:val="00967DE0"/>
    <w:rsid w:val="00971E07"/>
    <w:rsid w:val="00971E5F"/>
    <w:rsid w:val="00971F6D"/>
    <w:rsid w:val="009802D2"/>
    <w:rsid w:val="00980944"/>
    <w:rsid w:val="00986D77"/>
    <w:rsid w:val="00993A6E"/>
    <w:rsid w:val="009943EC"/>
    <w:rsid w:val="009A1BAD"/>
    <w:rsid w:val="009A32D5"/>
    <w:rsid w:val="009A5D37"/>
    <w:rsid w:val="009A6BD9"/>
    <w:rsid w:val="009B320F"/>
    <w:rsid w:val="009B6012"/>
    <w:rsid w:val="009C102D"/>
    <w:rsid w:val="009C2A4F"/>
    <w:rsid w:val="009D312C"/>
    <w:rsid w:val="009D4C59"/>
    <w:rsid w:val="009D7F91"/>
    <w:rsid w:val="009E20EF"/>
    <w:rsid w:val="009E26EE"/>
    <w:rsid w:val="009F1C7B"/>
    <w:rsid w:val="009F21A2"/>
    <w:rsid w:val="00A00D70"/>
    <w:rsid w:val="00A00DEE"/>
    <w:rsid w:val="00A27889"/>
    <w:rsid w:val="00A32FBF"/>
    <w:rsid w:val="00A407EA"/>
    <w:rsid w:val="00A51749"/>
    <w:rsid w:val="00A521B6"/>
    <w:rsid w:val="00A56962"/>
    <w:rsid w:val="00A6382F"/>
    <w:rsid w:val="00A6412C"/>
    <w:rsid w:val="00A75419"/>
    <w:rsid w:val="00A76661"/>
    <w:rsid w:val="00A76D2A"/>
    <w:rsid w:val="00A81F5B"/>
    <w:rsid w:val="00A82081"/>
    <w:rsid w:val="00A8557E"/>
    <w:rsid w:val="00A903E4"/>
    <w:rsid w:val="00A91181"/>
    <w:rsid w:val="00A935AC"/>
    <w:rsid w:val="00AA3DE0"/>
    <w:rsid w:val="00AB299E"/>
    <w:rsid w:val="00AB507C"/>
    <w:rsid w:val="00AB606E"/>
    <w:rsid w:val="00AC096E"/>
    <w:rsid w:val="00AD6E76"/>
    <w:rsid w:val="00AE3EAA"/>
    <w:rsid w:val="00AE5EDF"/>
    <w:rsid w:val="00AE758A"/>
    <w:rsid w:val="00B06261"/>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73FFA"/>
    <w:rsid w:val="00B74A6E"/>
    <w:rsid w:val="00B82CC4"/>
    <w:rsid w:val="00B838C3"/>
    <w:rsid w:val="00B874F1"/>
    <w:rsid w:val="00BC1DE7"/>
    <w:rsid w:val="00BC209E"/>
    <w:rsid w:val="00BC2C67"/>
    <w:rsid w:val="00BC54BC"/>
    <w:rsid w:val="00BC5AEE"/>
    <w:rsid w:val="00BD2A95"/>
    <w:rsid w:val="00BD2CA9"/>
    <w:rsid w:val="00BD6029"/>
    <w:rsid w:val="00BD75B0"/>
    <w:rsid w:val="00BE0541"/>
    <w:rsid w:val="00BE1ADB"/>
    <w:rsid w:val="00BE3152"/>
    <w:rsid w:val="00BF0693"/>
    <w:rsid w:val="00C028BC"/>
    <w:rsid w:val="00C070DE"/>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5BDB"/>
    <w:rsid w:val="00C66C95"/>
    <w:rsid w:val="00C6738C"/>
    <w:rsid w:val="00C71A3B"/>
    <w:rsid w:val="00C757CC"/>
    <w:rsid w:val="00C76CFA"/>
    <w:rsid w:val="00C819C8"/>
    <w:rsid w:val="00C8747B"/>
    <w:rsid w:val="00C87D5B"/>
    <w:rsid w:val="00C94FF6"/>
    <w:rsid w:val="00C963F8"/>
    <w:rsid w:val="00C96BB1"/>
    <w:rsid w:val="00CA2F80"/>
    <w:rsid w:val="00CA3ECF"/>
    <w:rsid w:val="00CB0C2A"/>
    <w:rsid w:val="00CB3B98"/>
    <w:rsid w:val="00CC4B2B"/>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D9D"/>
    <w:rsid w:val="00CF6B77"/>
    <w:rsid w:val="00D00018"/>
    <w:rsid w:val="00D01C50"/>
    <w:rsid w:val="00D11B24"/>
    <w:rsid w:val="00D11C18"/>
    <w:rsid w:val="00D133C8"/>
    <w:rsid w:val="00D14DB8"/>
    <w:rsid w:val="00D17339"/>
    <w:rsid w:val="00D244D5"/>
    <w:rsid w:val="00D2776A"/>
    <w:rsid w:val="00D4021B"/>
    <w:rsid w:val="00D413DB"/>
    <w:rsid w:val="00D420E2"/>
    <w:rsid w:val="00D4459D"/>
    <w:rsid w:val="00D44B24"/>
    <w:rsid w:val="00D573F9"/>
    <w:rsid w:val="00D60532"/>
    <w:rsid w:val="00D6058B"/>
    <w:rsid w:val="00D608E5"/>
    <w:rsid w:val="00D62D9E"/>
    <w:rsid w:val="00D63EC5"/>
    <w:rsid w:val="00D64BC3"/>
    <w:rsid w:val="00D72C05"/>
    <w:rsid w:val="00D73575"/>
    <w:rsid w:val="00D735BF"/>
    <w:rsid w:val="00D737B6"/>
    <w:rsid w:val="00D77672"/>
    <w:rsid w:val="00D80222"/>
    <w:rsid w:val="00D847CF"/>
    <w:rsid w:val="00D87489"/>
    <w:rsid w:val="00DA015E"/>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3E"/>
    <w:rsid w:val="00DE5CE9"/>
    <w:rsid w:val="00DF45BB"/>
    <w:rsid w:val="00E006DC"/>
    <w:rsid w:val="00E03064"/>
    <w:rsid w:val="00E04BD5"/>
    <w:rsid w:val="00E070D2"/>
    <w:rsid w:val="00E100F5"/>
    <w:rsid w:val="00E1139A"/>
    <w:rsid w:val="00E126EB"/>
    <w:rsid w:val="00E1539C"/>
    <w:rsid w:val="00E162B6"/>
    <w:rsid w:val="00E16E01"/>
    <w:rsid w:val="00E20FC8"/>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774F6"/>
    <w:rsid w:val="00E9503C"/>
    <w:rsid w:val="00E956D9"/>
    <w:rsid w:val="00EA1958"/>
    <w:rsid w:val="00EA29F5"/>
    <w:rsid w:val="00EA482D"/>
    <w:rsid w:val="00EB5FE6"/>
    <w:rsid w:val="00EB61A5"/>
    <w:rsid w:val="00EB6C1B"/>
    <w:rsid w:val="00EB7A09"/>
    <w:rsid w:val="00EC0EDC"/>
    <w:rsid w:val="00EC5AF4"/>
    <w:rsid w:val="00EC7E0B"/>
    <w:rsid w:val="00ED4508"/>
    <w:rsid w:val="00ED661C"/>
    <w:rsid w:val="00EE41B5"/>
    <w:rsid w:val="00EE66C9"/>
    <w:rsid w:val="00EF10DB"/>
    <w:rsid w:val="00EF11A9"/>
    <w:rsid w:val="00EF38E1"/>
    <w:rsid w:val="00EF749A"/>
    <w:rsid w:val="00EF771E"/>
    <w:rsid w:val="00F02565"/>
    <w:rsid w:val="00F026EC"/>
    <w:rsid w:val="00F05542"/>
    <w:rsid w:val="00F06855"/>
    <w:rsid w:val="00F17A2C"/>
    <w:rsid w:val="00F21A70"/>
    <w:rsid w:val="00F26708"/>
    <w:rsid w:val="00F30FF2"/>
    <w:rsid w:val="00F37F29"/>
    <w:rsid w:val="00F42243"/>
    <w:rsid w:val="00F45608"/>
    <w:rsid w:val="00F511EE"/>
    <w:rsid w:val="00F55574"/>
    <w:rsid w:val="00F558E7"/>
    <w:rsid w:val="00F62016"/>
    <w:rsid w:val="00F63F44"/>
    <w:rsid w:val="00F6401B"/>
    <w:rsid w:val="00F6746D"/>
    <w:rsid w:val="00F675D5"/>
    <w:rsid w:val="00F753D1"/>
    <w:rsid w:val="00F7766D"/>
    <w:rsid w:val="00F811CD"/>
    <w:rsid w:val="00F82D8F"/>
    <w:rsid w:val="00F83F62"/>
    <w:rsid w:val="00F907EB"/>
    <w:rsid w:val="00F9711D"/>
    <w:rsid w:val="00FA011F"/>
    <w:rsid w:val="00FA3E3A"/>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21F"/>
    <w:rsid w:val="00FE499F"/>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1"/>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locked/>
    <w:rsid w:val="00971F6D"/>
    <w:rPr>
      <w:rFonts w:ascii="Courier New" w:eastAsia="Times New Roman" w:hAnsi="Courier New" w:cs="Courier Ne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50200&amp;digitoTst=44&amp;anoTst=2003&amp;orgaoTst=5&amp;tribunalTst=08&amp;varaTst=000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licacao4.tst.jus.br/consultaProcessual/consultaTstNumUnica.do?consulta=Consultar&amp;conscsjt=&amp;numeroTst=10734&amp;digitoTst=07&amp;anoTst=2013&amp;orgaoTst=5&amp;tribunalTst=01&amp;varaTst=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11237&amp;digitoTst=87&amp;anoTst=2014&amp;orgaoTst=5&amp;tribunalTst=18&amp;varaTst=001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10933&amp;digitoTst=98&amp;anoTst=2014&amp;orgaoTst=5&amp;tribunalTst=03&amp;varaTst=0077"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2034&amp;digitoTst=49&amp;anoTst=2012&amp;orgaoTst=5&amp;tribunalTst=15&amp;varaTst=007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53B3-2CDD-4F01-BDDC-AA10CE66C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6000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7096</CharactersWithSpaces>
  <SharedDoc>false</SharedDoc>
  <HLinks>
    <vt:vector size="30" baseType="variant">
      <vt:variant>
        <vt:i4>6881341</vt:i4>
      </vt:variant>
      <vt:variant>
        <vt:i4>12</vt:i4>
      </vt:variant>
      <vt:variant>
        <vt:i4>0</vt:i4>
      </vt:variant>
      <vt:variant>
        <vt:i4>5</vt:i4>
      </vt:variant>
      <vt:variant>
        <vt:lpwstr>http://aplicacao4.tst.jus.br/consultaProcessual/consultaTstNumUnica.do?consulta=Consultar&amp;conscsjt=&amp;numeroTst=10734&amp;digitoTst=07&amp;anoTst=2013&amp;orgaoTst=5&amp;tribunalTst=01&amp;varaTst=0000</vt:lpwstr>
      </vt:variant>
      <vt:variant>
        <vt:lpwstr/>
      </vt:variant>
      <vt:variant>
        <vt:i4>6750258</vt:i4>
      </vt:variant>
      <vt:variant>
        <vt:i4>9</vt:i4>
      </vt:variant>
      <vt:variant>
        <vt:i4>0</vt:i4>
      </vt:variant>
      <vt:variant>
        <vt:i4>5</vt:i4>
      </vt:variant>
      <vt:variant>
        <vt:lpwstr>http://aplicacao4.tst.jus.br/consultaProcessual/consultaTstNumUnica.do?consulta=Consultar&amp;conscsjt=&amp;numeroTst=11237&amp;digitoTst=87&amp;anoTst=2014&amp;orgaoTst=5&amp;tribunalTst=18&amp;varaTst=0010</vt:lpwstr>
      </vt:variant>
      <vt:variant>
        <vt:lpwstr/>
      </vt:variant>
      <vt:variant>
        <vt:i4>6553661</vt:i4>
      </vt:variant>
      <vt:variant>
        <vt:i4>6</vt:i4>
      </vt:variant>
      <vt:variant>
        <vt:i4>0</vt:i4>
      </vt:variant>
      <vt:variant>
        <vt:i4>5</vt:i4>
      </vt:variant>
      <vt:variant>
        <vt:lpwstr>http://aplicacao4.tst.jus.br/consultaProcessual/consultaTstNumUnica.do?consulta=Consultar&amp;conscsjt=&amp;numeroTst=10933&amp;digitoTst=98&amp;anoTst=2014&amp;orgaoTst=5&amp;tribunalTst=03&amp;varaTst=0077</vt:lpwstr>
      </vt:variant>
      <vt:variant>
        <vt:lpwstr/>
      </vt:variant>
      <vt:variant>
        <vt:i4>2359418</vt:i4>
      </vt:variant>
      <vt:variant>
        <vt:i4>3</vt:i4>
      </vt:variant>
      <vt:variant>
        <vt:i4>0</vt:i4>
      </vt:variant>
      <vt:variant>
        <vt:i4>5</vt:i4>
      </vt:variant>
      <vt:variant>
        <vt:lpwstr>http://aplicacao4.tst.jus.br/consultaProcessual/consultaTstNumUnica.do?consulta=Consultar&amp;conscsjt=&amp;numeroTst=2034&amp;digitoTst=49&amp;anoTst=2012&amp;orgaoTst=5&amp;tribunalTst=15&amp;varaTst=0077</vt:lpwstr>
      </vt:variant>
      <vt:variant>
        <vt:lpwstr/>
      </vt:variant>
      <vt:variant>
        <vt:i4>6291517</vt:i4>
      </vt:variant>
      <vt:variant>
        <vt:i4>0</vt:i4>
      </vt:variant>
      <vt:variant>
        <vt:i4>0</vt:i4>
      </vt:variant>
      <vt:variant>
        <vt:i4>5</vt:i4>
      </vt:variant>
      <vt:variant>
        <vt:lpwstr>http://aplicacao4.tst.jus.br/consultaProcessual/consultaTstNumUnica.do?consulta=Consultar&amp;conscsjt=&amp;numeroTst=50200&amp;digitoTst=44&amp;anoTst=2003&amp;orgaoTst=5&amp;tribunalTst=08&amp;varaTst=0006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c041658</cp:lastModifiedBy>
  <cp:revision>2</cp:revision>
  <cp:lastPrinted>2016-09-23T20:29:00Z</cp:lastPrinted>
  <dcterms:created xsi:type="dcterms:W3CDTF">2017-08-01T19:42:00Z</dcterms:created>
  <dcterms:modified xsi:type="dcterms:W3CDTF">2017-08-01T19:42:00Z</dcterms:modified>
</cp:coreProperties>
</file>