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214" w:type="dxa"/>
        <w:tblLayout w:type="fixed"/>
        <w:tblCellMar>
          <w:left w:w="70" w:type="dxa"/>
          <w:right w:w="70" w:type="dxa"/>
        </w:tblCellMar>
        <w:tblLook w:val="0000" w:firstRow="0" w:lastRow="0" w:firstColumn="0" w:lastColumn="0" w:noHBand="0" w:noVBand="0"/>
      </w:tblPr>
      <w:tblGrid>
        <w:gridCol w:w="9782"/>
      </w:tblGrid>
      <w:tr w:rsidR="001A7589" w:rsidRPr="003509A3" w:rsidTr="00430087">
        <w:trPr>
          <w:trHeight w:val="537"/>
        </w:trPr>
        <w:tc>
          <w:tcPr>
            <w:tcW w:w="9782" w:type="dxa"/>
            <w:tcBorders>
              <w:top w:val="single" w:sz="4" w:space="0" w:color="auto"/>
            </w:tcBorders>
          </w:tcPr>
          <w:p w:rsidR="001A7589" w:rsidRDefault="001A7589" w:rsidP="009E652F">
            <w:pPr>
              <w:pStyle w:val="Cabealho"/>
              <w:tabs>
                <w:tab w:val="clear" w:pos="4419"/>
                <w:tab w:val="clear" w:pos="8838"/>
              </w:tabs>
              <w:ind w:left="-70" w:right="-70"/>
              <w:jc w:val="both"/>
              <w:rPr>
                <w:rFonts w:ascii="Open Sans" w:hAnsi="Open Sans" w:cs="Open Sans"/>
              </w:rPr>
            </w:pPr>
            <w:r w:rsidRPr="003509A3">
              <w:rPr>
                <w:rFonts w:ascii="Open Sans" w:hAnsi="Open Sans" w:cs="Open Sans"/>
              </w:rPr>
              <w:t>Este Informativo, elaborado a partir de notas tomadas nas sessões de julgamento, contém resumos não oficiais de decisões proferidas pelo Tribunal. A fidelidade dos resumos ao conteúdo efetivo das decisões, embora seja uma das metas perseguidas neste trabalho, somente poderá ser aferida após a sua publicação no Diário Eletrônico da Justiça do Trabalho.</w:t>
            </w:r>
          </w:p>
          <w:p w:rsidR="009E652F" w:rsidRPr="003509A3" w:rsidRDefault="009E652F" w:rsidP="009E652F">
            <w:pPr>
              <w:pStyle w:val="Cabealho"/>
              <w:tabs>
                <w:tab w:val="clear" w:pos="4419"/>
                <w:tab w:val="clear" w:pos="8838"/>
              </w:tabs>
              <w:ind w:left="-70" w:right="-70"/>
              <w:jc w:val="both"/>
              <w:rPr>
                <w:rFonts w:ascii="Open Sans" w:hAnsi="Open Sans" w:cs="Open Sans"/>
              </w:rPr>
            </w:pPr>
          </w:p>
        </w:tc>
      </w:tr>
    </w:tbl>
    <w:p w:rsidR="001A7589" w:rsidRPr="003E0231" w:rsidRDefault="001A7589" w:rsidP="009E652F">
      <w:pPr>
        <w:pStyle w:val="Ttulo1"/>
        <w:spacing w:before="0"/>
        <w:ind w:left="-142" w:right="510"/>
      </w:pPr>
      <w:r w:rsidRPr="003509A3">
        <w:t xml:space="preserve">SUBSEÇÃO </w:t>
      </w:r>
      <w:r>
        <w:t>I</w:t>
      </w:r>
      <w:r w:rsidRPr="003509A3">
        <w:t>I ESPECIALIZADA EM DISSÍDIOS INDIVIDUAIS</w:t>
      </w:r>
    </w:p>
    <w:p w:rsidR="009E652F" w:rsidRPr="00A0413E" w:rsidRDefault="009E652F" w:rsidP="00D14637">
      <w:pPr>
        <w:ind w:left="-227" w:right="369"/>
        <w:jc w:val="both"/>
        <w:rPr>
          <w:rFonts w:ascii="Open Sans" w:hAnsi="Open Sans" w:cs="Open Sans"/>
          <w:b/>
          <w:color w:val="000000"/>
          <w:sz w:val="24"/>
          <w:szCs w:val="24"/>
        </w:rPr>
      </w:pPr>
    </w:p>
    <w:p w:rsidR="00476E10" w:rsidRPr="00476E10" w:rsidRDefault="00476E10" w:rsidP="00D14637">
      <w:pPr>
        <w:ind w:left="-227" w:right="369"/>
        <w:jc w:val="both"/>
        <w:rPr>
          <w:rFonts w:ascii="Open Sans" w:hAnsi="Open Sans" w:cs="Open Sans"/>
          <w:b/>
          <w:i/>
          <w:color w:val="000000"/>
          <w:sz w:val="24"/>
          <w:szCs w:val="24"/>
        </w:rPr>
      </w:pPr>
      <w:r w:rsidRPr="00476E10">
        <w:rPr>
          <w:rFonts w:ascii="Open Sans" w:hAnsi="Open Sans" w:cs="Open Sans"/>
          <w:b/>
          <w:i/>
          <w:color w:val="000000"/>
          <w:sz w:val="24"/>
          <w:szCs w:val="24"/>
        </w:rPr>
        <w:t>Ação rescisória. Cabimento por contrariedade à súmula persuasiva com fundamento no art. 966, V, do CPC. Impossibilidade.</w:t>
      </w:r>
    </w:p>
    <w:p w:rsidR="00476E10" w:rsidRPr="00476E10" w:rsidRDefault="00476E10" w:rsidP="00D14637">
      <w:pPr>
        <w:ind w:left="-227" w:right="369"/>
        <w:jc w:val="both"/>
        <w:rPr>
          <w:rFonts w:ascii="Open Sans" w:hAnsi="Open Sans" w:cs="Open Sans"/>
          <w:color w:val="000000"/>
          <w:sz w:val="24"/>
          <w:szCs w:val="24"/>
        </w:rPr>
      </w:pPr>
      <w:r w:rsidRPr="00476E10">
        <w:rPr>
          <w:rFonts w:ascii="Open Sans" w:hAnsi="Open Sans" w:cs="Open Sans"/>
          <w:color w:val="000000"/>
          <w:sz w:val="24"/>
          <w:szCs w:val="24"/>
        </w:rPr>
        <w:t>A interpretação sistemática das normas insculpidas no inciso V e no parágrafo 5º do art. 966 do CPC não autoriza o conhecimento da ação rescisória por contrariedade à súmula persuasiva, uma vez que não constitui norma jurídica. Com efeito, a circunstância de as súmulas transcenderem o âmbito do processo e gerarem regras e fórmulas de interpretação, que se incorporam ao arcabouço jurídico do país, pela hierarquia do órgão que as emanou, torna-as de observância n</w:t>
      </w:r>
      <w:r w:rsidR="00CE344F">
        <w:rPr>
          <w:rFonts w:ascii="Open Sans" w:hAnsi="Open Sans" w:cs="Open Sans"/>
          <w:color w:val="000000"/>
          <w:sz w:val="24"/>
          <w:szCs w:val="24"/>
        </w:rPr>
        <w:t xml:space="preserve">ecessária, mas não vinculante. </w:t>
      </w:r>
      <w:r w:rsidRPr="00476E10">
        <w:rPr>
          <w:rFonts w:ascii="Open Sans" w:hAnsi="Open Sans" w:cs="Open Sans"/>
          <w:color w:val="000000"/>
          <w:sz w:val="24"/>
          <w:szCs w:val="24"/>
        </w:rPr>
        <w:t xml:space="preserve">Sob esses fundamentos, a SBDI-II, por unanimidade, conheceu do recurso ordinário e, no mérito, por maioria, em relação à natureza jurídica do tíquete-alimentação fornecido pelo empregador, conheceu apenas parcialmente do recurso ordinário (diante da inovação recursal relativa à indicação de violação dos </w:t>
      </w:r>
      <w:proofErr w:type="spellStart"/>
      <w:r w:rsidRPr="00476E10">
        <w:rPr>
          <w:rFonts w:ascii="Open Sans" w:hAnsi="Open Sans" w:cs="Open Sans"/>
          <w:color w:val="000000"/>
          <w:sz w:val="24"/>
          <w:szCs w:val="24"/>
        </w:rPr>
        <w:t>arts</w:t>
      </w:r>
      <w:proofErr w:type="spellEnd"/>
      <w:r w:rsidRPr="00476E10">
        <w:rPr>
          <w:rFonts w:ascii="Open Sans" w:hAnsi="Open Sans" w:cs="Open Sans"/>
          <w:color w:val="000000"/>
          <w:sz w:val="24"/>
          <w:szCs w:val="24"/>
        </w:rPr>
        <w:t xml:space="preserve">. 7º, IV e VI, da Constituição Federal e 458 e 468 da CLT) e, quanto ao tema, extinguiu o processo sem resolução do mérito por inépcia da petição inicial (art. 485, I e IV, do CPC de 2015). </w:t>
      </w:r>
      <w:hyperlink r:id="rId8" w:history="1">
        <w:r w:rsidR="007930D8">
          <w:rPr>
            <w:rFonts w:ascii="Open Sans" w:hAnsi="Open Sans" w:cs="Open Sans"/>
            <w:color w:val="0000FF" w:themeColor="hyperlink"/>
            <w:sz w:val="24"/>
            <w:szCs w:val="24"/>
            <w:u w:val="single"/>
          </w:rPr>
          <w:t>TST-RO</w:t>
        </w:r>
        <w:r w:rsidRPr="00D14637">
          <w:rPr>
            <w:rFonts w:ascii="Open Sans" w:hAnsi="Open Sans" w:cs="Open Sans"/>
            <w:color w:val="0000FF" w:themeColor="hyperlink"/>
            <w:sz w:val="24"/>
            <w:szCs w:val="24"/>
            <w:u w:val="single"/>
          </w:rPr>
          <w:t xml:space="preserve">-38-86.2018.5.17.0000, SBDI-II, red. p/ acórdão Min. Morgana de Almeida </w:t>
        </w:r>
        <w:proofErr w:type="spellStart"/>
        <w:r w:rsidRPr="00D14637">
          <w:rPr>
            <w:rFonts w:ascii="Open Sans" w:hAnsi="Open Sans" w:cs="Open Sans"/>
            <w:color w:val="0000FF" w:themeColor="hyperlink"/>
            <w:sz w:val="24"/>
            <w:szCs w:val="24"/>
            <w:u w:val="single"/>
          </w:rPr>
          <w:t>Richa</w:t>
        </w:r>
        <w:proofErr w:type="spellEnd"/>
        <w:r w:rsidRPr="00D14637">
          <w:rPr>
            <w:rFonts w:ascii="Open Sans" w:hAnsi="Open Sans" w:cs="Open Sans"/>
            <w:color w:val="0000FF" w:themeColor="hyperlink"/>
            <w:sz w:val="24"/>
            <w:szCs w:val="24"/>
            <w:u w:val="single"/>
          </w:rPr>
          <w:t xml:space="preserve">, julgado em </w:t>
        </w:r>
        <w:proofErr w:type="gramStart"/>
        <w:r w:rsidRPr="00D14637">
          <w:rPr>
            <w:rFonts w:ascii="Open Sans" w:hAnsi="Open Sans" w:cs="Open Sans"/>
            <w:color w:val="0000FF" w:themeColor="hyperlink"/>
            <w:sz w:val="24"/>
            <w:szCs w:val="24"/>
            <w:u w:val="single"/>
          </w:rPr>
          <w:t>20/02/2024.</w:t>
        </w:r>
        <w:proofErr w:type="gramEnd"/>
      </w:hyperlink>
    </w:p>
    <w:p w:rsidR="00476E10" w:rsidRPr="00476E10" w:rsidRDefault="00476E10" w:rsidP="00D14637">
      <w:pPr>
        <w:ind w:left="-227" w:right="369"/>
        <w:jc w:val="both"/>
        <w:rPr>
          <w:rFonts w:ascii="Open Sans" w:hAnsi="Open Sans" w:cs="Open Sans"/>
          <w:color w:val="000000"/>
          <w:sz w:val="24"/>
          <w:szCs w:val="24"/>
        </w:rPr>
      </w:pPr>
    </w:p>
    <w:p w:rsidR="00476E10" w:rsidRPr="00D14637" w:rsidRDefault="009E652F" w:rsidP="00D14637">
      <w:pPr>
        <w:pStyle w:val="Identificao"/>
        <w:ind w:left="-227" w:right="369"/>
        <w:rPr>
          <w:rFonts w:ascii="Open Sans" w:hAnsi="Open Sans" w:cs="Open Sans"/>
          <w:b/>
          <w:i/>
        </w:rPr>
      </w:pPr>
      <w:r w:rsidRPr="00D14637">
        <w:rPr>
          <w:rFonts w:ascii="Open Sans" w:hAnsi="Open Sans" w:cs="Open Sans"/>
        </w:rPr>
        <w:t xml:space="preserve"> </w:t>
      </w:r>
      <w:proofErr w:type="spellStart"/>
      <w:proofErr w:type="gramStart"/>
      <w:r w:rsidR="00476E10" w:rsidRPr="00D14637">
        <w:rPr>
          <w:rFonts w:ascii="Open Sans" w:hAnsi="Open Sans" w:cs="Open Sans"/>
          <w:b/>
          <w:i/>
        </w:rPr>
        <w:t>Ação</w:t>
      </w:r>
      <w:proofErr w:type="spellEnd"/>
      <w:r w:rsidR="00476E10" w:rsidRPr="00D14637">
        <w:rPr>
          <w:rFonts w:ascii="Open Sans" w:hAnsi="Open Sans" w:cs="Open Sans"/>
          <w:b/>
          <w:i/>
        </w:rPr>
        <w:t xml:space="preserve"> </w:t>
      </w:r>
      <w:proofErr w:type="spellStart"/>
      <w:r w:rsidR="00476E10" w:rsidRPr="00D14637">
        <w:rPr>
          <w:rFonts w:ascii="Open Sans" w:hAnsi="Open Sans" w:cs="Open Sans"/>
          <w:b/>
          <w:i/>
        </w:rPr>
        <w:t>rescisória</w:t>
      </w:r>
      <w:proofErr w:type="spellEnd"/>
      <w:r w:rsidR="00476E10" w:rsidRPr="00D14637">
        <w:rPr>
          <w:rFonts w:ascii="Open Sans" w:hAnsi="Open Sans" w:cs="Open Sans"/>
          <w:b/>
          <w:i/>
        </w:rPr>
        <w:t>.</w:t>
      </w:r>
      <w:proofErr w:type="gramEnd"/>
      <w:r w:rsidR="00476E10" w:rsidRPr="00D14637">
        <w:rPr>
          <w:rFonts w:ascii="Open Sans" w:hAnsi="Open Sans" w:cs="Open Sans"/>
          <w:b/>
          <w:i/>
        </w:rPr>
        <w:t xml:space="preserve"> </w:t>
      </w:r>
      <w:proofErr w:type="spellStart"/>
      <w:proofErr w:type="gramStart"/>
      <w:r w:rsidR="00476E10" w:rsidRPr="00D14637">
        <w:rPr>
          <w:rFonts w:ascii="Open Sans" w:hAnsi="Open Sans" w:cs="Open Sans"/>
          <w:b/>
          <w:i/>
        </w:rPr>
        <w:t>Inépcia</w:t>
      </w:r>
      <w:proofErr w:type="spellEnd"/>
      <w:r w:rsidR="00476E10" w:rsidRPr="00D14637">
        <w:rPr>
          <w:rFonts w:ascii="Open Sans" w:hAnsi="Open Sans" w:cs="Open Sans"/>
          <w:b/>
          <w:i/>
        </w:rPr>
        <w:t xml:space="preserve"> da </w:t>
      </w:r>
      <w:proofErr w:type="spellStart"/>
      <w:r w:rsidR="00476E10" w:rsidRPr="00D14637">
        <w:rPr>
          <w:rFonts w:ascii="Open Sans" w:hAnsi="Open Sans" w:cs="Open Sans"/>
          <w:b/>
          <w:i/>
        </w:rPr>
        <w:t>petição</w:t>
      </w:r>
      <w:proofErr w:type="spellEnd"/>
      <w:r w:rsidR="00476E10" w:rsidRPr="00D14637">
        <w:rPr>
          <w:rFonts w:ascii="Open Sans" w:hAnsi="Open Sans" w:cs="Open Sans"/>
          <w:b/>
          <w:i/>
        </w:rPr>
        <w:t xml:space="preserve"> </w:t>
      </w:r>
      <w:proofErr w:type="spellStart"/>
      <w:r w:rsidR="00476E10" w:rsidRPr="00D14637">
        <w:rPr>
          <w:rFonts w:ascii="Open Sans" w:hAnsi="Open Sans" w:cs="Open Sans"/>
          <w:b/>
          <w:i/>
        </w:rPr>
        <w:t>inicial</w:t>
      </w:r>
      <w:proofErr w:type="spellEnd"/>
      <w:r w:rsidR="00476E10" w:rsidRPr="00D14637">
        <w:rPr>
          <w:rFonts w:ascii="Open Sans" w:hAnsi="Open Sans" w:cs="Open Sans"/>
          <w:b/>
          <w:i/>
        </w:rPr>
        <w:t>.</w:t>
      </w:r>
      <w:proofErr w:type="gramEnd"/>
      <w:r w:rsidR="00476E10" w:rsidRPr="00D14637">
        <w:rPr>
          <w:rFonts w:ascii="Open Sans" w:hAnsi="Open Sans" w:cs="Open Sans"/>
          <w:b/>
          <w:i/>
        </w:rPr>
        <w:t xml:space="preserve"> </w:t>
      </w:r>
      <w:proofErr w:type="spellStart"/>
      <w:proofErr w:type="gramStart"/>
      <w:r w:rsidR="00476E10" w:rsidRPr="00D14637">
        <w:rPr>
          <w:rFonts w:ascii="Open Sans" w:hAnsi="Open Sans" w:cs="Open Sans"/>
          <w:b/>
          <w:i/>
        </w:rPr>
        <w:t>Preclusão</w:t>
      </w:r>
      <w:proofErr w:type="spellEnd"/>
      <w:r w:rsidR="00476E10" w:rsidRPr="00D14637">
        <w:rPr>
          <w:rFonts w:ascii="Open Sans" w:hAnsi="Open Sans" w:cs="Open Sans"/>
          <w:b/>
          <w:i/>
        </w:rPr>
        <w:t xml:space="preserve"> para </w:t>
      </w:r>
      <w:proofErr w:type="spellStart"/>
      <w:r w:rsidR="00476E10" w:rsidRPr="00D14637">
        <w:rPr>
          <w:rFonts w:ascii="Open Sans" w:hAnsi="Open Sans" w:cs="Open Sans"/>
          <w:b/>
          <w:i/>
        </w:rPr>
        <w:t>regularização</w:t>
      </w:r>
      <w:proofErr w:type="spellEnd"/>
      <w:r w:rsidR="00476E10" w:rsidRPr="00D14637">
        <w:rPr>
          <w:rFonts w:ascii="Open Sans" w:hAnsi="Open Sans" w:cs="Open Sans"/>
          <w:b/>
          <w:i/>
        </w:rPr>
        <w:t xml:space="preserve"> da </w:t>
      </w:r>
      <w:proofErr w:type="spellStart"/>
      <w:r w:rsidR="00476E10" w:rsidRPr="00D14637">
        <w:rPr>
          <w:rFonts w:ascii="Open Sans" w:hAnsi="Open Sans" w:cs="Open Sans"/>
          <w:b/>
          <w:i/>
        </w:rPr>
        <w:t>representação</w:t>
      </w:r>
      <w:proofErr w:type="spellEnd"/>
      <w:r w:rsidR="00476E10" w:rsidRPr="00D14637">
        <w:rPr>
          <w:rFonts w:ascii="Open Sans" w:hAnsi="Open Sans" w:cs="Open Sans"/>
          <w:b/>
          <w:i/>
        </w:rPr>
        <w:t xml:space="preserve"> processual.</w:t>
      </w:r>
      <w:proofErr w:type="gramEnd"/>
      <w:r w:rsidR="00476E10" w:rsidRPr="00D14637">
        <w:rPr>
          <w:rFonts w:ascii="Open Sans" w:hAnsi="Open Sans" w:cs="Open Sans"/>
          <w:b/>
          <w:i/>
        </w:rPr>
        <w:t xml:space="preserve"> </w:t>
      </w:r>
      <w:proofErr w:type="spellStart"/>
      <w:r w:rsidR="00476E10" w:rsidRPr="00D14637">
        <w:rPr>
          <w:rFonts w:ascii="Open Sans" w:hAnsi="Open Sans" w:cs="Open Sans"/>
          <w:b/>
          <w:i/>
        </w:rPr>
        <w:t>Correção</w:t>
      </w:r>
      <w:proofErr w:type="spellEnd"/>
      <w:r w:rsidR="00476E10" w:rsidRPr="00D14637">
        <w:rPr>
          <w:rFonts w:ascii="Open Sans" w:hAnsi="Open Sans" w:cs="Open Sans"/>
          <w:b/>
          <w:i/>
        </w:rPr>
        <w:t xml:space="preserve"> do </w:t>
      </w:r>
      <w:proofErr w:type="spellStart"/>
      <w:r w:rsidR="00476E10" w:rsidRPr="00D14637">
        <w:rPr>
          <w:rFonts w:ascii="Open Sans" w:hAnsi="Open Sans" w:cs="Open Sans"/>
          <w:b/>
          <w:i/>
        </w:rPr>
        <w:t>vício</w:t>
      </w:r>
      <w:proofErr w:type="spellEnd"/>
      <w:r w:rsidR="00476E10" w:rsidRPr="00D14637">
        <w:rPr>
          <w:rFonts w:ascii="Open Sans" w:hAnsi="Open Sans" w:cs="Open Sans"/>
          <w:b/>
          <w:i/>
        </w:rPr>
        <w:t xml:space="preserve"> </w:t>
      </w:r>
      <w:proofErr w:type="spellStart"/>
      <w:r w:rsidR="00476E10" w:rsidRPr="00D14637">
        <w:rPr>
          <w:rFonts w:ascii="Open Sans" w:hAnsi="Open Sans" w:cs="Open Sans"/>
          <w:b/>
          <w:i/>
        </w:rPr>
        <w:t>quando</w:t>
      </w:r>
      <w:proofErr w:type="spellEnd"/>
      <w:r w:rsidR="00476E10" w:rsidRPr="00D14637">
        <w:rPr>
          <w:rFonts w:ascii="Open Sans" w:hAnsi="Open Sans" w:cs="Open Sans"/>
          <w:b/>
          <w:i/>
        </w:rPr>
        <w:t xml:space="preserve"> </w:t>
      </w:r>
      <w:proofErr w:type="spellStart"/>
      <w:r w:rsidR="00476E10" w:rsidRPr="00D14637">
        <w:rPr>
          <w:rFonts w:ascii="Open Sans" w:hAnsi="Open Sans" w:cs="Open Sans"/>
          <w:b/>
          <w:i/>
        </w:rPr>
        <w:t>já</w:t>
      </w:r>
      <w:proofErr w:type="spellEnd"/>
      <w:r w:rsidR="00476E10" w:rsidRPr="00D14637">
        <w:rPr>
          <w:rFonts w:ascii="Open Sans" w:hAnsi="Open Sans" w:cs="Open Sans"/>
          <w:b/>
          <w:i/>
        </w:rPr>
        <w:t xml:space="preserve"> </w:t>
      </w:r>
      <w:proofErr w:type="spellStart"/>
      <w:r w:rsidR="00476E10" w:rsidRPr="00D14637">
        <w:rPr>
          <w:rFonts w:ascii="Open Sans" w:hAnsi="Open Sans" w:cs="Open Sans"/>
          <w:b/>
          <w:i/>
        </w:rPr>
        <w:t>operada</w:t>
      </w:r>
      <w:proofErr w:type="spellEnd"/>
      <w:r w:rsidR="00476E10" w:rsidRPr="00D14637">
        <w:rPr>
          <w:rFonts w:ascii="Open Sans" w:hAnsi="Open Sans" w:cs="Open Sans"/>
          <w:b/>
          <w:i/>
        </w:rPr>
        <w:t xml:space="preserve"> a </w:t>
      </w:r>
      <w:proofErr w:type="spellStart"/>
      <w:r w:rsidR="00476E10" w:rsidRPr="00D14637">
        <w:rPr>
          <w:rFonts w:ascii="Open Sans" w:hAnsi="Open Sans" w:cs="Open Sans"/>
          <w:b/>
          <w:i/>
        </w:rPr>
        <w:t>preclusão</w:t>
      </w:r>
      <w:proofErr w:type="spellEnd"/>
      <w:r w:rsidR="00476E10" w:rsidRPr="00D14637">
        <w:rPr>
          <w:rFonts w:ascii="Open Sans" w:hAnsi="Open Sans" w:cs="Open Sans"/>
          <w:b/>
          <w:i/>
        </w:rPr>
        <w:t xml:space="preserve"> </w:t>
      </w:r>
      <w:proofErr w:type="spellStart"/>
      <w:r w:rsidR="00476E10" w:rsidRPr="00D14637">
        <w:rPr>
          <w:rFonts w:ascii="Open Sans" w:hAnsi="Open Sans" w:cs="Open Sans"/>
          <w:b/>
          <w:i/>
        </w:rPr>
        <w:t>consumativa</w:t>
      </w:r>
      <w:proofErr w:type="spellEnd"/>
      <w:r w:rsidR="00476E10" w:rsidRPr="00D14637">
        <w:rPr>
          <w:rFonts w:ascii="Open Sans" w:hAnsi="Open Sans" w:cs="Open Sans"/>
          <w:b/>
          <w:i/>
        </w:rPr>
        <w:t xml:space="preserve">. </w:t>
      </w:r>
      <w:proofErr w:type="spellStart"/>
      <w:r w:rsidR="00476E10" w:rsidRPr="00D14637">
        <w:rPr>
          <w:rFonts w:ascii="Open Sans" w:hAnsi="Open Sans" w:cs="Open Sans"/>
          <w:b/>
          <w:i/>
        </w:rPr>
        <w:t>Indeferimento</w:t>
      </w:r>
      <w:proofErr w:type="spellEnd"/>
      <w:r w:rsidR="00476E10" w:rsidRPr="00D14637">
        <w:rPr>
          <w:rFonts w:ascii="Open Sans" w:hAnsi="Open Sans" w:cs="Open Sans"/>
          <w:b/>
          <w:i/>
        </w:rPr>
        <w:t xml:space="preserve"> da </w:t>
      </w:r>
      <w:proofErr w:type="spellStart"/>
      <w:r w:rsidR="00476E10" w:rsidRPr="00D14637">
        <w:rPr>
          <w:rFonts w:ascii="Open Sans" w:hAnsi="Open Sans" w:cs="Open Sans"/>
          <w:b/>
          <w:i/>
        </w:rPr>
        <w:t>petição</w:t>
      </w:r>
      <w:proofErr w:type="spellEnd"/>
      <w:r w:rsidR="00476E10" w:rsidRPr="00D14637">
        <w:rPr>
          <w:rFonts w:ascii="Open Sans" w:hAnsi="Open Sans" w:cs="Open Sans"/>
          <w:b/>
          <w:i/>
        </w:rPr>
        <w:t xml:space="preserve"> </w:t>
      </w:r>
      <w:proofErr w:type="spellStart"/>
      <w:r w:rsidR="00476E10" w:rsidRPr="00D14637">
        <w:rPr>
          <w:rFonts w:ascii="Open Sans" w:hAnsi="Open Sans" w:cs="Open Sans"/>
          <w:b/>
          <w:i/>
        </w:rPr>
        <w:t>inicial</w:t>
      </w:r>
      <w:proofErr w:type="spellEnd"/>
      <w:r w:rsidR="00476E10" w:rsidRPr="00D14637">
        <w:rPr>
          <w:rFonts w:ascii="Open Sans" w:hAnsi="Open Sans" w:cs="Open Sans"/>
          <w:b/>
          <w:i/>
        </w:rPr>
        <w:t xml:space="preserve"> e </w:t>
      </w:r>
      <w:proofErr w:type="spellStart"/>
      <w:r w:rsidR="00476E10" w:rsidRPr="00D14637">
        <w:rPr>
          <w:rFonts w:ascii="Open Sans" w:hAnsi="Open Sans" w:cs="Open Sans"/>
          <w:b/>
          <w:i/>
        </w:rPr>
        <w:t>extinção</w:t>
      </w:r>
      <w:proofErr w:type="spellEnd"/>
      <w:r w:rsidR="00476E10" w:rsidRPr="00D14637">
        <w:rPr>
          <w:rFonts w:ascii="Open Sans" w:hAnsi="Open Sans" w:cs="Open Sans"/>
          <w:b/>
          <w:i/>
        </w:rPr>
        <w:t xml:space="preserve"> do </w:t>
      </w:r>
      <w:proofErr w:type="spellStart"/>
      <w:r w:rsidR="00476E10" w:rsidRPr="00D14637">
        <w:rPr>
          <w:rFonts w:ascii="Open Sans" w:hAnsi="Open Sans" w:cs="Open Sans"/>
          <w:b/>
          <w:i/>
        </w:rPr>
        <w:t>processo</w:t>
      </w:r>
      <w:proofErr w:type="spellEnd"/>
      <w:r w:rsidR="00476E10" w:rsidRPr="00D14637">
        <w:rPr>
          <w:rFonts w:ascii="Open Sans" w:hAnsi="Open Sans" w:cs="Open Sans"/>
          <w:b/>
          <w:i/>
        </w:rPr>
        <w:t xml:space="preserve"> </w:t>
      </w:r>
      <w:proofErr w:type="spellStart"/>
      <w:proofErr w:type="gramStart"/>
      <w:r w:rsidR="00476E10" w:rsidRPr="00D14637">
        <w:rPr>
          <w:rFonts w:ascii="Open Sans" w:hAnsi="Open Sans" w:cs="Open Sans"/>
          <w:b/>
          <w:i/>
        </w:rPr>
        <w:t>sem</w:t>
      </w:r>
      <w:proofErr w:type="spellEnd"/>
      <w:proofErr w:type="gramEnd"/>
      <w:r w:rsidR="00476E10" w:rsidRPr="00D14637">
        <w:rPr>
          <w:rFonts w:ascii="Open Sans" w:hAnsi="Open Sans" w:cs="Open Sans"/>
          <w:b/>
          <w:i/>
        </w:rPr>
        <w:t xml:space="preserve"> </w:t>
      </w:r>
      <w:proofErr w:type="spellStart"/>
      <w:r w:rsidR="00476E10" w:rsidRPr="00D14637">
        <w:rPr>
          <w:rFonts w:ascii="Open Sans" w:hAnsi="Open Sans" w:cs="Open Sans"/>
          <w:b/>
          <w:i/>
        </w:rPr>
        <w:t>resolução</w:t>
      </w:r>
      <w:proofErr w:type="spellEnd"/>
      <w:r w:rsidR="00476E10" w:rsidRPr="00D14637">
        <w:rPr>
          <w:rFonts w:ascii="Open Sans" w:hAnsi="Open Sans" w:cs="Open Sans"/>
          <w:b/>
          <w:i/>
        </w:rPr>
        <w:t xml:space="preserve"> do </w:t>
      </w:r>
      <w:proofErr w:type="spellStart"/>
      <w:r w:rsidR="00476E10" w:rsidRPr="00D14637">
        <w:rPr>
          <w:rFonts w:ascii="Open Sans" w:hAnsi="Open Sans" w:cs="Open Sans"/>
          <w:b/>
          <w:i/>
        </w:rPr>
        <w:t>mérito</w:t>
      </w:r>
      <w:proofErr w:type="spellEnd"/>
      <w:r w:rsidR="00476E10" w:rsidRPr="00D14637">
        <w:rPr>
          <w:rFonts w:ascii="Open Sans" w:hAnsi="Open Sans" w:cs="Open Sans"/>
          <w:b/>
          <w:i/>
        </w:rPr>
        <w:t>.</w:t>
      </w:r>
    </w:p>
    <w:p w:rsidR="00476E10" w:rsidRPr="00D14637" w:rsidRDefault="00476E10" w:rsidP="00D14637">
      <w:pPr>
        <w:ind w:left="-227" w:right="369"/>
        <w:jc w:val="both"/>
        <w:rPr>
          <w:rFonts w:ascii="Open Sans" w:hAnsi="Open Sans" w:cs="Open Sans"/>
          <w:color w:val="FF0000"/>
          <w:sz w:val="24"/>
          <w:szCs w:val="24"/>
        </w:rPr>
      </w:pPr>
      <w:r w:rsidRPr="00476E10">
        <w:rPr>
          <w:rFonts w:ascii="Open Sans" w:hAnsi="Open Sans" w:cs="Open Sans"/>
          <w:color w:val="000000"/>
          <w:sz w:val="24"/>
          <w:szCs w:val="24"/>
        </w:rPr>
        <w:t xml:space="preserve">Realizado o ato de emenda da petição inicial, não se admite posterior retificação daquilo que a parte alegou já ter cumprido, pois operada a preclusão </w:t>
      </w:r>
      <w:proofErr w:type="spellStart"/>
      <w:r w:rsidRPr="00476E10">
        <w:rPr>
          <w:rFonts w:ascii="Open Sans" w:hAnsi="Open Sans" w:cs="Open Sans"/>
          <w:color w:val="000000"/>
          <w:sz w:val="24"/>
          <w:szCs w:val="24"/>
        </w:rPr>
        <w:t>consumativa</w:t>
      </w:r>
      <w:proofErr w:type="spellEnd"/>
      <w:r w:rsidRPr="00476E10">
        <w:rPr>
          <w:rFonts w:ascii="Open Sans" w:hAnsi="Open Sans" w:cs="Open Sans"/>
          <w:color w:val="000000"/>
          <w:sz w:val="24"/>
          <w:szCs w:val="24"/>
        </w:rPr>
        <w:t xml:space="preserve"> para a prática do ato processual. No caso, o autor, ao emendar a petição inicial, afirmou que a procuração havia sido juntada aos autos, mas só a inseriu após a </w:t>
      </w:r>
      <w:r w:rsidR="00CE344F">
        <w:rPr>
          <w:rFonts w:ascii="Open Sans" w:hAnsi="Open Sans" w:cs="Open Sans"/>
          <w:color w:val="000000"/>
          <w:sz w:val="24"/>
          <w:szCs w:val="24"/>
        </w:rPr>
        <w:lastRenderedPageBreak/>
        <w:t>d</w:t>
      </w:r>
      <w:bookmarkStart w:id="0" w:name="_GoBack"/>
      <w:bookmarkEnd w:id="0"/>
      <w:r w:rsidR="00CE344F">
        <w:rPr>
          <w:rFonts w:ascii="Open Sans" w:hAnsi="Open Sans" w:cs="Open Sans"/>
          <w:color w:val="000000"/>
          <w:sz w:val="24"/>
          <w:szCs w:val="24"/>
        </w:rPr>
        <w:t xml:space="preserve">ecisão de extinção da ação. </w:t>
      </w:r>
      <w:r w:rsidRPr="00476E10">
        <w:rPr>
          <w:rFonts w:ascii="Open Sans" w:hAnsi="Open Sans" w:cs="Open Sans"/>
          <w:color w:val="000000"/>
          <w:sz w:val="24"/>
          <w:szCs w:val="24"/>
        </w:rPr>
        <w:t xml:space="preserve">Assim, na ocasião em que colacionou efetivamente a procuração atualizada, até então ausente, já havia se consumado a perda da faculdade processual de cumprimento da determinação de emenda no tocante ao vício em questão, especialmente porque o autor requereu a dilação de prazo exclusivamente para a apresentação da declaração de hipossuficiência, alegando que os demais vícios já haviam sido sanados. Sob esses fundamentos, a SBDI-II, por unanimidade, negou provimento ao recurso ordinário, vencidos, quanto à fundamentação, o Ministro Aloysio Corrêa da Veiga e a Desembargadora Convocada Margareth Rodrigues Costa. </w:t>
      </w:r>
      <w:r w:rsidRPr="00D14637">
        <w:rPr>
          <w:rFonts w:ascii="Open Sans" w:hAnsi="Open Sans" w:cs="Open Sans"/>
          <w:color w:val="0000FF" w:themeColor="hyperlink"/>
          <w:sz w:val="24"/>
          <w:szCs w:val="24"/>
          <w:u w:val="single"/>
        </w:rPr>
        <w:t xml:space="preserve">TST-ROT-6278-43.2021.5.15.0000, SBDI-II, rel. Min. Douglas Alencar Rodrigues, julgado em 20/2/2024. </w:t>
      </w:r>
    </w:p>
    <w:p w:rsidR="00476E10" w:rsidRPr="00D14637" w:rsidRDefault="00476E10" w:rsidP="00D14637">
      <w:pPr>
        <w:ind w:left="-227" w:right="369"/>
        <w:jc w:val="both"/>
        <w:rPr>
          <w:rFonts w:ascii="Open Sans" w:hAnsi="Open Sans" w:cs="Open Sans"/>
          <w:color w:val="FF0000"/>
          <w:sz w:val="24"/>
          <w:szCs w:val="24"/>
        </w:rPr>
      </w:pPr>
    </w:p>
    <w:p w:rsidR="00476E10" w:rsidRPr="00476E10" w:rsidRDefault="00476E10" w:rsidP="00D14637">
      <w:pPr>
        <w:autoSpaceDE/>
        <w:autoSpaceDN/>
        <w:ind w:left="-227" w:right="369"/>
        <w:jc w:val="both"/>
        <w:rPr>
          <w:rFonts w:ascii="Open Sans" w:eastAsia="Calibri" w:hAnsi="Open Sans" w:cs="Open Sans"/>
          <w:b/>
          <w:i/>
          <w:sz w:val="24"/>
          <w:szCs w:val="24"/>
          <w:lang w:eastAsia="en-US"/>
        </w:rPr>
      </w:pPr>
      <w:r w:rsidRPr="00476E10">
        <w:rPr>
          <w:rFonts w:ascii="Open Sans" w:eastAsia="Calibri" w:hAnsi="Open Sans" w:cs="Open Sans"/>
          <w:b/>
          <w:i/>
          <w:sz w:val="24"/>
          <w:szCs w:val="24"/>
          <w:lang w:eastAsia="en-US"/>
        </w:rPr>
        <w:t>Homologação de acordo extrajudicial. Simulação. Empregado não representado por advogado próprio e regularmente constituído. Caracterização de fraude e vício de consentimento. Papel fiscalizador do Poder Judiciário. Necessidade de atuação proativa do magistrado.</w:t>
      </w:r>
    </w:p>
    <w:p w:rsidR="00476E10" w:rsidRPr="00D14637" w:rsidRDefault="00476E10" w:rsidP="00D14637">
      <w:pPr>
        <w:autoSpaceDE/>
        <w:autoSpaceDN/>
        <w:ind w:left="-227" w:right="369"/>
        <w:jc w:val="both"/>
        <w:rPr>
          <w:rFonts w:ascii="Open Sans" w:eastAsia="Calibri" w:hAnsi="Open Sans" w:cs="Open Sans"/>
          <w:b/>
          <w:color w:val="FF0000"/>
          <w:sz w:val="24"/>
          <w:szCs w:val="24"/>
          <w:lang w:eastAsia="en-US"/>
        </w:rPr>
      </w:pPr>
      <w:r w:rsidRPr="00476E10">
        <w:rPr>
          <w:rFonts w:ascii="Open Sans" w:eastAsia="Calibri" w:hAnsi="Open Sans" w:cs="Open Sans"/>
          <w:sz w:val="24"/>
          <w:szCs w:val="24"/>
          <w:lang w:eastAsia="en-US"/>
        </w:rPr>
        <w:t xml:space="preserve">Cabe ao Poder </w:t>
      </w:r>
      <w:proofErr w:type="gramStart"/>
      <w:r w:rsidRPr="00476E10">
        <w:rPr>
          <w:rFonts w:ascii="Open Sans" w:eastAsia="Calibri" w:hAnsi="Open Sans" w:cs="Open Sans"/>
          <w:sz w:val="24"/>
          <w:szCs w:val="24"/>
          <w:lang w:eastAsia="en-US"/>
        </w:rPr>
        <w:t>Judiciário a responsabilidade de fiscalizar a lisura e regularidade das homologações de acordos extrajudiciais, exigindo-se do magistrado atuação proativa</w:t>
      </w:r>
      <w:proofErr w:type="gramEnd"/>
      <w:r w:rsidRPr="00476E10">
        <w:rPr>
          <w:rFonts w:ascii="Open Sans" w:eastAsia="Calibri" w:hAnsi="Open Sans" w:cs="Open Sans"/>
          <w:sz w:val="24"/>
          <w:szCs w:val="24"/>
          <w:lang w:eastAsia="en-US"/>
        </w:rPr>
        <w:t xml:space="preserve">. Dessa forma, ainda que não seja condição de validade, é recomendável que o juiz ouça diretamente as partes envolvidas para só depois conceder sua decisão homologatória. No presente caso, o magistrado deixou de realizar audiência e se limitou a analisar os aspectos formais do negócio jurídico. Entretanto, com base na prova dos autos, ficou evidenciado que o empregado, por não estar representado por advogado próprio e regularmente constituído, não teve consciência de que estava participando de um acordo extrajudicial em que outorgava quitação de seu contrato de trabalho, o que caracteriza fraude e vício de consentimento. Com esses fundamentos, a SBDI-II, por unanimidade, conheceu do recurso ordinário e, no mérito, negou-lhe provimento. </w:t>
      </w:r>
      <w:hyperlink r:id="rId9" w:history="1">
        <w:r w:rsidRPr="00D14637">
          <w:rPr>
            <w:rFonts w:ascii="Open Sans" w:eastAsia="Calibri" w:hAnsi="Open Sans" w:cs="Open Sans"/>
            <w:color w:val="0000FF" w:themeColor="hyperlink"/>
            <w:sz w:val="24"/>
            <w:szCs w:val="24"/>
            <w:u w:val="single"/>
            <w:lang w:eastAsia="en-US"/>
          </w:rPr>
          <w:t xml:space="preserve">TST-ROT-931-78.2021.5.06.0000, SBDI-II, rel. Min. Amaury Rodrigues Pinto Junior, </w:t>
        </w:r>
        <w:proofErr w:type="gramStart"/>
        <w:r w:rsidRPr="00D14637">
          <w:rPr>
            <w:rFonts w:ascii="Open Sans" w:eastAsia="Calibri" w:hAnsi="Open Sans" w:cs="Open Sans"/>
            <w:color w:val="0000FF" w:themeColor="hyperlink"/>
            <w:sz w:val="24"/>
            <w:szCs w:val="24"/>
            <w:u w:val="single"/>
            <w:lang w:eastAsia="en-US"/>
          </w:rPr>
          <w:t>9/2/2024.</w:t>
        </w:r>
        <w:proofErr w:type="gramEnd"/>
      </w:hyperlink>
      <w:r w:rsidRPr="00D14637">
        <w:rPr>
          <w:rFonts w:ascii="Open Sans" w:eastAsia="Calibri" w:hAnsi="Open Sans" w:cs="Open Sans"/>
          <w:sz w:val="24"/>
          <w:szCs w:val="24"/>
          <w:lang w:eastAsia="en-US"/>
        </w:rPr>
        <w:t xml:space="preserve"> </w:t>
      </w:r>
    </w:p>
    <w:p w:rsidR="006A6F3C" w:rsidRPr="00D14637" w:rsidRDefault="006A6F3C" w:rsidP="006A6F3C">
      <w:pPr>
        <w:ind w:left="-227" w:right="369"/>
        <w:jc w:val="both"/>
        <w:rPr>
          <w:rFonts w:ascii="Open Sans" w:hAnsi="Open Sans" w:cs="Open Sans"/>
          <w:color w:val="000000"/>
          <w:sz w:val="24"/>
          <w:szCs w:val="24"/>
        </w:rPr>
      </w:pPr>
    </w:p>
    <w:p w:rsidR="006A6F3C" w:rsidRPr="00476E10" w:rsidRDefault="006A6F3C" w:rsidP="006A6F3C">
      <w:pPr>
        <w:ind w:left="-227" w:right="369"/>
        <w:jc w:val="both"/>
        <w:rPr>
          <w:rFonts w:ascii="Open Sans" w:hAnsi="Open Sans" w:cs="Open Sans"/>
          <w:b/>
          <w:i/>
          <w:color w:val="000000"/>
          <w:sz w:val="24"/>
          <w:szCs w:val="24"/>
        </w:rPr>
      </w:pPr>
      <w:r w:rsidRPr="00476E10">
        <w:rPr>
          <w:rFonts w:ascii="Open Sans" w:hAnsi="Open Sans" w:cs="Open Sans"/>
          <w:b/>
          <w:i/>
          <w:color w:val="000000"/>
          <w:sz w:val="24"/>
          <w:szCs w:val="24"/>
        </w:rPr>
        <w:t>Arguição de inconstitucionalidade. Art. 525, § 15, do CPC. Interpretação que admite a possibilidade de ação rescisória fundamentada em decisão proferida pelo Supremo Tribunal Federal transitada em julgado após o biênio de que trata o art. 975 do CPC de 2015.</w:t>
      </w:r>
    </w:p>
    <w:p w:rsidR="006A6F3C" w:rsidRPr="00476E10" w:rsidRDefault="006A6F3C" w:rsidP="006A6F3C">
      <w:pPr>
        <w:ind w:left="-227" w:right="369"/>
        <w:jc w:val="both"/>
        <w:rPr>
          <w:rFonts w:ascii="Open Sans" w:hAnsi="Open Sans" w:cs="Open Sans"/>
          <w:b/>
          <w:i/>
          <w:color w:val="000000"/>
          <w:sz w:val="24"/>
          <w:szCs w:val="24"/>
        </w:rPr>
      </w:pPr>
      <w:r w:rsidRPr="00476E10">
        <w:rPr>
          <w:rFonts w:ascii="Open Sans" w:hAnsi="Open Sans" w:cs="Open Sans"/>
          <w:color w:val="000000"/>
          <w:sz w:val="24"/>
          <w:szCs w:val="24"/>
        </w:rPr>
        <w:t xml:space="preserve">A SBDI-II, por maioria, suscitou Incidente de Arguição de Inconstitucionalidade do art. 525, § 15, do CPC, na interpretação que admite a possibilidade de ação rescisória fundamentada em decisão proferida pelo Supremo Tribunal Federal transitada em julgado após o biênio de que trata o art. 975 do CPC de 2015. No caso, registrou-se a necessidade de verificar a conformação do referido dispositivo legal com a ordem constitucional, pois a norma, apesar de ter como suporte o princípio da supremacia da Constituição, detém potencial para pôr em risco o próprio postulado da incolumidade da coisa julgada, e reflexamente os princípios da segurança jurídica e do estado de direito, na hipótese de se admitir ação rescisória quando já ultrapassado o prazo legal </w:t>
      </w:r>
      <w:r w:rsidRPr="00476E10">
        <w:rPr>
          <w:rFonts w:ascii="Open Sans" w:hAnsi="Open Sans" w:cs="Open Sans"/>
          <w:color w:val="000000"/>
          <w:sz w:val="24"/>
          <w:szCs w:val="24"/>
        </w:rPr>
        <w:lastRenderedPageBreak/>
        <w:t xml:space="preserve">previsto para seu ajuizamento. Vencidos parcialmente o Ministro Aloysio Corrêa da Veiga e as Ministras Morgana de Almeida </w:t>
      </w:r>
      <w:proofErr w:type="spellStart"/>
      <w:r w:rsidRPr="00476E10">
        <w:rPr>
          <w:rFonts w:ascii="Open Sans" w:hAnsi="Open Sans" w:cs="Open Sans"/>
          <w:color w:val="000000"/>
          <w:sz w:val="24"/>
          <w:szCs w:val="24"/>
        </w:rPr>
        <w:t>Richa</w:t>
      </w:r>
      <w:proofErr w:type="spellEnd"/>
      <w:r w:rsidRPr="00476E10">
        <w:rPr>
          <w:rFonts w:ascii="Open Sans" w:hAnsi="Open Sans" w:cs="Open Sans"/>
          <w:color w:val="000000"/>
          <w:sz w:val="24"/>
          <w:szCs w:val="24"/>
        </w:rPr>
        <w:t xml:space="preserve"> e Liana </w:t>
      </w:r>
      <w:proofErr w:type="spellStart"/>
      <w:r w:rsidRPr="00476E10">
        <w:rPr>
          <w:rFonts w:ascii="Open Sans" w:hAnsi="Open Sans" w:cs="Open Sans"/>
          <w:color w:val="000000"/>
          <w:sz w:val="24"/>
          <w:szCs w:val="24"/>
        </w:rPr>
        <w:t>Chaib</w:t>
      </w:r>
      <w:proofErr w:type="spellEnd"/>
      <w:r w:rsidRPr="00476E10">
        <w:rPr>
          <w:rFonts w:ascii="Open Sans" w:hAnsi="Open Sans" w:cs="Open Sans"/>
          <w:color w:val="000000"/>
          <w:sz w:val="24"/>
          <w:szCs w:val="24"/>
        </w:rPr>
        <w:t xml:space="preserve">. </w:t>
      </w:r>
      <w:hyperlink r:id="rId10" w:history="1">
        <w:r w:rsidRPr="00D14637">
          <w:rPr>
            <w:rFonts w:ascii="Open Sans" w:hAnsi="Open Sans" w:cs="Open Sans"/>
            <w:color w:val="0000FF" w:themeColor="hyperlink"/>
            <w:sz w:val="24"/>
            <w:szCs w:val="24"/>
            <w:u w:val="single"/>
          </w:rPr>
          <w:t xml:space="preserve">TST-ROT-20117-10.2022.5.04.0000, SBDI-II, rel. Min. Luiz José Dezena da Silva, </w:t>
        </w:r>
        <w:proofErr w:type="gramStart"/>
        <w:r w:rsidRPr="00D14637">
          <w:rPr>
            <w:rFonts w:ascii="Open Sans" w:hAnsi="Open Sans" w:cs="Open Sans"/>
            <w:color w:val="0000FF" w:themeColor="hyperlink"/>
            <w:sz w:val="24"/>
            <w:szCs w:val="24"/>
            <w:u w:val="single"/>
          </w:rPr>
          <w:t>6/2/2024.</w:t>
        </w:r>
        <w:proofErr w:type="gramEnd"/>
      </w:hyperlink>
    </w:p>
    <w:p w:rsidR="00476E10" w:rsidRPr="00476E10" w:rsidRDefault="00476E10" w:rsidP="00D14637">
      <w:pPr>
        <w:autoSpaceDE/>
        <w:autoSpaceDN/>
        <w:ind w:left="-227" w:right="369"/>
        <w:jc w:val="both"/>
        <w:rPr>
          <w:rFonts w:ascii="Open Sans" w:hAnsi="Open Sans" w:cs="Open Sans"/>
          <w:color w:val="FF0000"/>
          <w:sz w:val="24"/>
          <w:szCs w:val="24"/>
        </w:rPr>
      </w:pPr>
    </w:p>
    <w:p w:rsidR="00476E10" w:rsidRPr="00476E10" w:rsidRDefault="00476E10" w:rsidP="00D14637">
      <w:pPr>
        <w:ind w:left="-227" w:right="369"/>
        <w:jc w:val="both"/>
        <w:rPr>
          <w:rFonts w:ascii="Open Sans" w:hAnsi="Open Sans" w:cs="Open Sans"/>
          <w:b/>
          <w:i/>
          <w:color w:val="000000"/>
          <w:sz w:val="24"/>
          <w:szCs w:val="24"/>
        </w:rPr>
      </w:pPr>
      <w:r w:rsidRPr="00476E10">
        <w:rPr>
          <w:rFonts w:ascii="Open Sans" w:hAnsi="Open Sans" w:cs="Open Sans"/>
          <w:b/>
          <w:i/>
          <w:color w:val="000000"/>
          <w:sz w:val="24"/>
          <w:szCs w:val="24"/>
        </w:rPr>
        <w:t xml:space="preserve">Ação civil pública. Obrigação de fazer. Inclusão de cláusulas nos contratos firmados entre administradora de shopping e empresas lojistas. Restrição do horário de funcionamento para proteção dos limites da jornada de trabalho dos empregados. Impossibilidade. Ausência de previsão legal. </w:t>
      </w:r>
    </w:p>
    <w:p w:rsidR="00476E10" w:rsidRPr="00D14637" w:rsidRDefault="00476E10" w:rsidP="00D14637">
      <w:pPr>
        <w:ind w:left="-227" w:right="369"/>
        <w:jc w:val="both"/>
        <w:rPr>
          <w:rFonts w:ascii="Open Sans" w:hAnsi="Open Sans" w:cs="Open Sans"/>
          <w:color w:val="0000FF" w:themeColor="hyperlink"/>
          <w:sz w:val="24"/>
          <w:szCs w:val="24"/>
          <w:u w:val="single"/>
        </w:rPr>
      </w:pPr>
      <w:r w:rsidRPr="00476E10">
        <w:rPr>
          <w:rFonts w:ascii="Open Sans" w:hAnsi="Open Sans" w:cs="Open Sans"/>
          <w:color w:val="000000"/>
          <w:sz w:val="24"/>
          <w:szCs w:val="24"/>
        </w:rPr>
        <w:t>Não cabe ao Poder Judiciário impor à administradora de shopping a obrigação de incluir, nos contratos firmados com as empresas lojistas, cláusulas que restrinjam o horário de funcionamento dos estabelecimentos com o objetivo de proteger a jornada dos trabalhadores, tendo em vista a ausência de previsão legal e por se tratar d</w:t>
      </w:r>
      <w:r w:rsidR="00CE344F">
        <w:rPr>
          <w:rFonts w:ascii="Open Sans" w:hAnsi="Open Sans" w:cs="Open Sans"/>
          <w:color w:val="000000"/>
          <w:sz w:val="24"/>
          <w:szCs w:val="24"/>
        </w:rPr>
        <w:t xml:space="preserve">e relação puramente comercial. </w:t>
      </w:r>
      <w:r w:rsidRPr="00476E10">
        <w:rPr>
          <w:rFonts w:ascii="Open Sans" w:hAnsi="Open Sans" w:cs="Open Sans"/>
          <w:color w:val="000000"/>
          <w:sz w:val="24"/>
          <w:szCs w:val="24"/>
        </w:rPr>
        <w:t xml:space="preserve">Sob esses fundamentos, a SBDI-II, por unanimidade, conheceu do recurso ordinário e, no mérito, negou-lhe provimento. </w:t>
      </w:r>
      <w:hyperlink r:id="rId11" w:history="1">
        <w:r w:rsidRPr="00D14637">
          <w:rPr>
            <w:rFonts w:ascii="Open Sans" w:hAnsi="Open Sans" w:cs="Open Sans"/>
            <w:color w:val="0000FF" w:themeColor="hyperlink"/>
            <w:sz w:val="24"/>
            <w:szCs w:val="24"/>
            <w:u w:val="single"/>
          </w:rPr>
          <w:t xml:space="preserve">TST-RO-1780-42.2016.5.09.0000, SBDI-II, rel. Min. Morgana de Almeida </w:t>
        </w:r>
        <w:proofErr w:type="spellStart"/>
        <w:r w:rsidRPr="00D14637">
          <w:rPr>
            <w:rFonts w:ascii="Open Sans" w:hAnsi="Open Sans" w:cs="Open Sans"/>
            <w:color w:val="0000FF" w:themeColor="hyperlink"/>
            <w:sz w:val="24"/>
            <w:szCs w:val="24"/>
            <w:u w:val="single"/>
          </w:rPr>
          <w:t>Richa</w:t>
        </w:r>
        <w:proofErr w:type="spellEnd"/>
        <w:r w:rsidRPr="00D14637">
          <w:rPr>
            <w:rFonts w:ascii="Open Sans" w:hAnsi="Open Sans" w:cs="Open Sans"/>
            <w:color w:val="0000FF" w:themeColor="hyperlink"/>
            <w:sz w:val="24"/>
            <w:szCs w:val="24"/>
            <w:u w:val="single"/>
          </w:rPr>
          <w:t xml:space="preserve">, julgado em 6/2/2024. </w:t>
        </w:r>
      </w:hyperlink>
    </w:p>
    <w:p w:rsidR="00476E10" w:rsidRPr="00A0413E" w:rsidRDefault="00476E10" w:rsidP="009E652F">
      <w:pPr>
        <w:ind w:left="-227" w:right="369"/>
        <w:jc w:val="both"/>
        <w:rPr>
          <w:rFonts w:ascii="Open Sans" w:hAnsi="Open Sans" w:cs="Open Sans"/>
          <w:color w:val="000000"/>
          <w:sz w:val="24"/>
          <w:szCs w:val="24"/>
        </w:rPr>
      </w:pPr>
    </w:p>
    <w:p w:rsidR="001A7589" w:rsidRPr="003509A3" w:rsidRDefault="001A7589" w:rsidP="009E652F">
      <w:pPr>
        <w:pStyle w:val="Ttulo1"/>
        <w:spacing w:before="0"/>
        <w:ind w:left="-142" w:right="510"/>
      </w:pPr>
      <w:r w:rsidRPr="003509A3">
        <w:t>TURMAS</w:t>
      </w:r>
    </w:p>
    <w:p w:rsidR="00D244CA" w:rsidRDefault="001A7589" w:rsidP="00E8587C">
      <w:pPr>
        <w:pStyle w:val="Cabealho"/>
        <w:tabs>
          <w:tab w:val="clear" w:pos="4419"/>
          <w:tab w:val="clear" w:pos="8838"/>
        </w:tabs>
        <w:ind w:left="-142" w:right="368" w:firstLine="142"/>
        <w:jc w:val="center"/>
        <w:rPr>
          <w:rFonts w:ascii="Open Sans" w:hAnsi="Open Sans" w:cs="Open Sans"/>
          <w:i/>
        </w:rPr>
      </w:pPr>
      <w:r w:rsidRPr="003509A3">
        <w:rPr>
          <w:rFonts w:ascii="Open Sans" w:hAnsi="Open Sans" w:cs="Open Sans"/>
          <w:i/>
        </w:rPr>
        <w:t>Transcrição de ementas selecionadas nas sessões de julgamento das Turmas do TST.</w:t>
      </w:r>
    </w:p>
    <w:p w:rsidR="00E8587C" w:rsidRPr="00E8587C" w:rsidRDefault="00E8587C" w:rsidP="00E8587C">
      <w:pPr>
        <w:pStyle w:val="Cabealho"/>
        <w:tabs>
          <w:tab w:val="clear" w:pos="4419"/>
          <w:tab w:val="clear" w:pos="8838"/>
        </w:tabs>
        <w:ind w:left="-142" w:right="368" w:firstLine="142"/>
        <w:jc w:val="center"/>
        <w:rPr>
          <w:rFonts w:ascii="Open Sans" w:hAnsi="Open Sans" w:cs="Open Sans"/>
          <w:i/>
          <w:sz w:val="24"/>
          <w:szCs w:val="24"/>
        </w:rPr>
      </w:pPr>
    </w:p>
    <w:p w:rsidR="00D244CA" w:rsidRPr="00D244CA" w:rsidRDefault="00D244CA" w:rsidP="00EC7DC9">
      <w:pPr>
        <w:ind w:left="-227" w:right="369"/>
        <w:jc w:val="both"/>
        <w:rPr>
          <w:rFonts w:ascii="Open Sans" w:hAnsi="Open Sans" w:cs="Open Sans"/>
          <w:color w:val="000000"/>
          <w:sz w:val="24"/>
          <w:szCs w:val="24"/>
        </w:rPr>
      </w:pPr>
      <w:r w:rsidRPr="00EC7DC9">
        <w:rPr>
          <w:rFonts w:ascii="Open Sans" w:hAnsi="Open Sans" w:cs="Open Sans"/>
          <w:bCs/>
          <w:color w:val="000000"/>
          <w:sz w:val="24"/>
          <w:szCs w:val="24"/>
        </w:rPr>
        <w:t xml:space="preserve">"I - AGRAVO INTERPOSTO PELO RECLAMANTE. ADICIONAL DE INSALUBRIDADE. AGENTE COMUNITÁRIO DE SAÚDE. CONTRATO DE TRABALHO EM VIGOR. Ante a possível má aplicação da Súmula 448, I, do TST, dá-se provimento ao agravo para reexaminar o recurso de revista. Agravo de que se dá provimento. II - RECURSO DE REVISTA INTERPOSTO PELO RECLAMADO. ADICIONAL DE INSALUBRIDADE. AGENTE COMUNITÁRIO DE SAÚDE. CONTRATO DE TRABALHO EM VIGOR. </w:t>
      </w:r>
      <w:proofErr w:type="gramStart"/>
      <w:r w:rsidRPr="00EC7DC9">
        <w:rPr>
          <w:rFonts w:ascii="Open Sans" w:hAnsi="Open Sans" w:cs="Open Sans"/>
          <w:bCs/>
          <w:color w:val="000000"/>
          <w:sz w:val="24"/>
          <w:szCs w:val="24"/>
        </w:rPr>
        <w:t>1</w:t>
      </w:r>
      <w:proofErr w:type="gramEnd"/>
      <w:r w:rsidRPr="00EC7DC9">
        <w:rPr>
          <w:rFonts w:ascii="Open Sans" w:hAnsi="Open Sans" w:cs="Open Sans"/>
          <w:bCs/>
          <w:color w:val="000000"/>
          <w:sz w:val="24"/>
          <w:szCs w:val="24"/>
        </w:rPr>
        <w:t>. O TRT manteve o reconhecimento do direito ao adicional de insalubridade em grau médio ao reclamante, agente comunitário de saúde. Convém registrar que o contrato de trabalho, ainda em vigor, teve início em 19/1/2015. 2. Esta Corte adotava o entendimento de que o agente comunitário de saúde não faria jus ao pagamento de adicional de insalubridade, pois as atividades por ele desenvolvidas, ainda que acarretassem o contato com agentes infectocontagiosos, não se enquadravam naquelas descritas no Anexo 14 da NR 15 da Portaria 3.214/78 do Ministério do Trabalho, por não serem desenvolvidas em estabelecimentos destinados aos cuidados da saúde humana (hospitais, serviços de emergência, enfermarias, ambulatórios, postos de vacinação, entre outros congêneres). 3. No entanto, o § 3.º do art. 9.º-A da Lei 11.350/2006, incluído pela Lei 13.342/2016 e com vigência a partir de 4/10/2016, impôs novo posicionamento em relação ao período de trabalho posterior 4/10/2016, para assegurar aos agentes comunitários de saúde e de combate às endemias o direito ao recebimento do adicional de insal</w:t>
      </w:r>
      <w:r w:rsidR="007B14E9" w:rsidRPr="00EC7DC9">
        <w:rPr>
          <w:rFonts w:ascii="Open Sans" w:hAnsi="Open Sans" w:cs="Open Sans"/>
          <w:bCs/>
          <w:color w:val="000000"/>
          <w:sz w:val="24"/>
          <w:szCs w:val="24"/>
        </w:rPr>
        <w:t>ubridade, desde que comprovado ‘</w:t>
      </w:r>
      <w:r w:rsidRPr="00EC7DC9">
        <w:rPr>
          <w:rFonts w:ascii="Open Sans" w:hAnsi="Open Sans" w:cs="Open Sans"/>
          <w:bCs/>
          <w:color w:val="000000"/>
          <w:sz w:val="24"/>
          <w:szCs w:val="24"/>
        </w:rPr>
        <w:t>o exercício de trabalho de forma habitual e permanente em condições insalubres acima dos limites de tolerância estabelecidos pelo órgão compet</w:t>
      </w:r>
      <w:r w:rsidR="007B14E9" w:rsidRPr="00EC7DC9">
        <w:rPr>
          <w:rFonts w:ascii="Open Sans" w:hAnsi="Open Sans" w:cs="Open Sans"/>
          <w:bCs/>
          <w:color w:val="000000"/>
          <w:sz w:val="24"/>
          <w:szCs w:val="24"/>
        </w:rPr>
        <w:t xml:space="preserve">ente do Poder Executivo </w:t>
      </w:r>
      <w:r w:rsidR="007B14E9" w:rsidRPr="00EC7DC9">
        <w:rPr>
          <w:rFonts w:ascii="Open Sans" w:hAnsi="Open Sans" w:cs="Open Sans"/>
          <w:bCs/>
          <w:color w:val="000000"/>
          <w:sz w:val="24"/>
          <w:szCs w:val="24"/>
        </w:rPr>
        <w:lastRenderedPageBreak/>
        <w:t>federal’</w:t>
      </w:r>
      <w:r w:rsidRPr="00EC7DC9">
        <w:rPr>
          <w:rFonts w:ascii="Open Sans" w:hAnsi="Open Sans" w:cs="Open Sans"/>
          <w:bCs/>
          <w:color w:val="000000"/>
          <w:sz w:val="24"/>
          <w:szCs w:val="24"/>
        </w:rPr>
        <w:t xml:space="preserve">. 4. Como confirmação ao que já estabelecido em legislação infraconstitucional, há, ainda, norma constitucional estabelecendo o direito ao adicional (art. 198, §10, CF/88 - dispositivo acrescido pela Emenda Constitucional nº 120/2022): </w:t>
      </w:r>
      <w:r w:rsidR="007B14E9" w:rsidRPr="00EC7DC9">
        <w:rPr>
          <w:rFonts w:ascii="Open Sans" w:hAnsi="Open Sans" w:cs="Open Sans"/>
          <w:bCs/>
          <w:i/>
          <w:color w:val="000000"/>
          <w:sz w:val="24"/>
          <w:szCs w:val="24"/>
        </w:rPr>
        <w:t>‘</w:t>
      </w:r>
      <w:r w:rsidRPr="00EC7DC9">
        <w:rPr>
          <w:rFonts w:ascii="Open Sans" w:hAnsi="Open Sans" w:cs="Open Sans"/>
          <w:bCs/>
          <w:color w:val="000000"/>
          <w:sz w:val="24"/>
          <w:szCs w:val="24"/>
        </w:rPr>
        <w:t xml:space="preserve">Os agentes comunitários de saúde e os agentes de </w:t>
      </w:r>
      <w:proofErr w:type="gramStart"/>
      <w:r w:rsidRPr="00EC7DC9">
        <w:rPr>
          <w:rFonts w:ascii="Open Sans" w:hAnsi="Open Sans" w:cs="Open Sans"/>
          <w:bCs/>
          <w:color w:val="000000"/>
          <w:sz w:val="24"/>
          <w:szCs w:val="24"/>
        </w:rPr>
        <w:t>combate</w:t>
      </w:r>
      <w:proofErr w:type="gramEnd"/>
      <w:r w:rsidRPr="00EC7DC9">
        <w:rPr>
          <w:rFonts w:ascii="Open Sans" w:hAnsi="Open Sans" w:cs="Open Sans"/>
          <w:bCs/>
          <w:color w:val="000000"/>
          <w:sz w:val="24"/>
          <w:szCs w:val="24"/>
        </w:rPr>
        <w:t xml:space="preserve"> às endemias terão também , em razão dos riscos inerentes às funções desempenhadas, aposentadoria especial e, somado aos seus vencimentos, adicional de insalubridade</w:t>
      </w:r>
      <w:r w:rsidR="007B14E9" w:rsidRPr="00EC7DC9">
        <w:rPr>
          <w:rFonts w:ascii="Open Sans" w:hAnsi="Open Sans" w:cs="Open Sans"/>
          <w:bCs/>
          <w:i/>
          <w:color w:val="000000"/>
          <w:sz w:val="24"/>
          <w:szCs w:val="24"/>
        </w:rPr>
        <w:t>’</w:t>
      </w:r>
      <w:r w:rsidRPr="00EC7DC9">
        <w:rPr>
          <w:rFonts w:ascii="Open Sans" w:hAnsi="Open Sans" w:cs="Open Sans"/>
          <w:bCs/>
          <w:i/>
          <w:color w:val="000000"/>
          <w:sz w:val="24"/>
          <w:szCs w:val="24"/>
        </w:rPr>
        <w:t xml:space="preserve">. </w:t>
      </w:r>
      <w:r w:rsidRPr="00EC7DC9">
        <w:rPr>
          <w:rFonts w:ascii="Open Sans" w:hAnsi="Open Sans" w:cs="Open Sans"/>
          <w:bCs/>
          <w:color w:val="000000"/>
          <w:sz w:val="24"/>
          <w:szCs w:val="24"/>
        </w:rPr>
        <w:t xml:space="preserve">5. Nota-se que o direito previsto ao agente comunitário de saúde parece inclusive mais amplo que os destinados aos trabalhadores em geral (art. 7.º, XXIII, CF/88), uma vez que para aqueles nem sequer exige-se regulamentação por lei. Nesse sentido, compreende-se que é devido o adicional de insalubridade ao agente comunitário de saúde pelo exercício ordinário e específico de sua atividade, independentemente de verificação de limites de tolerância por perícia, mas pela simples exposição ao contato com pacientes em residências, porque enquadrada no anexo 14 da NR 15 da Portaria </w:t>
      </w:r>
      <w:proofErr w:type="gramStart"/>
      <w:r w:rsidRPr="00EC7DC9">
        <w:rPr>
          <w:rFonts w:ascii="Open Sans" w:hAnsi="Open Sans" w:cs="Open Sans"/>
          <w:bCs/>
          <w:color w:val="000000"/>
          <w:sz w:val="24"/>
          <w:szCs w:val="24"/>
        </w:rPr>
        <w:t>3.214 .</w:t>
      </w:r>
      <w:proofErr w:type="gramEnd"/>
      <w:r w:rsidRPr="00EC7DC9">
        <w:rPr>
          <w:rFonts w:ascii="Open Sans" w:hAnsi="Open Sans" w:cs="Open Sans"/>
          <w:bCs/>
          <w:color w:val="000000"/>
          <w:sz w:val="24"/>
          <w:szCs w:val="24"/>
        </w:rPr>
        <w:t xml:space="preserve"> 6. No caso, é incontroverso que o reclamante realizava suas tarefas em contato, ainda que intermitente, com pacientes portadores de doenças infectocontagiosas, pelo que é devido o adicional de insalubridade em grau médio a partir de 4/10/2016. </w:t>
      </w:r>
      <w:proofErr w:type="gramStart"/>
      <w:r w:rsidRPr="00EC7DC9">
        <w:rPr>
          <w:rFonts w:ascii="Open Sans" w:hAnsi="Open Sans" w:cs="Open Sans"/>
          <w:bCs/>
          <w:color w:val="000000"/>
          <w:sz w:val="24"/>
          <w:szCs w:val="24"/>
        </w:rPr>
        <w:t>Recurso de revista conhecido e parcialmente provido."</w:t>
      </w:r>
      <w:proofErr w:type="gramEnd"/>
      <w:r w:rsidRPr="00EC7DC9">
        <w:rPr>
          <w:rFonts w:ascii="Open Sans" w:hAnsi="Open Sans" w:cs="Open Sans"/>
          <w:bCs/>
          <w:color w:val="000000"/>
          <w:sz w:val="24"/>
          <w:szCs w:val="24"/>
        </w:rPr>
        <w:t xml:space="preserve"> </w:t>
      </w:r>
      <w:r w:rsidRPr="00EC7DC9">
        <w:rPr>
          <w:rFonts w:ascii="Open Sans" w:hAnsi="Open Sans" w:cs="Open Sans"/>
          <w:bCs/>
          <w:sz w:val="24"/>
          <w:szCs w:val="24"/>
        </w:rPr>
        <w:t>(</w:t>
      </w:r>
      <w:hyperlink r:id="rId12" w:history="1">
        <w:r w:rsidRPr="00EC7DC9">
          <w:rPr>
            <w:rFonts w:ascii="Open Sans" w:hAnsi="Open Sans" w:cs="Open Sans"/>
            <w:color w:val="0000FF" w:themeColor="hyperlink"/>
            <w:sz w:val="24"/>
            <w:szCs w:val="24"/>
            <w:u w:val="single"/>
          </w:rPr>
          <w:t>TST-RR-20649-74.2017.5.04.06</w:t>
        </w:r>
        <w:r w:rsidR="007B14E9" w:rsidRPr="00EC7DC9">
          <w:rPr>
            <w:rFonts w:ascii="Open Sans" w:hAnsi="Open Sans" w:cs="Open Sans"/>
            <w:color w:val="0000FF" w:themeColor="hyperlink"/>
            <w:sz w:val="24"/>
            <w:szCs w:val="24"/>
            <w:u w:val="single"/>
          </w:rPr>
          <w:t>41</w:t>
        </w:r>
        <w:r w:rsidRPr="00EC7DC9">
          <w:rPr>
            <w:rFonts w:ascii="Open Sans" w:hAnsi="Open Sans" w:cs="Open Sans"/>
            <w:bCs/>
            <w:color w:val="0000FF" w:themeColor="hyperlink"/>
            <w:sz w:val="24"/>
            <w:szCs w:val="24"/>
            <w:u w:val="single"/>
          </w:rPr>
          <w:t xml:space="preserve">, 2ª Turma, rel. Min. </w:t>
        </w:r>
        <w:r w:rsidRPr="00EC7DC9">
          <w:rPr>
            <w:rFonts w:ascii="Open Sans" w:hAnsi="Open Sans" w:cs="Open Sans"/>
            <w:color w:val="0000FF" w:themeColor="hyperlink"/>
            <w:sz w:val="24"/>
            <w:szCs w:val="24"/>
            <w:u w:val="single"/>
          </w:rPr>
          <w:t xml:space="preserve">Maria Helena </w:t>
        </w:r>
        <w:proofErr w:type="spellStart"/>
        <w:r w:rsidRPr="00EC7DC9">
          <w:rPr>
            <w:rFonts w:ascii="Open Sans" w:hAnsi="Open Sans" w:cs="Open Sans"/>
            <w:color w:val="0000FF" w:themeColor="hyperlink"/>
            <w:sz w:val="24"/>
            <w:szCs w:val="24"/>
            <w:u w:val="single"/>
          </w:rPr>
          <w:t>Mallmann</w:t>
        </w:r>
        <w:proofErr w:type="spellEnd"/>
        <w:r w:rsidRPr="00EC7DC9">
          <w:rPr>
            <w:rFonts w:ascii="Open Sans" w:hAnsi="Open Sans" w:cs="Open Sans"/>
            <w:bCs/>
            <w:color w:val="0000FF" w:themeColor="hyperlink"/>
            <w:sz w:val="24"/>
            <w:szCs w:val="24"/>
            <w:u w:val="single"/>
          </w:rPr>
          <w:t>, julgado em 7/2/2024</w:t>
        </w:r>
      </w:hyperlink>
      <w:r w:rsidRPr="00EC7DC9">
        <w:rPr>
          <w:rFonts w:ascii="Open Sans" w:hAnsi="Open Sans" w:cs="Open Sans"/>
          <w:bCs/>
          <w:sz w:val="24"/>
          <w:szCs w:val="24"/>
        </w:rPr>
        <w:t xml:space="preserve">) </w:t>
      </w:r>
    </w:p>
    <w:p w:rsidR="002518B4" w:rsidRPr="00EC7DC9" w:rsidRDefault="002518B4" w:rsidP="00EC7DC9">
      <w:pPr>
        <w:ind w:left="-227" w:right="369"/>
        <w:jc w:val="both"/>
        <w:rPr>
          <w:rFonts w:ascii="Open Sans" w:hAnsi="Open Sans" w:cs="Open Sans"/>
          <w:sz w:val="24"/>
          <w:szCs w:val="24"/>
        </w:rPr>
      </w:pPr>
    </w:p>
    <w:p w:rsidR="00D244CA" w:rsidRPr="00D244CA" w:rsidRDefault="00D244CA" w:rsidP="00EC7DC9">
      <w:pPr>
        <w:ind w:left="-227" w:right="369"/>
        <w:jc w:val="both"/>
        <w:rPr>
          <w:rFonts w:ascii="Open Sans" w:hAnsi="Open Sans" w:cs="Open Sans"/>
          <w:sz w:val="24"/>
          <w:szCs w:val="24"/>
        </w:rPr>
      </w:pPr>
      <w:r w:rsidRPr="00EC7DC9">
        <w:rPr>
          <w:rFonts w:ascii="Open Sans" w:hAnsi="Open Sans" w:cs="Open Sans"/>
          <w:bCs/>
          <w:color w:val="000000"/>
          <w:sz w:val="24"/>
          <w:szCs w:val="24"/>
        </w:rPr>
        <w:t xml:space="preserve">"RECURSO DE REVISTA INTERPOSTO NA VIGÊNCIA DA LEI Nº 13.015/2014. AÇÃO CIVIL PÚBLICA. TUTELA INIBITÓRIA. “BANCO DE HORAS” NEGATIVO. HORAS NÃO TRABALHADAS. NEGOCIAÇÃO COLETIVA. CLÁUSULAS QUE PERMITEM DESCONTOS DOS VALORES CORRESPONDENTES AO FINAL DE 12 MESES OU POR OCASIÃO DA RESCISÃO CONTRATUAL A PEDIDO DO EMPREGADO OU MOTIVADA. VALIDADE. </w:t>
      </w:r>
      <w:proofErr w:type="gramStart"/>
      <w:r w:rsidRPr="00EC7DC9">
        <w:rPr>
          <w:rFonts w:ascii="Open Sans" w:hAnsi="Open Sans" w:cs="Open Sans"/>
          <w:bCs/>
          <w:color w:val="000000"/>
          <w:sz w:val="24"/>
          <w:szCs w:val="24"/>
        </w:rPr>
        <w:t>1</w:t>
      </w:r>
      <w:proofErr w:type="gramEnd"/>
      <w:r w:rsidRPr="00EC7DC9">
        <w:rPr>
          <w:rFonts w:ascii="Open Sans" w:hAnsi="Open Sans" w:cs="Open Sans"/>
          <w:bCs/>
          <w:color w:val="000000"/>
          <w:sz w:val="24"/>
          <w:szCs w:val="24"/>
        </w:rPr>
        <w:t xml:space="preserve">. Trata-se de ação civil pública ajuizada pelo Ministério Publico do Trabalho da 9ª Região visando compelir os réus a se absterem de firmar instrumentos coletivos com previsão de desconto do saldo negativo do </w:t>
      </w:r>
      <w:r w:rsidR="00E10E3E" w:rsidRPr="00EC7DC9">
        <w:rPr>
          <w:rFonts w:ascii="Open Sans" w:hAnsi="Open Sans" w:cs="Open Sans"/>
          <w:bCs/>
          <w:color w:val="000000"/>
          <w:sz w:val="24"/>
          <w:szCs w:val="24"/>
        </w:rPr>
        <w:t>‘</w:t>
      </w:r>
      <w:r w:rsidRPr="00EC7DC9">
        <w:rPr>
          <w:rFonts w:ascii="Open Sans" w:hAnsi="Open Sans" w:cs="Open Sans"/>
          <w:bCs/>
          <w:color w:val="000000"/>
          <w:sz w:val="24"/>
          <w:szCs w:val="24"/>
        </w:rPr>
        <w:t>banco de horas</w:t>
      </w:r>
      <w:r w:rsidR="00E10E3E" w:rsidRPr="00EC7DC9">
        <w:rPr>
          <w:rFonts w:ascii="Open Sans" w:hAnsi="Open Sans" w:cs="Open Sans"/>
          <w:bCs/>
          <w:color w:val="000000"/>
          <w:sz w:val="24"/>
          <w:szCs w:val="24"/>
        </w:rPr>
        <w:t>’</w:t>
      </w:r>
      <w:r w:rsidRPr="00EC7DC9">
        <w:rPr>
          <w:rFonts w:ascii="Open Sans" w:hAnsi="Open Sans" w:cs="Open Sans"/>
          <w:bCs/>
          <w:color w:val="000000"/>
          <w:sz w:val="24"/>
          <w:szCs w:val="24"/>
        </w:rPr>
        <w:t xml:space="preserve"> ao final de 12 meses, ou nas verbas rescisórias, em casos de pedido de demissão ou dispensa por justa causa. 2. Esta Corte Superior adotava entendimento de invalidade de cláusula normativa com previsão de desconto de horas extras não compensadas no salário ou nas verbas rescisórias, haja vista a ausência de previsão legal, bem como por configurar transferência dos riscos da atividade econômica para o trabalhador. 3. Contudo, no julgamento do ARE n. 1.121.633, em regime de Repercussão Geral, o Supremo Tribunal Federal firmou tese no sentido de que "são constitucionais os acordos e as convenções coletivos que, ao considerarem a adequação setorial negociada, pactuam limitações ou afastamentos de direitos trabalhistas, independentemente da explicitação especificada de vantagens compensatórias, desde que respeitados os direitos absolutamente indisponíveis" (Tema n. 1.046). Logo, o Supremo Tribunal Federal decidiu que a redução ou limitação dos direitos trabalhistas pelos acordos coletivos deve, em qualquer caso, respeito aos direitos absolutamente indisponíveis assegurados </w:t>
      </w:r>
      <w:r w:rsidR="00E10E3E" w:rsidRPr="00EC7DC9">
        <w:rPr>
          <w:rFonts w:ascii="Open Sans" w:hAnsi="Open Sans" w:cs="Open Sans"/>
          <w:bCs/>
          <w:color w:val="000000"/>
          <w:sz w:val="24"/>
          <w:szCs w:val="24"/>
        </w:rPr>
        <w:t>‘</w:t>
      </w:r>
      <w:r w:rsidRPr="00EC7DC9">
        <w:rPr>
          <w:rFonts w:ascii="Open Sans" w:hAnsi="Open Sans" w:cs="Open Sans"/>
          <w:bCs/>
          <w:color w:val="000000"/>
          <w:sz w:val="24"/>
          <w:szCs w:val="24"/>
        </w:rPr>
        <w:t>(i) pelas normas constitucionais, (</w:t>
      </w:r>
      <w:proofErr w:type="spellStart"/>
      <w:r w:rsidRPr="00EC7DC9">
        <w:rPr>
          <w:rFonts w:ascii="Open Sans" w:hAnsi="Open Sans" w:cs="Open Sans"/>
          <w:bCs/>
          <w:color w:val="000000"/>
          <w:sz w:val="24"/>
          <w:szCs w:val="24"/>
        </w:rPr>
        <w:t>ii</w:t>
      </w:r>
      <w:proofErr w:type="spellEnd"/>
      <w:r w:rsidRPr="00EC7DC9">
        <w:rPr>
          <w:rFonts w:ascii="Open Sans" w:hAnsi="Open Sans" w:cs="Open Sans"/>
          <w:bCs/>
          <w:color w:val="000000"/>
          <w:sz w:val="24"/>
          <w:szCs w:val="24"/>
        </w:rPr>
        <w:t xml:space="preserve">) pelas normas de tratados e </w:t>
      </w:r>
      <w:r w:rsidRPr="00EC7DC9">
        <w:rPr>
          <w:rFonts w:ascii="Open Sans" w:hAnsi="Open Sans" w:cs="Open Sans"/>
          <w:bCs/>
          <w:color w:val="000000"/>
          <w:sz w:val="24"/>
          <w:szCs w:val="24"/>
        </w:rPr>
        <w:lastRenderedPageBreak/>
        <w:t>convenções internacionais incorporadas ao Direito Brasileiro e (</w:t>
      </w:r>
      <w:proofErr w:type="spellStart"/>
      <w:r w:rsidRPr="00EC7DC9">
        <w:rPr>
          <w:rFonts w:ascii="Open Sans" w:hAnsi="Open Sans" w:cs="Open Sans"/>
          <w:bCs/>
          <w:color w:val="000000"/>
          <w:sz w:val="24"/>
          <w:szCs w:val="24"/>
        </w:rPr>
        <w:t>iii</w:t>
      </w:r>
      <w:proofErr w:type="spellEnd"/>
      <w:r w:rsidRPr="00EC7DC9">
        <w:rPr>
          <w:rFonts w:ascii="Open Sans" w:hAnsi="Open Sans" w:cs="Open Sans"/>
          <w:bCs/>
          <w:color w:val="000000"/>
          <w:sz w:val="24"/>
          <w:szCs w:val="24"/>
        </w:rPr>
        <w:t>) pelas normas que, mesmo infraconstitucionais, asseguram garantias mínimas de cidadania aos trabalhadores</w:t>
      </w:r>
      <w:r w:rsidR="00E10E3E" w:rsidRPr="00EC7DC9">
        <w:rPr>
          <w:rFonts w:ascii="Open Sans" w:hAnsi="Open Sans" w:cs="Open Sans"/>
          <w:bCs/>
          <w:color w:val="000000"/>
          <w:sz w:val="24"/>
          <w:szCs w:val="24"/>
        </w:rPr>
        <w:t>’</w:t>
      </w:r>
      <w:r w:rsidRPr="00EC7DC9">
        <w:rPr>
          <w:rFonts w:ascii="Open Sans" w:hAnsi="Open Sans" w:cs="Open Sans"/>
          <w:bCs/>
          <w:color w:val="000000"/>
          <w:sz w:val="24"/>
          <w:szCs w:val="24"/>
        </w:rPr>
        <w:t xml:space="preserve">. A Suprema Corte, portanto, prestigiou a negociação coletiva, mas ressalvou aqueles direitos considerados </w:t>
      </w:r>
      <w:proofErr w:type="gramStart"/>
      <w:r w:rsidRPr="00EC7DC9">
        <w:rPr>
          <w:rFonts w:ascii="Open Sans" w:hAnsi="Open Sans" w:cs="Open Sans"/>
          <w:bCs/>
          <w:color w:val="000000"/>
          <w:sz w:val="24"/>
          <w:szCs w:val="24"/>
        </w:rPr>
        <w:t>de</w:t>
      </w:r>
      <w:proofErr w:type="gramEnd"/>
      <w:r w:rsidRPr="00EC7DC9">
        <w:rPr>
          <w:rFonts w:ascii="Open Sans" w:hAnsi="Open Sans" w:cs="Open Sans"/>
          <w:bCs/>
          <w:color w:val="000000"/>
          <w:sz w:val="24"/>
          <w:szCs w:val="24"/>
        </w:rPr>
        <w:t xml:space="preserve"> indisponibilidade absoluta. 4. Com efeito, o regime jurídico assegurado pela Constituição Federal atinente ao labor </w:t>
      </w:r>
      <w:proofErr w:type="spellStart"/>
      <w:r w:rsidRPr="00EC7DC9">
        <w:rPr>
          <w:rFonts w:ascii="Open Sans" w:hAnsi="Open Sans" w:cs="Open Sans"/>
          <w:bCs/>
          <w:color w:val="000000"/>
          <w:sz w:val="24"/>
          <w:szCs w:val="24"/>
        </w:rPr>
        <w:t>sobrejornada</w:t>
      </w:r>
      <w:proofErr w:type="spellEnd"/>
      <w:r w:rsidRPr="00EC7DC9">
        <w:rPr>
          <w:rFonts w:ascii="Open Sans" w:hAnsi="Open Sans" w:cs="Open Sans"/>
          <w:bCs/>
          <w:color w:val="000000"/>
          <w:sz w:val="24"/>
          <w:szCs w:val="24"/>
        </w:rPr>
        <w:t xml:space="preserve"> impõe o pagamento das horas extras com adicional de, no mínimo, cinquenta por cento em relação ao salário-hora normal (art. 7º, XVI, da Constituição Federal) ou compensação de horários (art. 7º, XIII, da Constituição Federal). 5. A instituição de </w:t>
      </w:r>
      <w:r w:rsidR="00E10E3E" w:rsidRPr="00EC7DC9">
        <w:rPr>
          <w:rFonts w:ascii="Open Sans" w:hAnsi="Open Sans" w:cs="Open Sans"/>
          <w:bCs/>
          <w:color w:val="000000"/>
          <w:sz w:val="24"/>
          <w:szCs w:val="24"/>
        </w:rPr>
        <w:t>‘</w:t>
      </w:r>
      <w:r w:rsidRPr="00EC7DC9">
        <w:rPr>
          <w:rFonts w:ascii="Open Sans" w:hAnsi="Open Sans" w:cs="Open Sans"/>
          <w:bCs/>
          <w:color w:val="000000"/>
          <w:sz w:val="24"/>
          <w:szCs w:val="24"/>
        </w:rPr>
        <w:t>banco de horas</w:t>
      </w:r>
      <w:r w:rsidR="00E10E3E" w:rsidRPr="00EC7DC9">
        <w:rPr>
          <w:rFonts w:ascii="Open Sans" w:hAnsi="Open Sans" w:cs="Open Sans"/>
          <w:bCs/>
          <w:color w:val="000000"/>
          <w:sz w:val="24"/>
          <w:szCs w:val="24"/>
        </w:rPr>
        <w:t>’</w:t>
      </w:r>
      <w:r w:rsidRPr="00EC7DC9">
        <w:rPr>
          <w:rFonts w:ascii="Open Sans" w:hAnsi="Open Sans" w:cs="Open Sans"/>
          <w:bCs/>
          <w:color w:val="000000"/>
          <w:sz w:val="24"/>
          <w:szCs w:val="24"/>
        </w:rPr>
        <w:t xml:space="preserve"> com a possibilidade de desconto do tempo injustificadamente não trabalhado ao final de cada período de 12 (doze) meses ou nas verbas rescisórias em casos de pedido de demissão ou dispensa por justa causa, por si só, não é incompatível com a Constituição Federal, tratado internacional ou norma de medicina e segurança do trabalho. 6. Desse modo, à luz da tese vinculante do STF, impõe-se reconhecer a validade da norma coletiva em questão. Incidência da Súmula 333/TST e do art. 896, § 7.º, da CLT. </w:t>
      </w:r>
      <w:proofErr w:type="gramStart"/>
      <w:r w:rsidRPr="00EC7DC9">
        <w:rPr>
          <w:rFonts w:ascii="Open Sans" w:hAnsi="Open Sans" w:cs="Open Sans"/>
          <w:bCs/>
          <w:color w:val="000000"/>
          <w:sz w:val="24"/>
          <w:szCs w:val="24"/>
        </w:rPr>
        <w:t>Recurso de revista não conhecido."</w:t>
      </w:r>
      <w:proofErr w:type="gramEnd"/>
      <w:r w:rsidRPr="00EC7DC9">
        <w:rPr>
          <w:rFonts w:ascii="Open Sans" w:hAnsi="Open Sans" w:cs="Open Sans"/>
          <w:bCs/>
          <w:color w:val="000000"/>
          <w:sz w:val="24"/>
          <w:szCs w:val="24"/>
        </w:rPr>
        <w:t xml:space="preserve"> </w:t>
      </w:r>
      <w:r w:rsidRPr="00EC7DC9">
        <w:rPr>
          <w:rFonts w:ascii="Open Sans" w:hAnsi="Open Sans" w:cs="Open Sans"/>
          <w:bCs/>
          <w:sz w:val="24"/>
          <w:szCs w:val="24"/>
        </w:rPr>
        <w:t>(</w:t>
      </w:r>
      <w:hyperlink r:id="rId13" w:history="1">
        <w:r w:rsidRPr="00EC7DC9">
          <w:rPr>
            <w:rFonts w:ascii="Open Sans" w:hAnsi="Open Sans" w:cs="Open Sans"/>
            <w:color w:val="0000FF" w:themeColor="hyperlink"/>
            <w:sz w:val="24"/>
            <w:szCs w:val="24"/>
            <w:u w:val="single"/>
          </w:rPr>
          <w:t>TST-RR-116-23.2015.5.09.0513</w:t>
        </w:r>
        <w:r w:rsidRPr="00EC7DC9">
          <w:rPr>
            <w:rFonts w:ascii="Open Sans" w:hAnsi="Open Sans" w:cs="Open Sans"/>
            <w:bCs/>
            <w:color w:val="0000FF" w:themeColor="hyperlink"/>
            <w:sz w:val="24"/>
            <w:szCs w:val="24"/>
            <w:u w:val="single"/>
          </w:rPr>
          <w:t xml:space="preserve">, 2ª Turma, rel. Min. </w:t>
        </w:r>
        <w:r w:rsidRPr="00EC7DC9">
          <w:rPr>
            <w:rFonts w:ascii="Open Sans" w:hAnsi="Open Sans" w:cs="Open Sans"/>
            <w:color w:val="0000FF" w:themeColor="hyperlink"/>
            <w:sz w:val="24"/>
            <w:szCs w:val="24"/>
            <w:u w:val="single"/>
          </w:rPr>
          <w:t xml:space="preserve">Maria Helena </w:t>
        </w:r>
        <w:proofErr w:type="spellStart"/>
        <w:r w:rsidRPr="00EC7DC9">
          <w:rPr>
            <w:rFonts w:ascii="Open Sans" w:hAnsi="Open Sans" w:cs="Open Sans"/>
            <w:color w:val="0000FF" w:themeColor="hyperlink"/>
            <w:sz w:val="24"/>
            <w:szCs w:val="24"/>
            <w:u w:val="single"/>
          </w:rPr>
          <w:t>Mallmann</w:t>
        </w:r>
        <w:proofErr w:type="spellEnd"/>
        <w:r w:rsidRPr="00EC7DC9">
          <w:rPr>
            <w:rFonts w:ascii="Open Sans" w:hAnsi="Open Sans" w:cs="Open Sans"/>
            <w:bCs/>
            <w:color w:val="0000FF" w:themeColor="hyperlink"/>
            <w:sz w:val="24"/>
            <w:szCs w:val="24"/>
            <w:u w:val="single"/>
          </w:rPr>
          <w:t>, julgado em 21/2/2024</w:t>
        </w:r>
      </w:hyperlink>
      <w:r w:rsidRPr="00EC7DC9">
        <w:rPr>
          <w:rFonts w:ascii="Open Sans" w:hAnsi="Open Sans" w:cs="Open Sans"/>
          <w:bCs/>
          <w:sz w:val="24"/>
          <w:szCs w:val="24"/>
        </w:rPr>
        <w:t>)</w:t>
      </w:r>
    </w:p>
    <w:p w:rsidR="00D244CA" w:rsidRPr="00EC7DC9" w:rsidRDefault="00D244CA" w:rsidP="00EC7DC9">
      <w:pPr>
        <w:ind w:left="-227" w:right="369"/>
        <w:jc w:val="both"/>
        <w:rPr>
          <w:rFonts w:ascii="Open Sans" w:hAnsi="Open Sans" w:cs="Open Sans"/>
          <w:sz w:val="24"/>
          <w:szCs w:val="24"/>
        </w:rPr>
      </w:pPr>
    </w:p>
    <w:p w:rsidR="00476E10" w:rsidRPr="00EC7DC9" w:rsidRDefault="00476E10" w:rsidP="00EC7DC9">
      <w:pPr>
        <w:ind w:left="-227" w:right="369"/>
        <w:jc w:val="both"/>
        <w:rPr>
          <w:rFonts w:ascii="Open Sans" w:eastAsia="Calibri" w:hAnsi="Open Sans" w:cs="Open Sans"/>
          <w:b/>
          <w:color w:val="FF0000"/>
          <w:sz w:val="24"/>
          <w:szCs w:val="24"/>
          <w:lang w:eastAsia="en-US"/>
        </w:rPr>
      </w:pPr>
      <w:r w:rsidRPr="00EC7DC9">
        <w:rPr>
          <w:rFonts w:ascii="Open Sans" w:hAnsi="Open Sans" w:cs="Open Sans"/>
          <w:bCs/>
          <w:color w:val="000000"/>
          <w:sz w:val="24"/>
          <w:szCs w:val="24"/>
        </w:rPr>
        <w:t>“</w:t>
      </w:r>
      <w:r w:rsidRPr="00EC7DC9">
        <w:rPr>
          <w:rFonts w:ascii="Open Sans" w:hAnsi="Open Sans" w:cs="Open Sans"/>
          <w:bCs/>
          <w:sz w:val="24"/>
          <w:szCs w:val="24"/>
        </w:rPr>
        <w:t>AGRAVO. AGRAVO DE INSTRUMENTO EM RECURSO DE REVISTA. PROCESSO SOB A ÉGIDE DA LEI Nº 13.467/2017.</w:t>
      </w:r>
      <w:r w:rsidRPr="00EC7DC9">
        <w:rPr>
          <w:rFonts w:ascii="Open Sans" w:hAnsi="Open Sans" w:cs="Open Sans"/>
          <w:sz w:val="24"/>
          <w:szCs w:val="24"/>
        </w:rPr>
        <w:t xml:space="preserve"> </w:t>
      </w:r>
      <w:r w:rsidRPr="00EC7DC9">
        <w:rPr>
          <w:rFonts w:ascii="Open Sans" w:hAnsi="Open Sans" w:cs="Open Sans"/>
          <w:bCs/>
          <w:sz w:val="24"/>
          <w:szCs w:val="24"/>
        </w:rPr>
        <w:t xml:space="preserve">PROLAÇÃO DE JULGAMENTO PELA TÉCNICA DA MOTIVAÇÃO RELACIONAL. </w:t>
      </w:r>
      <w:proofErr w:type="gramStart"/>
      <w:r w:rsidRPr="00EC7DC9">
        <w:rPr>
          <w:rFonts w:ascii="Open Sans" w:hAnsi="Open Sans" w:cs="Open Sans"/>
          <w:bCs/>
          <w:sz w:val="24"/>
          <w:szCs w:val="24"/>
        </w:rPr>
        <w:t>1</w:t>
      </w:r>
      <w:proofErr w:type="gramEnd"/>
      <w:r w:rsidRPr="00EC7DC9">
        <w:rPr>
          <w:rFonts w:ascii="Open Sans" w:hAnsi="Open Sans" w:cs="Open Sans"/>
          <w:bCs/>
          <w:sz w:val="24"/>
          <w:szCs w:val="24"/>
        </w:rPr>
        <w:t>. NEGATIVA DE PRESTAÇÃO JURISDICIONAL. NÃO CONFIGURAÇÃO. 2. REDUÇÃO SALARIAL REALIZADA PELO EMPREGADOR COM APOIO NA HIPÓTESE EXCEPCIONAL PREVISTA NA MEDIDA PROVISÓRIA Nº 936/2020. AUSÊNCIA DE ACORDO BILATERAL. INVALIDADE</w:t>
      </w:r>
      <w:r w:rsidRPr="00EC7DC9">
        <w:rPr>
          <w:rFonts w:ascii="Open Sans" w:hAnsi="Open Sans" w:cs="Open Sans"/>
          <w:b/>
          <w:bCs/>
          <w:sz w:val="24"/>
          <w:szCs w:val="24"/>
        </w:rPr>
        <w:t xml:space="preserve">. </w:t>
      </w:r>
      <w:r w:rsidRPr="00EC7DC9">
        <w:rPr>
          <w:rFonts w:ascii="Open Sans" w:hAnsi="Open Sans" w:cs="Open Sans"/>
          <w:sz w:val="24"/>
          <w:szCs w:val="24"/>
        </w:rPr>
        <w:t>A Constituição de 1988 incorporou de modo expresso o princípio da irredutibilidade salarial (art. 7º, VI), garantia esta que decorre do princípio geral da inalterabilidade dos contratos, oriundo do tronco civilista primitivo. A própria Constituição, porém, atenua o princípio protetivo trabalhista, ao ressalvar a hipótese de a negociação sindical coletiva dispor sobre a redução salarial – desde que, é claro, não seja destituída de qualquer fundamento tipificado, conforme entendimento jurisprudencial que se</w:t>
      </w:r>
      <w:r w:rsidR="00CE344F">
        <w:rPr>
          <w:rFonts w:ascii="Open Sans" w:hAnsi="Open Sans" w:cs="Open Sans"/>
          <w:sz w:val="24"/>
          <w:szCs w:val="24"/>
        </w:rPr>
        <w:t xml:space="preserve"> firmou no âmbito desta Corte. </w:t>
      </w:r>
      <w:r w:rsidRPr="00EC7DC9">
        <w:rPr>
          <w:rFonts w:ascii="Open Sans" w:hAnsi="Open Sans" w:cs="Open Sans"/>
          <w:sz w:val="24"/>
          <w:szCs w:val="24"/>
        </w:rPr>
        <w:t xml:space="preserve">No contexto no período de enfrentamento do estado de calamidade pública e da emergência de saúde pública decorrente do </w:t>
      </w:r>
      <w:proofErr w:type="spellStart"/>
      <w:r w:rsidRPr="00EC7DC9">
        <w:rPr>
          <w:rFonts w:ascii="Open Sans" w:hAnsi="Open Sans" w:cs="Open Sans"/>
          <w:sz w:val="24"/>
          <w:szCs w:val="24"/>
        </w:rPr>
        <w:t>coronavírus</w:t>
      </w:r>
      <w:proofErr w:type="spellEnd"/>
      <w:r w:rsidRPr="00EC7DC9">
        <w:rPr>
          <w:rFonts w:ascii="Open Sans" w:hAnsi="Open Sans" w:cs="Open Sans"/>
          <w:sz w:val="24"/>
          <w:szCs w:val="24"/>
        </w:rPr>
        <w:t xml:space="preserve"> (covid-19), contudo, surgiu uma extremada e muito excepcional hipótese de redução salarial legitimada pela ordem jurídica, independentemente da participação sindical. Nesse sentido, a </w:t>
      </w:r>
      <w:proofErr w:type="spellStart"/>
      <w:r w:rsidRPr="00EC7DC9">
        <w:rPr>
          <w:rFonts w:ascii="Open Sans" w:hAnsi="Open Sans" w:cs="Open Sans"/>
          <w:sz w:val="24"/>
          <w:szCs w:val="24"/>
        </w:rPr>
        <w:t>MPr</w:t>
      </w:r>
      <w:proofErr w:type="spellEnd"/>
      <w:r w:rsidRPr="00EC7DC9">
        <w:rPr>
          <w:rFonts w:ascii="Open Sans" w:hAnsi="Open Sans" w:cs="Open Sans"/>
          <w:sz w:val="24"/>
          <w:szCs w:val="24"/>
        </w:rPr>
        <w:t xml:space="preserve">. nº 927/2020, em seu art. 18 (logo após, esse artigo foi revogado pela </w:t>
      </w:r>
      <w:proofErr w:type="spellStart"/>
      <w:r w:rsidRPr="00EC7DC9">
        <w:rPr>
          <w:rFonts w:ascii="Open Sans" w:hAnsi="Open Sans" w:cs="Open Sans"/>
          <w:sz w:val="24"/>
          <w:szCs w:val="24"/>
        </w:rPr>
        <w:t>MPr</w:t>
      </w:r>
      <w:proofErr w:type="spellEnd"/>
      <w:r w:rsidRPr="00EC7DC9">
        <w:rPr>
          <w:rFonts w:ascii="Open Sans" w:hAnsi="Open Sans" w:cs="Open Sans"/>
          <w:sz w:val="24"/>
          <w:szCs w:val="24"/>
        </w:rPr>
        <w:t xml:space="preserve">. nº 928/2020) e, especialmente, com a </w:t>
      </w:r>
      <w:proofErr w:type="spellStart"/>
      <w:r w:rsidRPr="00EC7DC9">
        <w:rPr>
          <w:rFonts w:ascii="Open Sans" w:hAnsi="Open Sans" w:cs="Open Sans"/>
          <w:sz w:val="24"/>
          <w:szCs w:val="24"/>
        </w:rPr>
        <w:t>M</w:t>
      </w:r>
      <w:r w:rsidR="00CE344F">
        <w:rPr>
          <w:rFonts w:ascii="Open Sans" w:hAnsi="Open Sans" w:cs="Open Sans"/>
          <w:sz w:val="24"/>
          <w:szCs w:val="24"/>
        </w:rPr>
        <w:t>Pr</w:t>
      </w:r>
      <w:proofErr w:type="spellEnd"/>
      <w:r w:rsidR="00CE344F">
        <w:rPr>
          <w:rFonts w:ascii="Open Sans" w:hAnsi="Open Sans" w:cs="Open Sans"/>
          <w:sz w:val="24"/>
          <w:szCs w:val="24"/>
        </w:rPr>
        <w:t xml:space="preserve">. nº </w:t>
      </w:r>
      <w:r w:rsidRPr="00EC7DC9">
        <w:rPr>
          <w:rFonts w:ascii="Open Sans" w:hAnsi="Open Sans" w:cs="Open Sans"/>
          <w:sz w:val="24"/>
          <w:szCs w:val="24"/>
        </w:rPr>
        <w:t xml:space="preserve">936/2020 (depois convertida na Lei 14.020/2020), foi autorizada expressamente a redução proporcional da jornada de trabalho e dos salários (art. 7º) e/ou a suspensão temporária do contrato trabalhista (art. 8º) mediante mero ajuste bilateral escrito entre as partes, sem negociação coletiva trabalhista. A regra foi convalidada pela Suprema Corte, por maioria de votos, no julgamento da ADI-6363-DF, nos termos do voto do Min. Alexandre de Moraes (redator para o acórdão) - vencidos o Min. </w:t>
      </w:r>
      <w:proofErr w:type="spellStart"/>
      <w:r w:rsidRPr="00EC7DC9">
        <w:rPr>
          <w:rFonts w:ascii="Open Sans" w:hAnsi="Open Sans" w:cs="Open Sans"/>
          <w:sz w:val="24"/>
          <w:szCs w:val="24"/>
        </w:rPr>
        <w:t>Lewandowisky</w:t>
      </w:r>
      <w:proofErr w:type="spellEnd"/>
      <w:r w:rsidRPr="00EC7DC9">
        <w:rPr>
          <w:rFonts w:ascii="Open Sans" w:hAnsi="Open Sans" w:cs="Open Sans"/>
          <w:sz w:val="24"/>
          <w:szCs w:val="24"/>
        </w:rPr>
        <w:t xml:space="preserve">, relator original, e os Ministros Edson </w:t>
      </w:r>
      <w:proofErr w:type="spellStart"/>
      <w:r w:rsidRPr="00EC7DC9">
        <w:rPr>
          <w:rFonts w:ascii="Open Sans" w:hAnsi="Open Sans" w:cs="Open Sans"/>
          <w:sz w:val="24"/>
          <w:szCs w:val="24"/>
        </w:rPr>
        <w:t>Fachin</w:t>
      </w:r>
      <w:proofErr w:type="spellEnd"/>
      <w:r w:rsidRPr="00EC7DC9">
        <w:rPr>
          <w:rFonts w:ascii="Open Sans" w:hAnsi="Open Sans" w:cs="Open Sans"/>
          <w:sz w:val="24"/>
          <w:szCs w:val="24"/>
        </w:rPr>
        <w:t xml:space="preserve"> e Rosa </w:t>
      </w:r>
      <w:r w:rsidRPr="00EC7DC9">
        <w:rPr>
          <w:rFonts w:ascii="Open Sans" w:hAnsi="Open Sans" w:cs="Open Sans"/>
          <w:sz w:val="24"/>
          <w:szCs w:val="24"/>
        </w:rPr>
        <w:lastRenderedPageBreak/>
        <w:t xml:space="preserve">Weber. Na situação vertente, discute-se a redução salarial concretizada pela Empresa Ré (Petróleo Brasileiro S.A.), no Estado de Minas Gerais, que atingiu cerca de 50 empregados do regime administrativo, com a </w:t>
      </w:r>
      <w:proofErr w:type="gramStart"/>
      <w:r w:rsidRPr="00EC7DC9">
        <w:rPr>
          <w:rFonts w:ascii="Open Sans" w:hAnsi="Open Sans" w:cs="Open Sans"/>
          <w:sz w:val="24"/>
          <w:szCs w:val="24"/>
        </w:rPr>
        <w:t>implementação</w:t>
      </w:r>
      <w:proofErr w:type="gramEnd"/>
      <w:r w:rsidRPr="00EC7DC9">
        <w:rPr>
          <w:rFonts w:ascii="Open Sans" w:hAnsi="Open Sans" w:cs="Open Sans"/>
          <w:sz w:val="24"/>
          <w:szCs w:val="24"/>
        </w:rPr>
        <w:t xml:space="preserve"> do seu ‘Plano de Resiliência’, durante a pandemia do </w:t>
      </w:r>
      <w:proofErr w:type="spellStart"/>
      <w:r w:rsidRPr="00EC7DC9">
        <w:rPr>
          <w:rFonts w:ascii="Open Sans" w:hAnsi="Open Sans" w:cs="Open Sans"/>
          <w:sz w:val="24"/>
          <w:szCs w:val="24"/>
        </w:rPr>
        <w:t>coronavírus</w:t>
      </w:r>
      <w:proofErr w:type="spellEnd"/>
      <w:r w:rsidRPr="00EC7DC9">
        <w:rPr>
          <w:rFonts w:ascii="Open Sans" w:hAnsi="Open Sans" w:cs="Open Sans"/>
          <w:sz w:val="24"/>
          <w:szCs w:val="24"/>
        </w:rPr>
        <w:t xml:space="preserve">. Embora a Empresa Ré tenha buscado amparar o referido Plano na legislação excepcional que autorizaria a afronta ao princípio da irredutibilidade salarial, naquele período específico, o fato é que, no caso concreto, a redução de jornada e salários foi perpetrada </w:t>
      </w:r>
      <w:r w:rsidRPr="00EC7DC9">
        <w:rPr>
          <w:rFonts w:ascii="Open Sans" w:hAnsi="Open Sans" w:cs="Open Sans"/>
          <w:bCs/>
          <w:i/>
          <w:iCs/>
          <w:sz w:val="24"/>
          <w:szCs w:val="24"/>
        </w:rPr>
        <w:t xml:space="preserve">de </w:t>
      </w:r>
      <w:r w:rsidRPr="00EC7DC9">
        <w:rPr>
          <w:rFonts w:ascii="Open Sans" w:hAnsi="Open Sans" w:cs="Open Sans"/>
          <w:bCs/>
          <w:iCs/>
          <w:sz w:val="24"/>
          <w:szCs w:val="24"/>
        </w:rPr>
        <w:t xml:space="preserve">forma unilateral pela Empresa, sem qualquer acordo individual com cada empregado substituído ou acordo coletivo, conforme se extrai </w:t>
      </w:r>
      <w:r w:rsidRPr="00EC7DC9">
        <w:rPr>
          <w:rFonts w:ascii="Open Sans" w:hAnsi="Open Sans" w:cs="Open Sans"/>
          <w:sz w:val="24"/>
          <w:szCs w:val="24"/>
        </w:rPr>
        <w:t>do acórdão regional</w:t>
      </w:r>
      <w:r w:rsidRPr="00EC7DC9">
        <w:rPr>
          <w:rFonts w:ascii="Open Sans" w:hAnsi="Open Sans" w:cs="Open Sans"/>
          <w:bCs/>
          <w:iCs/>
          <w:sz w:val="24"/>
          <w:szCs w:val="24"/>
        </w:rPr>
        <w:t xml:space="preserve">. Nesse contexto, não há dúvidas da ilegalidade da conduta patronal, razão pela qual deve ser mantida a decisão do TRT, que, ratificando a sentença, declarou a nulidade da alteração contratual promovida pela Reclamada, por meio do ‘Plano de Resiliência’, e a condenou a manter a remuneração integral dos substituídos paga em março de 2020, sem a aplicação da redução salarial definida no referido Plano. </w:t>
      </w:r>
      <w:r w:rsidRPr="00EC7DC9">
        <w:rPr>
          <w:rFonts w:ascii="Open Sans" w:hAnsi="Open Sans" w:cs="Open Sans"/>
          <w:bCs/>
          <w:sz w:val="24"/>
          <w:szCs w:val="24"/>
        </w:rPr>
        <w:t xml:space="preserve">Assim sendo, a decisão agravada, que negou provimento ao agravo de instrumento da Reclamada, foi proferida em estrita observância às normas processuais (art. 557, </w:t>
      </w:r>
      <w:r w:rsidRPr="00EC7DC9">
        <w:rPr>
          <w:rFonts w:ascii="Open Sans" w:hAnsi="Open Sans" w:cs="Open Sans"/>
          <w:bCs/>
          <w:i/>
          <w:sz w:val="24"/>
          <w:szCs w:val="24"/>
        </w:rPr>
        <w:t>caput</w:t>
      </w:r>
      <w:r w:rsidRPr="00EC7DC9">
        <w:rPr>
          <w:rFonts w:ascii="Open Sans" w:hAnsi="Open Sans" w:cs="Open Sans"/>
          <w:bCs/>
          <w:sz w:val="24"/>
          <w:szCs w:val="24"/>
        </w:rPr>
        <w:t xml:space="preserve">, do CPC/1973; </w:t>
      </w:r>
      <w:proofErr w:type="spellStart"/>
      <w:r w:rsidRPr="00EC7DC9">
        <w:rPr>
          <w:rFonts w:ascii="Open Sans" w:hAnsi="Open Sans" w:cs="Open Sans"/>
          <w:bCs/>
          <w:sz w:val="24"/>
          <w:szCs w:val="24"/>
        </w:rPr>
        <w:t>arts</w:t>
      </w:r>
      <w:proofErr w:type="spellEnd"/>
      <w:r w:rsidRPr="00EC7DC9">
        <w:rPr>
          <w:rFonts w:ascii="Open Sans" w:hAnsi="Open Sans" w:cs="Open Sans"/>
          <w:bCs/>
          <w:sz w:val="24"/>
          <w:szCs w:val="24"/>
        </w:rPr>
        <w:t>. 14 e 932, IV, ‘a’</w:t>
      </w:r>
      <w:r w:rsidRPr="00EC7DC9">
        <w:rPr>
          <w:rFonts w:ascii="Open Sans" w:hAnsi="Open Sans" w:cs="Open Sans"/>
          <w:bCs/>
          <w:i/>
          <w:sz w:val="24"/>
          <w:szCs w:val="24"/>
        </w:rPr>
        <w:t>,</w:t>
      </w:r>
      <w:r w:rsidRPr="00EC7DC9">
        <w:rPr>
          <w:rFonts w:ascii="Open Sans" w:hAnsi="Open Sans" w:cs="Open Sans"/>
          <w:bCs/>
          <w:sz w:val="24"/>
          <w:szCs w:val="24"/>
        </w:rPr>
        <w:t xml:space="preserve"> do CPC/2015), razão pela qual é insuscetível de reforma ou reconsideração</w:t>
      </w:r>
      <w:r w:rsidRPr="00EC7DC9">
        <w:rPr>
          <w:rFonts w:ascii="Open Sans" w:hAnsi="Open Sans" w:cs="Open Sans"/>
          <w:b/>
          <w:bCs/>
          <w:sz w:val="24"/>
          <w:szCs w:val="24"/>
        </w:rPr>
        <w:t xml:space="preserve">. </w:t>
      </w:r>
      <w:proofErr w:type="gramStart"/>
      <w:r w:rsidRPr="00EC7DC9">
        <w:rPr>
          <w:rFonts w:ascii="Open Sans" w:hAnsi="Open Sans" w:cs="Open Sans"/>
          <w:bCs/>
          <w:sz w:val="24"/>
          <w:szCs w:val="24"/>
        </w:rPr>
        <w:t>Agravo desprovido</w:t>
      </w:r>
      <w:r w:rsidRPr="00EC7DC9">
        <w:rPr>
          <w:rFonts w:ascii="Open Sans" w:hAnsi="Open Sans" w:cs="Open Sans"/>
          <w:b/>
          <w:bCs/>
          <w:sz w:val="24"/>
          <w:szCs w:val="24"/>
        </w:rPr>
        <w:t>.</w:t>
      </w:r>
      <w:r w:rsidRPr="00EC7DC9">
        <w:rPr>
          <w:rFonts w:ascii="Open Sans" w:hAnsi="Open Sans" w:cs="Open Sans"/>
          <w:sz w:val="24"/>
          <w:szCs w:val="24"/>
        </w:rPr>
        <w:t>“</w:t>
      </w:r>
      <w:proofErr w:type="gramEnd"/>
      <w:r w:rsidRPr="00EC7DC9">
        <w:rPr>
          <w:rFonts w:ascii="Open Sans" w:hAnsi="Open Sans" w:cs="Open Sans"/>
          <w:sz w:val="24"/>
          <w:szCs w:val="24"/>
        </w:rPr>
        <w:t xml:space="preserve"> </w:t>
      </w:r>
      <w:r w:rsidRPr="00EC7DC9">
        <w:rPr>
          <w:rFonts w:ascii="Open Sans" w:hAnsi="Open Sans" w:cs="Open Sans"/>
          <w:bCs/>
          <w:sz w:val="24"/>
          <w:szCs w:val="24"/>
        </w:rPr>
        <w:t>(</w:t>
      </w:r>
      <w:bookmarkStart w:id="1" w:name="NumProc"/>
      <w:r w:rsidRPr="00EC7DC9">
        <w:rPr>
          <w:rFonts w:ascii="Open Sans" w:hAnsi="Open Sans" w:cs="Open Sans"/>
          <w:color w:val="000000"/>
          <w:sz w:val="24"/>
          <w:szCs w:val="24"/>
        </w:rPr>
        <w:fldChar w:fldCharType="begin"/>
      </w:r>
      <w:r w:rsidRPr="00EC7DC9">
        <w:rPr>
          <w:rFonts w:ascii="Open Sans" w:hAnsi="Open Sans" w:cs="Open Sans"/>
          <w:color w:val="000000"/>
          <w:sz w:val="24"/>
          <w:szCs w:val="24"/>
        </w:rPr>
        <w:instrText xml:space="preserve"> HYPERLINK "https://consultaprocessual.tst.jus.br/consultaProcessual/consultaTstNumUnica.do?consulta=Consultar&amp;conscsjt=&amp;numeroTst=10335&amp;digitoTst=07&amp;anoTst=2020&amp;orgaoTst=5&amp;tribunalTst=03&amp;varaTst=0087&amp;submit=Consultar" </w:instrText>
      </w:r>
      <w:r w:rsidRPr="00EC7DC9">
        <w:rPr>
          <w:rFonts w:ascii="Open Sans" w:hAnsi="Open Sans" w:cs="Open Sans"/>
          <w:color w:val="000000"/>
          <w:sz w:val="24"/>
          <w:szCs w:val="24"/>
        </w:rPr>
        <w:fldChar w:fldCharType="separate"/>
      </w:r>
      <w:r w:rsidRPr="00EC7DC9">
        <w:rPr>
          <w:rFonts w:ascii="Open Sans" w:hAnsi="Open Sans" w:cs="Open Sans"/>
          <w:color w:val="0000FF" w:themeColor="hyperlink"/>
          <w:sz w:val="24"/>
          <w:szCs w:val="24"/>
          <w:u w:val="single"/>
        </w:rPr>
        <w:t>TST-</w:t>
      </w:r>
      <w:bookmarkEnd w:id="1"/>
      <w:r w:rsidRPr="00EC7DC9">
        <w:rPr>
          <w:rFonts w:ascii="Open Sans" w:hAnsi="Open Sans" w:cs="Open Sans"/>
          <w:color w:val="0000FF" w:themeColor="hyperlink"/>
          <w:sz w:val="24"/>
          <w:szCs w:val="24"/>
          <w:u w:val="single"/>
        </w:rPr>
        <w:t>Ag-AIRR-10335-07.2020.5.03.0087</w:t>
      </w:r>
      <w:r w:rsidRPr="00EC7DC9">
        <w:rPr>
          <w:rFonts w:ascii="Open Sans" w:hAnsi="Open Sans" w:cs="Open Sans"/>
          <w:bCs/>
          <w:color w:val="0000FF" w:themeColor="hyperlink"/>
          <w:sz w:val="24"/>
          <w:szCs w:val="24"/>
          <w:u w:val="single"/>
        </w:rPr>
        <w:t xml:space="preserve">, 3ª Turma, rel. Min. </w:t>
      </w:r>
      <w:r w:rsidRPr="00EC7DC9">
        <w:rPr>
          <w:rFonts w:ascii="Open Sans" w:hAnsi="Open Sans" w:cs="Open Sans"/>
          <w:color w:val="0000FF" w:themeColor="hyperlink"/>
          <w:sz w:val="24"/>
          <w:szCs w:val="24"/>
          <w:u w:val="single"/>
        </w:rPr>
        <w:t>Mauricio Godinho Delgado</w:t>
      </w:r>
      <w:r w:rsidRPr="00EC7DC9">
        <w:rPr>
          <w:rFonts w:ascii="Open Sans" w:hAnsi="Open Sans" w:cs="Open Sans"/>
          <w:bCs/>
          <w:color w:val="0000FF" w:themeColor="hyperlink"/>
          <w:sz w:val="24"/>
          <w:szCs w:val="24"/>
          <w:u w:val="single"/>
        </w:rPr>
        <w:t>, julgado em 7/2/2024</w:t>
      </w:r>
      <w:r w:rsidRPr="00EC7DC9">
        <w:rPr>
          <w:rFonts w:ascii="Open Sans" w:hAnsi="Open Sans" w:cs="Open Sans"/>
          <w:color w:val="000000"/>
          <w:sz w:val="24"/>
          <w:szCs w:val="24"/>
        </w:rPr>
        <w:fldChar w:fldCharType="end"/>
      </w:r>
      <w:r w:rsidRPr="00EC7DC9">
        <w:rPr>
          <w:rFonts w:ascii="Open Sans" w:hAnsi="Open Sans" w:cs="Open Sans"/>
          <w:bCs/>
          <w:sz w:val="24"/>
          <w:szCs w:val="24"/>
        </w:rPr>
        <w:t>)</w:t>
      </w:r>
    </w:p>
    <w:p w:rsidR="00D244CA" w:rsidRPr="00EC7DC9" w:rsidRDefault="00D244CA" w:rsidP="00EC7DC9">
      <w:pPr>
        <w:ind w:left="-227" w:right="369"/>
        <w:jc w:val="both"/>
        <w:rPr>
          <w:rFonts w:ascii="Open Sans" w:eastAsia="Calibri" w:hAnsi="Open Sans" w:cs="Open Sans"/>
          <w:b/>
          <w:color w:val="FF0000"/>
          <w:sz w:val="24"/>
          <w:szCs w:val="24"/>
          <w:lang w:eastAsia="en-US"/>
        </w:rPr>
      </w:pPr>
    </w:p>
    <w:p w:rsidR="00D244CA" w:rsidRPr="00D244CA" w:rsidRDefault="00D244CA" w:rsidP="00EC7DC9">
      <w:pPr>
        <w:ind w:left="-227" w:right="369"/>
        <w:jc w:val="both"/>
        <w:rPr>
          <w:rFonts w:ascii="Open Sans" w:hAnsi="Open Sans" w:cs="Open Sans"/>
          <w:color w:val="000000"/>
          <w:sz w:val="24"/>
          <w:szCs w:val="24"/>
        </w:rPr>
      </w:pPr>
      <w:proofErr w:type="gramStart"/>
      <w:r w:rsidRPr="00EC7DC9">
        <w:rPr>
          <w:rFonts w:ascii="Open Sans" w:hAnsi="Open Sans" w:cs="Open Sans"/>
          <w:bCs/>
          <w:color w:val="000000"/>
          <w:sz w:val="24"/>
          <w:szCs w:val="24"/>
        </w:rPr>
        <w:t>“</w:t>
      </w:r>
      <w:r w:rsidRPr="00D244CA">
        <w:rPr>
          <w:rFonts w:ascii="Open Sans" w:hAnsi="Open Sans" w:cs="Open Sans"/>
          <w:bCs/>
          <w:sz w:val="24"/>
          <w:szCs w:val="24"/>
        </w:rPr>
        <w:t>AGRAVO DE INSTRUMENTO.</w:t>
      </w:r>
      <w:proofErr w:type="gramEnd"/>
      <w:r w:rsidRPr="00D244CA">
        <w:rPr>
          <w:rFonts w:ascii="Open Sans" w:hAnsi="Open Sans" w:cs="Open Sans"/>
          <w:bCs/>
          <w:sz w:val="24"/>
          <w:szCs w:val="24"/>
        </w:rPr>
        <w:t xml:space="preserve"> RECURSO DE REVISTA. PROCESSO SOB A ÉGIDE DAS LEIS 13.015/2014 E LEI 13.467/2017. </w:t>
      </w:r>
      <w:r w:rsidRPr="00D244CA">
        <w:rPr>
          <w:rFonts w:ascii="Open Sans" w:hAnsi="Open Sans" w:cs="Open Sans"/>
          <w:bCs/>
          <w:color w:val="000000"/>
          <w:sz w:val="24"/>
          <w:szCs w:val="24"/>
        </w:rPr>
        <w:t xml:space="preserve">EMPRESA BRASILEIRA DE SERVIÇOS HOSPITALARES – EBSERH. </w:t>
      </w:r>
      <w:r w:rsidRPr="00D244CA">
        <w:rPr>
          <w:rFonts w:ascii="Open Sans" w:hAnsi="Open Sans" w:cs="Open Sans"/>
          <w:bCs/>
          <w:sz w:val="24"/>
          <w:szCs w:val="24"/>
        </w:rPr>
        <w:t xml:space="preserve">APLICABILIDADE DA LEI Nº 1.234/1950. FÉRIAS SEMESTRAIS DE 20 DIAS. TÉCNICO EM RADIOLOGIA. </w:t>
      </w:r>
      <w:r w:rsidRPr="00D244CA">
        <w:rPr>
          <w:rFonts w:ascii="Open Sans" w:hAnsi="Open Sans" w:cs="Open Sans"/>
          <w:color w:val="000000"/>
          <w:sz w:val="24"/>
          <w:szCs w:val="24"/>
        </w:rPr>
        <w:t xml:space="preserve">Cinge-se a controvérsia sobre a extensão férias de 20 dias por semestre para os profissionais que operam diretamente com Raios X e substâncias radioativas, contida no art. 1º, “b”, da Lei nº 1.234/1950; e art. 1º do Decreto nº 81.384/78 aos empregados da Reclamada – empresa pública federal que possui por finalidade a prestação de serviços gratuitos de assistência médico-hospitalar, ambulatorial e de apoio diagnóstico e terapêutico à comunidade, inseridos integral e exclusivamente no âmbito do Sistema Único de Saúde - SUS, assim como a prestação, às instituições públicas federais de ensino ou instituições congêneres, de serviços de apoio ao ensino, à pesquisa e à extensão, ao ensino-aprendizagem e à formação de pessoas no campo da saúde pública. </w:t>
      </w:r>
      <w:r w:rsidRPr="00D244CA">
        <w:rPr>
          <w:rFonts w:ascii="Open Sans" w:hAnsi="Open Sans" w:cs="Open Sans"/>
          <w:bCs/>
          <w:sz w:val="24"/>
          <w:szCs w:val="24"/>
        </w:rPr>
        <w:t xml:space="preserve">É cediço que a jurisprudência desta Corte firmou-se no sentido que a previsão, quanto às férias de 20 dias por semestre para os profissionais que operam diretamente com Raios X e substâncias radioativas, contida no art. 1º, “b”, da Lei nº 1.234/1950; e art. 1º do Decreto nº 81.384/78, é restrita aos servidores públicos da Administração Pública Direta e de suas autarquias – pessoas jurídicas de direito público -, não se estendendo aos empregados de empresas públicas federais, pois estas se submetem ao regime jurídico próprio das empresas privadas, nos termos do art. 173, § 1º, II, da CF. </w:t>
      </w:r>
      <w:r w:rsidRPr="00D244CA">
        <w:rPr>
          <w:rFonts w:ascii="Open Sans" w:hAnsi="Open Sans" w:cs="Open Sans"/>
          <w:color w:val="000000"/>
          <w:sz w:val="24"/>
          <w:szCs w:val="24"/>
        </w:rPr>
        <w:t xml:space="preserve">Entretanto, considerando a recente decisão proferida pelo Tribunal Pleno desta Corte Superior, nos autos do </w:t>
      </w:r>
      <w:r w:rsidRPr="00D244CA">
        <w:rPr>
          <w:rFonts w:ascii="Open Sans" w:hAnsi="Open Sans" w:cs="Open Sans"/>
          <w:color w:val="000000"/>
          <w:sz w:val="24"/>
          <w:szCs w:val="24"/>
        </w:rPr>
        <w:lastRenderedPageBreak/>
        <w:t xml:space="preserve">processo E-RR-252-19.2017.5.13.0002 (DEJT 16/05/2023), que entendeu fazer a Reclamada jus aos privilégios próprios da Fazenda Pública, tem-se que o exame da presente controvérsia demanda uma maior reflexão. O Tribunal Pleno desta Corte Superior, ao julgar o Processo E-RR-252-19.2017.5.13.0002, </w:t>
      </w:r>
      <w:proofErr w:type="gramStart"/>
      <w:r w:rsidRPr="00D244CA">
        <w:rPr>
          <w:rFonts w:ascii="Open Sans" w:hAnsi="Open Sans" w:cs="Open Sans"/>
          <w:color w:val="000000"/>
          <w:sz w:val="24"/>
          <w:szCs w:val="24"/>
        </w:rPr>
        <w:t>da</w:t>
      </w:r>
      <w:proofErr w:type="gramEnd"/>
      <w:r w:rsidRPr="00D244CA">
        <w:rPr>
          <w:rFonts w:ascii="Open Sans" w:hAnsi="Open Sans" w:cs="Open Sans"/>
          <w:color w:val="000000"/>
          <w:sz w:val="24"/>
          <w:szCs w:val="24"/>
        </w:rPr>
        <w:t xml:space="preserve"> Relatoria da Ministra Kátia Magalhães Arruda, assentou a compreensão, fundada no entendimento firmado pelo STF de que </w:t>
      </w:r>
      <w:r w:rsidR="00C415E3" w:rsidRPr="00EC7DC9">
        <w:rPr>
          <w:rFonts w:ascii="Open Sans" w:hAnsi="Open Sans" w:cs="Open Sans"/>
          <w:color w:val="000000"/>
          <w:sz w:val="24"/>
          <w:szCs w:val="24"/>
        </w:rPr>
        <w:t>‘</w:t>
      </w:r>
      <w:r w:rsidRPr="00D244CA">
        <w:rPr>
          <w:rFonts w:ascii="Open Sans" w:hAnsi="Open Sans" w:cs="Open Sans"/>
          <w:iCs/>
          <w:color w:val="000000"/>
          <w:sz w:val="24"/>
          <w:szCs w:val="24"/>
        </w:rPr>
        <w:t>às sociedades de economia mista e empresas públicas será aplicado o regime próprio das empresas privadas quando atuam em atividade econômica em sentido estrito, em regime de concorrência, com objetivo de lucro. Caso prestem serviço público, sem concorrência e sem finalidade de lucro, o regime não será (ao menos não integralmente) aquele próprio das empresas privadas devendo ser observada, por exemplo, a execução por meio de precatórios</w:t>
      </w:r>
      <w:r w:rsidR="00C415E3" w:rsidRPr="00EC7DC9">
        <w:rPr>
          <w:rFonts w:ascii="Open Sans" w:hAnsi="Open Sans" w:cs="Open Sans"/>
          <w:color w:val="000000"/>
          <w:sz w:val="24"/>
          <w:szCs w:val="24"/>
        </w:rPr>
        <w:t>’</w:t>
      </w:r>
      <w:r w:rsidRPr="00D244CA">
        <w:rPr>
          <w:rFonts w:ascii="Open Sans" w:hAnsi="Open Sans" w:cs="Open Sans"/>
          <w:color w:val="000000"/>
          <w:sz w:val="24"/>
          <w:szCs w:val="24"/>
        </w:rPr>
        <w:t xml:space="preserve">, que a Reclamada – EBSERH –, em razão de ter como características: a finalidade de prestação de serviços públicos essenciais ligados à saúde e à educação, a não atuação em regime de concorrência e a não reversão de lucros à União, faz jus aos privilégios próprios da Fazenda Pública. </w:t>
      </w:r>
      <w:r w:rsidRPr="00D244CA">
        <w:rPr>
          <w:rFonts w:ascii="Open Sans" w:hAnsi="Open Sans" w:cs="Open Sans"/>
          <w:bCs/>
          <w:color w:val="000000"/>
          <w:sz w:val="24"/>
          <w:szCs w:val="24"/>
        </w:rPr>
        <w:t xml:space="preserve">Assinale-se que inobstante, a discussão travada </w:t>
      </w:r>
      <w:r w:rsidRPr="00D244CA">
        <w:rPr>
          <w:rFonts w:ascii="Open Sans" w:hAnsi="Open Sans" w:cs="Open Sans"/>
          <w:color w:val="000000"/>
          <w:sz w:val="24"/>
          <w:szCs w:val="24"/>
        </w:rPr>
        <w:t xml:space="preserve">no âmbito do Tribunal Pleno desta Corte Superior (E-RR-252-19.2017.5.13.0002), tenha se restringido à extensão das prerrogativas processuais da Fazenda Pública, referentes à isenção do recolhimento de custas e depósito recursal à </w:t>
      </w:r>
      <w:r w:rsidRPr="00D244CA">
        <w:rPr>
          <w:rFonts w:ascii="Open Sans" w:hAnsi="Open Sans" w:cs="Open Sans"/>
          <w:bCs/>
          <w:color w:val="000000"/>
          <w:sz w:val="24"/>
          <w:szCs w:val="24"/>
        </w:rPr>
        <w:t xml:space="preserve">ora Recorrente, também assentou, a partir do entendimento firmado pelo STF que, </w:t>
      </w:r>
      <w:r w:rsidR="00C415E3" w:rsidRPr="00EC7DC9">
        <w:rPr>
          <w:rFonts w:ascii="Open Sans" w:hAnsi="Open Sans" w:cs="Open Sans"/>
          <w:bCs/>
          <w:color w:val="000000"/>
          <w:sz w:val="24"/>
          <w:szCs w:val="24"/>
        </w:rPr>
        <w:t>‘</w:t>
      </w:r>
      <w:r w:rsidRPr="00D244CA">
        <w:rPr>
          <w:rFonts w:ascii="Open Sans" w:hAnsi="Open Sans" w:cs="Open Sans"/>
          <w:bCs/>
          <w:color w:val="000000"/>
          <w:sz w:val="24"/>
          <w:szCs w:val="24"/>
        </w:rPr>
        <w:t>a Suprema Corte tem destacado alguns fatores que entende relevantes na equalização do regime aplicável às empresas públicas e sociedades de economia mista, reconhecendo a necessidade de aplicação de normas próprias da Administração Pública Direta, a depender da natureza da atividade desempenhada ou o modo como é desenvolvida</w:t>
      </w:r>
      <w:r w:rsidR="00C415E3" w:rsidRPr="00EC7DC9">
        <w:rPr>
          <w:rFonts w:ascii="Open Sans" w:hAnsi="Open Sans" w:cs="Open Sans"/>
          <w:bCs/>
          <w:color w:val="000000"/>
          <w:sz w:val="24"/>
          <w:szCs w:val="24"/>
        </w:rPr>
        <w:t>’</w:t>
      </w:r>
      <w:r w:rsidRPr="00D244CA">
        <w:rPr>
          <w:rFonts w:ascii="Open Sans" w:hAnsi="Open Sans" w:cs="Open Sans"/>
          <w:bCs/>
          <w:color w:val="000000"/>
          <w:sz w:val="24"/>
          <w:szCs w:val="24"/>
        </w:rPr>
        <w:t xml:space="preserve">. </w:t>
      </w:r>
      <w:r w:rsidRPr="00D244CA">
        <w:rPr>
          <w:rFonts w:ascii="Open Sans" w:hAnsi="Open Sans" w:cs="Open Sans"/>
          <w:color w:val="000000"/>
          <w:sz w:val="24"/>
          <w:szCs w:val="24"/>
        </w:rPr>
        <w:t>Nessa diretriz, considerando que a Reclamada tem por finalidade prestação de serviços gratuitos de assistência médico-hospitalar, ambulatorial e de apoio diagnóstico e terapêutico à comunidade, inseridos integral e exclusivamente no âmbito do Sistema Único de Saúde - SUS</w:t>
      </w:r>
      <w:proofErr w:type="gramStart"/>
      <w:r w:rsidRPr="00D244CA">
        <w:rPr>
          <w:rFonts w:ascii="Open Sans" w:hAnsi="Open Sans" w:cs="Open Sans"/>
          <w:color w:val="000000"/>
          <w:sz w:val="24"/>
          <w:szCs w:val="24"/>
        </w:rPr>
        <w:t>, tem-se</w:t>
      </w:r>
      <w:proofErr w:type="gramEnd"/>
      <w:r w:rsidRPr="00D244CA">
        <w:rPr>
          <w:rFonts w:ascii="Open Sans" w:hAnsi="Open Sans" w:cs="Open Sans"/>
          <w:color w:val="000000"/>
          <w:sz w:val="24"/>
          <w:szCs w:val="24"/>
        </w:rPr>
        <w:t xml:space="preserve"> que o reconhecimento da aplicação à Ré de </w:t>
      </w:r>
      <w:r w:rsidR="00C415E3" w:rsidRPr="00EC7DC9">
        <w:rPr>
          <w:rFonts w:ascii="Open Sans" w:hAnsi="Open Sans" w:cs="Open Sans"/>
          <w:color w:val="000000"/>
          <w:sz w:val="24"/>
          <w:szCs w:val="24"/>
        </w:rPr>
        <w:t>‘</w:t>
      </w:r>
      <w:r w:rsidRPr="00D244CA">
        <w:rPr>
          <w:rFonts w:ascii="Open Sans" w:hAnsi="Open Sans" w:cs="Open Sans"/>
          <w:bCs/>
          <w:color w:val="000000"/>
          <w:sz w:val="24"/>
          <w:szCs w:val="24"/>
        </w:rPr>
        <w:t>normas próprias da Administração Pública Direta</w:t>
      </w:r>
      <w:r w:rsidR="00C415E3" w:rsidRPr="00EC7DC9">
        <w:rPr>
          <w:rFonts w:ascii="Open Sans" w:hAnsi="Open Sans" w:cs="Open Sans"/>
          <w:color w:val="000000"/>
          <w:sz w:val="24"/>
          <w:szCs w:val="24"/>
        </w:rPr>
        <w:t>’</w:t>
      </w:r>
      <w:r w:rsidRPr="00D244CA">
        <w:rPr>
          <w:rFonts w:ascii="Open Sans" w:hAnsi="Open Sans" w:cs="Open Sans"/>
          <w:color w:val="000000"/>
          <w:sz w:val="24"/>
          <w:szCs w:val="24"/>
        </w:rPr>
        <w:t>, para lhe conceder o gozo dos benefícios da administração pública direta, atrai, por via de consequência, a extensão aos seus empregados que operam Raios X e substâncias radioativas, o direito contido na regra disposta n</w:t>
      </w:r>
      <w:r w:rsidRPr="00D244CA">
        <w:rPr>
          <w:rFonts w:ascii="Open Sans" w:hAnsi="Open Sans" w:cs="Open Sans"/>
          <w:bCs/>
          <w:color w:val="000000"/>
          <w:sz w:val="24"/>
          <w:szCs w:val="24"/>
        </w:rPr>
        <w:t>o art. 1º, “b”, da Lei nº 1.234/1950; e art. 1º do Decreto nº 81.384/78 – férias de 20 dias consecutivos por semestre</w:t>
      </w:r>
      <w:r w:rsidRPr="00D244CA">
        <w:rPr>
          <w:rFonts w:ascii="Open Sans" w:hAnsi="Open Sans" w:cs="Open Sans"/>
          <w:color w:val="000000"/>
          <w:sz w:val="24"/>
          <w:szCs w:val="24"/>
        </w:rPr>
        <w:t xml:space="preserve"> – o qual visa a proteção à incolumidade física e manutenção da saúde de referidos profissionais. </w:t>
      </w:r>
      <w:proofErr w:type="spellStart"/>
      <w:r w:rsidRPr="00D244CA">
        <w:rPr>
          <w:rFonts w:ascii="Open Sans" w:hAnsi="Open Sans" w:cs="Open Sans"/>
          <w:color w:val="000000"/>
          <w:sz w:val="24"/>
          <w:szCs w:val="24"/>
        </w:rPr>
        <w:t>Dessarte</w:t>
      </w:r>
      <w:proofErr w:type="spellEnd"/>
      <w:r w:rsidRPr="00D244CA">
        <w:rPr>
          <w:rFonts w:ascii="Open Sans" w:hAnsi="Open Sans" w:cs="Open Sans"/>
          <w:color w:val="000000"/>
          <w:sz w:val="24"/>
          <w:szCs w:val="24"/>
        </w:rPr>
        <w:t xml:space="preserve">, na linha das ponderações trazidas pelo Eminente Ministro Alberto Bastos </w:t>
      </w:r>
      <w:proofErr w:type="spellStart"/>
      <w:r w:rsidRPr="00D244CA">
        <w:rPr>
          <w:rFonts w:ascii="Open Sans" w:hAnsi="Open Sans" w:cs="Open Sans"/>
          <w:color w:val="000000"/>
          <w:sz w:val="24"/>
          <w:szCs w:val="24"/>
        </w:rPr>
        <w:t>Balazeiro</w:t>
      </w:r>
      <w:proofErr w:type="spellEnd"/>
      <w:r w:rsidRPr="00D244CA">
        <w:rPr>
          <w:rFonts w:ascii="Open Sans" w:hAnsi="Open Sans" w:cs="Open Sans"/>
          <w:color w:val="000000"/>
          <w:sz w:val="24"/>
          <w:szCs w:val="24"/>
        </w:rPr>
        <w:t xml:space="preserve">, entender de modo diverso, seria conferir à Reclamada – EBSERH – </w:t>
      </w:r>
      <w:r w:rsidR="00C415E3" w:rsidRPr="00EC7DC9">
        <w:rPr>
          <w:rFonts w:ascii="Open Sans" w:hAnsi="Open Sans" w:cs="Open Sans"/>
          <w:color w:val="000000"/>
          <w:sz w:val="24"/>
          <w:szCs w:val="24"/>
        </w:rPr>
        <w:t>‘</w:t>
      </w:r>
      <w:r w:rsidRPr="00D244CA">
        <w:rPr>
          <w:rFonts w:ascii="Open Sans" w:hAnsi="Open Sans" w:cs="Open Sans"/>
          <w:color w:val="000000"/>
          <w:sz w:val="24"/>
          <w:szCs w:val="24"/>
        </w:rPr>
        <w:t>os privilégios dos órgãos públicos que se beneficiam dos préstimos (mas arcam com os respectivos custos) de um corpo de servidores públicos estatutários</w:t>
      </w:r>
      <w:r w:rsidR="00C415E3" w:rsidRPr="00EC7DC9">
        <w:rPr>
          <w:rFonts w:ascii="Open Sans" w:hAnsi="Open Sans" w:cs="Open Sans"/>
          <w:color w:val="000000"/>
          <w:sz w:val="24"/>
          <w:szCs w:val="24"/>
        </w:rPr>
        <w:t>’</w:t>
      </w:r>
      <w:r w:rsidRPr="00D244CA">
        <w:rPr>
          <w:rFonts w:ascii="Open Sans" w:hAnsi="Open Sans" w:cs="Open Sans"/>
          <w:color w:val="000000"/>
          <w:sz w:val="24"/>
          <w:szCs w:val="24"/>
        </w:rPr>
        <w:t xml:space="preserve">. Em face disso, este Relator reformula o seu entendimento para compreender ser extensível à Reclamada – </w:t>
      </w:r>
      <w:r w:rsidRPr="00D244CA">
        <w:rPr>
          <w:rFonts w:ascii="Open Sans" w:hAnsi="Open Sans" w:cs="Open Sans"/>
          <w:bCs/>
          <w:color w:val="000000"/>
          <w:sz w:val="24"/>
          <w:szCs w:val="24"/>
        </w:rPr>
        <w:t xml:space="preserve">Empresa Brasileira de Serviços Hospitalares (EBSERH) – </w:t>
      </w:r>
      <w:r w:rsidRPr="00D244CA">
        <w:rPr>
          <w:rFonts w:ascii="Open Sans" w:hAnsi="Open Sans" w:cs="Open Sans"/>
          <w:color w:val="000000"/>
          <w:sz w:val="24"/>
          <w:szCs w:val="24"/>
        </w:rPr>
        <w:t>a aplicação da norma disposta n</w:t>
      </w:r>
      <w:r w:rsidRPr="00D244CA">
        <w:rPr>
          <w:rFonts w:ascii="Open Sans" w:hAnsi="Open Sans" w:cs="Open Sans"/>
          <w:bCs/>
          <w:color w:val="000000"/>
          <w:sz w:val="24"/>
          <w:szCs w:val="24"/>
        </w:rPr>
        <w:t xml:space="preserve">o art. 1º, “b”, da Lei nº 1.234/1950; e art. 1º do Decreto nº 81.384/78. </w:t>
      </w:r>
      <w:proofErr w:type="gramStart"/>
      <w:r w:rsidRPr="00D244CA">
        <w:rPr>
          <w:rFonts w:ascii="Open Sans" w:hAnsi="Open Sans" w:cs="Open Sans"/>
          <w:bCs/>
          <w:color w:val="000000"/>
          <w:sz w:val="24"/>
          <w:szCs w:val="24"/>
        </w:rPr>
        <w:t>Agravo de instrumento desprovido.</w:t>
      </w:r>
      <w:r w:rsidRPr="00D244CA">
        <w:rPr>
          <w:rFonts w:ascii="Open Sans" w:hAnsi="Open Sans" w:cs="Open Sans"/>
          <w:sz w:val="24"/>
          <w:szCs w:val="24"/>
        </w:rPr>
        <w:t>“</w:t>
      </w:r>
      <w:proofErr w:type="gramEnd"/>
      <w:r w:rsidRPr="00D244CA">
        <w:rPr>
          <w:rFonts w:ascii="Open Sans" w:hAnsi="Open Sans" w:cs="Open Sans"/>
          <w:sz w:val="24"/>
          <w:szCs w:val="24"/>
        </w:rPr>
        <w:t xml:space="preserve"> </w:t>
      </w:r>
      <w:r w:rsidRPr="00EC7DC9">
        <w:rPr>
          <w:rFonts w:ascii="Open Sans" w:hAnsi="Open Sans" w:cs="Open Sans"/>
          <w:bCs/>
          <w:sz w:val="24"/>
          <w:szCs w:val="24"/>
        </w:rPr>
        <w:lastRenderedPageBreak/>
        <w:t>(</w:t>
      </w:r>
      <w:hyperlink r:id="rId14" w:history="1">
        <w:r w:rsidRPr="00EC7DC9">
          <w:rPr>
            <w:rFonts w:ascii="Open Sans" w:hAnsi="Open Sans" w:cs="Open Sans"/>
            <w:color w:val="0000FF" w:themeColor="hyperlink"/>
            <w:sz w:val="24"/>
            <w:szCs w:val="24"/>
            <w:u w:val="single"/>
          </w:rPr>
          <w:t>TST-</w:t>
        </w:r>
        <w:r w:rsidRPr="00EC7DC9">
          <w:rPr>
            <w:rFonts w:ascii="Open Sans" w:hAnsi="Open Sans" w:cs="Open Sans"/>
            <w:bCs/>
            <w:color w:val="0000FF" w:themeColor="hyperlink"/>
            <w:sz w:val="24"/>
            <w:szCs w:val="24"/>
            <w:u w:val="single"/>
          </w:rPr>
          <w:t xml:space="preserve"> AIRR-898-73.2018.5.10.0003, 3ª Turma, rel. Min. </w:t>
        </w:r>
        <w:r w:rsidRPr="00EC7DC9">
          <w:rPr>
            <w:rFonts w:ascii="Open Sans" w:hAnsi="Open Sans" w:cs="Open Sans"/>
            <w:color w:val="0000FF" w:themeColor="hyperlink"/>
            <w:sz w:val="24"/>
            <w:szCs w:val="24"/>
            <w:u w:val="single"/>
          </w:rPr>
          <w:t>Mauricio Godinho Delgado</w:t>
        </w:r>
        <w:r w:rsidRPr="00EC7DC9">
          <w:rPr>
            <w:rFonts w:ascii="Open Sans" w:hAnsi="Open Sans" w:cs="Open Sans"/>
            <w:bCs/>
            <w:color w:val="0000FF" w:themeColor="hyperlink"/>
            <w:sz w:val="24"/>
            <w:szCs w:val="24"/>
            <w:u w:val="single"/>
          </w:rPr>
          <w:t>, julgado em 7/2/2024</w:t>
        </w:r>
      </w:hyperlink>
      <w:r w:rsidRPr="00EC7DC9">
        <w:rPr>
          <w:rFonts w:ascii="Open Sans" w:hAnsi="Open Sans" w:cs="Open Sans"/>
          <w:bCs/>
          <w:sz w:val="24"/>
          <w:szCs w:val="24"/>
        </w:rPr>
        <w:t xml:space="preserve">) </w:t>
      </w:r>
    </w:p>
    <w:p w:rsidR="00476E10" w:rsidRPr="00EC7DC9" w:rsidRDefault="00476E10" w:rsidP="00EC7DC9">
      <w:pPr>
        <w:ind w:left="-227" w:right="369"/>
        <w:jc w:val="both"/>
        <w:rPr>
          <w:rFonts w:ascii="Open Sans" w:hAnsi="Open Sans" w:cs="Open Sans"/>
          <w:sz w:val="24"/>
          <w:szCs w:val="24"/>
        </w:rPr>
      </w:pPr>
    </w:p>
    <w:p w:rsidR="00476E10" w:rsidRPr="00EC7DC9" w:rsidRDefault="00476E10" w:rsidP="00EC7DC9">
      <w:pPr>
        <w:pStyle w:val="Ementa"/>
        <w:ind w:left="-227" w:right="369"/>
        <w:rPr>
          <w:rFonts w:cs="Open Sans"/>
          <w:color w:val="auto"/>
        </w:rPr>
      </w:pPr>
      <w:r w:rsidRPr="00EC7DC9">
        <w:rPr>
          <w:rStyle w:val="fontepargpadro-000004"/>
          <w:rFonts w:cs="Open Sans"/>
          <w:bCs/>
        </w:rPr>
        <w:t>"</w:t>
      </w:r>
      <w:r w:rsidRPr="00EC7DC9">
        <w:rPr>
          <w:rFonts w:cs="Open Sans"/>
          <w:color w:val="auto"/>
        </w:rPr>
        <w:t xml:space="preserve">[...] QUOTA LEGAL DE APRENDIZAGEM. BASE DE CÁLCULO. COLETOR DE LIXO. VARREDOR. DESCUMPRIMENTO. INEXISTÊNCIA DE ADERÊNCIA COM O TEMA 1.046/STF. AUSÊNCIA DE TRANSCENDÊNCIA. </w:t>
      </w:r>
      <w:proofErr w:type="gramStart"/>
      <w:r w:rsidRPr="00EC7DC9">
        <w:rPr>
          <w:rFonts w:cs="Open Sans"/>
          <w:color w:val="auto"/>
        </w:rPr>
        <w:t>1</w:t>
      </w:r>
      <w:proofErr w:type="gramEnd"/>
      <w:r w:rsidRPr="00EC7DC9">
        <w:rPr>
          <w:rFonts w:cs="Open Sans"/>
          <w:color w:val="auto"/>
        </w:rPr>
        <w:t xml:space="preserve">. A SDI-1 deste Tribunal Superior do Trabalho há muito pacificou o entendimento de que as funções de gari, faxineiro, serviços gerais de limpeza, coletor de resíduos sólidos e motorista devem integrar a base de cálculo para aferição do número de aprendizes que serão contratados pela empresa (art. 429 da CLT) (E-RR-191-51.2010.5.03.0013, Subseção I Especializada em Dissídios Individuais, Relator Ministro Hugo Carlos </w:t>
      </w:r>
      <w:proofErr w:type="spellStart"/>
      <w:r w:rsidRPr="00EC7DC9">
        <w:rPr>
          <w:rFonts w:cs="Open Sans"/>
          <w:color w:val="auto"/>
        </w:rPr>
        <w:t>Scheuermann</w:t>
      </w:r>
      <w:proofErr w:type="spellEnd"/>
      <w:r w:rsidRPr="00EC7DC9">
        <w:rPr>
          <w:rFonts w:cs="Open Sans"/>
          <w:color w:val="auto"/>
        </w:rPr>
        <w:t xml:space="preserve">, DEJT 16/11/2017). 2. No caso dos autos, o entendimento do acórdão regional recorrido está em sintonia com a jurisprudência pacificada desta Corte, quando entendeu que as funções de coletor de lixo e varredor devem ser incluídas na base de cálculo das cotas, bem como que </w:t>
      </w:r>
      <w:r w:rsidR="00011FF4" w:rsidRPr="00EC7DC9">
        <w:rPr>
          <w:rFonts w:cs="Open Sans"/>
          <w:color w:val="auto"/>
        </w:rPr>
        <w:t>‘</w:t>
      </w:r>
      <w:r w:rsidRPr="00EC7DC9">
        <w:rPr>
          <w:rFonts w:cs="Open Sans"/>
          <w:color w:val="auto"/>
        </w:rPr>
        <w:t>independentemente das funções consideradas à aferição da cota, os aprendizes não necessariamente irão nelas se ativar, mas, sim, naquelas compatíveis com seu desenvolvimento moral, psicológico e físico, observadas as proibições legais impostas para proteção à menoridade (art. 7º, XXXIII, da CRFB/1988)</w:t>
      </w:r>
      <w:r w:rsidR="00011FF4" w:rsidRPr="00EC7DC9">
        <w:rPr>
          <w:rFonts w:cs="Open Sans"/>
          <w:color w:val="auto"/>
        </w:rPr>
        <w:t>’</w:t>
      </w:r>
      <w:r w:rsidRPr="00EC7DC9">
        <w:rPr>
          <w:rFonts w:cs="Open Sans"/>
          <w:color w:val="auto"/>
        </w:rPr>
        <w:t xml:space="preserve">. 3. Ademais, inexiste aderência estrita entre o caso dos autos e o Tema 1.046, haja vista que (i) o acórdão regional recorrido registrou expressamente que </w:t>
      </w:r>
      <w:r w:rsidR="00011FF4" w:rsidRPr="00EC7DC9">
        <w:rPr>
          <w:rFonts w:cs="Open Sans"/>
          <w:color w:val="auto"/>
        </w:rPr>
        <w:t>‘</w:t>
      </w:r>
      <w:r w:rsidRPr="00EC7DC9">
        <w:rPr>
          <w:rFonts w:cs="Open Sans"/>
          <w:color w:val="auto"/>
        </w:rPr>
        <w:t>a CCT e termo aditivo juntados às fls. 257-285 possuem vigência posterior aos fatos narrados na petição inicial</w:t>
      </w:r>
      <w:r w:rsidR="00011FF4" w:rsidRPr="00EC7DC9">
        <w:rPr>
          <w:rFonts w:cs="Open Sans"/>
          <w:color w:val="auto"/>
        </w:rPr>
        <w:t>’</w:t>
      </w:r>
      <w:r w:rsidRPr="00EC7DC9">
        <w:rPr>
          <w:rFonts w:cs="Open Sans"/>
          <w:color w:val="auto"/>
        </w:rPr>
        <w:t xml:space="preserve"> e, ainda que assim não fosse, (</w:t>
      </w:r>
      <w:proofErr w:type="spellStart"/>
      <w:r w:rsidRPr="00EC7DC9">
        <w:rPr>
          <w:rFonts w:cs="Open Sans"/>
          <w:color w:val="auto"/>
        </w:rPr>
        <w:t>ii</w:t>
      </w:r>
      <w:proofErr w:type="spellEnd"/>
      <w:r w:rsidRPr="00EC7DC9">
        <w:rPr>
          <w:rFonts w:cs="Open Sans"/>
          <w:color w:val="auto"/>
        </w:rPr>
        <w:t>) as cotas legais de aprendizagem são instrumento concretização do conjunto de políticas públicas destinadas à proteção do jovem aprendiz, de modo que estão umbilicalmente relacionadas a direitos absolutamente indisponíveis, constitucionalmente assegurados, em especial no ar. 227 da CF, conforme já decidido pela 2ª Turma do STF (</w:t>
      </w:r>
      <w:proofErr w:type="spellStart"/>
      <w:r w:rsidRPr="00EC7DC9">
        <w:rPr>
          <w:rFonts w:cs="Open Sans"/>
          <w:color w:val="auto"/>
        </w:rPr>
        <w:t>Rcl</w:t>
      </w:r>
      <w:proofErr w:type="spellEnd"/>
      <w:r w:rsidRPr="00EC7DC9">
        <w:rPr>
          <w:rFonts w:cs="Open Sans"/>
          <w:color w:val="auto"/>
        </w:rPr>
        <w:t xml:space="preserve"> 54314 </w:t>
      </w:r>
      <w:proofErr w:type="spellStart"/>
      <w:r w:rsidRPr="00EC7DC9">
        <w:rPr>
          <w:rFonts w:cs="Open Sans"/>
          <w:color w:val="auto"/>
        </w:rPr>
        <w:t>AgR</w:t>
      </w:r>
      <w:proofErr w:type="spellEnd"/>
      <w:r w:rsidRPr="00EC7DC9">
        <w:rPr>
          <w:rFonts w:cs="Open Sans"/>
          <w:color w:val="auto"/>
        </w:rPr>
        <w:t>, Relator(a): ANDRÉ MENDONÇA, Segunda Turma, julgado em 27/03/20</w:t>
      </w:r>
      <w:r w:rsidR="00CE344F">
        <w:rPr>
          <w:rFonts w:cs="Open Sans"/>
          <w:color w:val="auto"/>
        </w:rPr>
        <w:t xml:space="preserve">23, PROCESSO ELETRÔNICO </w:t>
      </w:r>
      <w:proofErr w:type="spellStart"/>
      <w:r w:rsidR="00CE344F">
        <w:rPr>
          <w:rFonts w:cs="Open Sans"/>
          <w:color w:val="auto"/>
        </w:rPr>
        <w:t>DJe</w:t>
      </w:r>
      <w:proofErr w:type="spellEnd"/>
      <w:r w:rsidR="00CE344F">
        <w:rPr>
          <w:rFonts w:cs="Open Sans"/>
          <w:color w:val="auto"/>
        </w:rPr>
        <w:t>-s/n DIVULG 24-04-2023</w:t>
      </w:r>
      <w:r w:rsidRPr="00EC7DC9">
        <w:rPr>
          <w:rFonts w:cs="Open Sans"/>
          <w:color w:val="auto"/>
        </w:rPr>
        <w:t xml:space="preserve"> PUBLIC 25-04-2023). 4. Assim, não há espaço para </w:t>
      </w:r>
      <w:proofErr w:type="gramStart"/>
      <w:r w:rsidRPr="00EC7DC9">
        <w:rPr>
          <w:rFonts w:cs="Open Sans"/>
          <w:color w:val="auto"/>
        </w:rPr>
        <w:t>reconsideração</w:t>
      </w:r>
      <w:proofErr w:type="gramEnd"/>
      <w:r w:rsidRPr="00EC7DC9">
        <w:rPr>
          <w:rFonts w:cs="Open Sans"/>
          <w:color w:val="auto"/>
        </w:rPr>
        <w:t xml:space="preserve"> ou reforma da decisão agravada. [...]. </w:t>
      </w:r>
      <w:proofErr w:type="gramStart"/>
      <w:r w:rsidRPr="00EC7DC9">
        <w:rPr>
          <w:rFonts w:cs="Open Sans"/>
          <w:color w:val="auto"/>
        </w:rPr>
        <w:t>Agravo de que se conhece e a que se nega provimento.”</w:t>
      </w:r>
      <w:proofErr w:type="gramEnd"/>
      <w:r w:rsidRPr="00EC7DC9">
        <w:rPr>
          <w:rFonts w:cs="Open Sans"/>
          <w:color w:val="auto"/>
        </w:rPr>
        <w:t xml:space="preserve"> (</w:t>
      </w:r>
      <w:hyperlink r:id="rId15" w:history="1">
        <w:r w:rsidRPr="00EC7DC9">
          <w:rPr>
            <w:rStyle w:val="Hyperlink"/>
            <w:rFonts w:cs="Open Sans"/>
          </w:rPr>
          <w:t xml:space="preserve">TST-Ag-AIRR-372-15.2018.5.09.0010, 3ª Turma, rel. Min. Alberto Bastos </w:t>
        </w:r>
        <w:proofErr w:type="spellStart"/>
        <w:r w:rsidRPr="00EC7DC9">
          <w:rPr>
            <w:rStyle w:val="Hyperlink"/>
            <w:rFonts w:cs="Open Sans"/>
          </w:rPr>
          <w:t>Balazeiro</w:t>
        </w:r>
        <w:proofErr w:type="spellEnd"/>
        <w:r w:rsidRPr="00EC7DC9">
          <w:rPr>
            <w:rStyle w:val="Hyperlink"/>
            <w:rFonts w:cs="Open Sans"/>
          </w:rPr>
          <w:t>, julgado em 20/2/2024</w:t>
        </w:r>
      </w:hyperlink>
      <w:r w:rsidRPr="00EC7DC9">
        <w:rPr>
          <w:rFonts w:cs="Open Sans"/>
          <w:color w:val="auto"/>
        </w:rPr>
        <w:t xml:space="preserve">) </w:t>
      </w:r>
    </w:p>
    <w:p w:rsidR="00476E10" w:rsidRPr="00EC7DC9" w:rsidRDefault="00476E10" w:rsidP="00EC7DC9">
      <w:pPr>
        <w:ind w:left="-227" w:right="369"/>
        <w:jc w:val="both"/>
        <w:rPr>
          <w:rFonts w:ascii="Open Sans" w:hAnsi="Open Sans" w:cs="Open Sans"/>
          <w:sz w:val="24"/>
          <w:szCs w:val="24"/>
        </w:rPr>
      </w:pPr>
    </w:p>
    <w:p w:rsidR="00476E10" w:rsidRPr="00EC7DC9" w:rsidRDefault="00476E10" w:rsidP="00EC7DC9">
      <w:pPr>
        <w:ind w:left="-227" w:right="369"/>
        <w:jc w:val="both"/>
        <w:rPr>
          <w:rFonts w:ascii="Open Sans" w:hAnsi="Open Sans" w:cs="Open Sans"/>
          <w:sz w:val="24"/>
          <w:szCs w:val="24"/>
        </w:rPr>
      </w:pPr>
      <w:r w:rsidRPr="00EC7DC9">
        <w:rPr>
          <w:rFonts w:ascii="Open Sans" w:hAnsi="Open Sans" w:cs="Open Sans"/>
          <w:bCs/>
          <w:color w:val="000000"/>
          <w:sz w:val="24"/>
          <w:szCs w:val="24"/>
        </w:rPr>
        <w:t xml:space="preserve">"RECURSO DE REVISTA DOS RECLAMANTES. RESPONSABILIDADE CIVIL. ACIDENTE DE TRABALHO COM ÓBITO DO EMPREGADO. RESPONSABILIDADE OBJETIVA DA EMPREGADORA. RISCO DA ATIVIDADE. AUSÊNCIA DE CULPA EXCLUSIVA DA VÍTIMA. INDENIZAÇÃO POR DANO MORAL À VIÚVA E FILHO DO EMPREGADO FALECIDO. CONFIGURADO. TRANSCENDÊNCIA POLÍTICA VERIFICADA. </w:t>
      </w:r>
      <w:proofErr w:type="gramStart"/>
      <w:r w:rsidRPr="00EC7DC9">
        <w:rPr>
          <w:rFonts w:ascii="Open Sans" w:hAnsi="Open Sans" w:cs="Open Sans"/>
          <w:bCs/>
          <w:color w:val="000000"/>
          <w:sz w:val="24"/>
          <w:szCs w:val="24"/>
        </w:rPr>
        <w:t>1</w:t>
      </w:r>
      <w:proofErr w:type="gramEnd"/>
      <w:r w:rsidRPr="00EC7DC9">
        <w:rPr>
          <w:rFonts w:ascii="Open Sans" w:hAnsi="Open Sans" w:cs="Open Sans"/>
          <w:bCs/>
          <w:color w:val="000000"/>
          <w:sz w:val="24"/>
          <w:szCs w:val="24"/>
        </w:rPr>
        <w:t xml:space="preserve">. Trata-se de hipótese em que o trabalhador realizava atividade de alto risco , manuseando guindaste de grande porte na movimentação de cargas, quando sofreu acidente de trabalho por descarga elétrica, que culminou com sua morte. O Tribunal Regional, embora consignando tratar-se de hipótese de responsabilidade objetiva do empregador, em razão do </w:t>
      </w:r>
      <w:r w:rsidRPr="00EC7DC9">
        <w:rPr>
          <w:rFonts w:ascii="Open Sans" w:hAnsi="Open Sans" w:cs="Open Sans"/>
          <w:bCs/>
          <w:color w:val="000000"/>
          <w:sz w:val="24"/>
          <w:szCs w:val="24"/>
        </w:rPr>
        <w:lastRenderedPageBreak/>
        <w:t>aumentado risco da atividade, entendeu indevida a indenização, em razão de culpa exclusiva da vítima. 2. A responsabilização objetiva, como se sabe, somente se afasta quando inequívoca a culpa exclusiva da vítima, hábil a excluir o indispensável nexo de causalidade entre a atividade laboral e o infortúnio. E, no presente caso, a despeito da conclusão jurídica alcançada pela Corte de origem, o quadro fático delineado pelo Tribunal Regional não autoriza a conclusão da excepcionalíssima culpa exclusiva do acidentado. Isso porque a conclusão regional se fundamenta unicamente em uma série de atos inseguros do trabalhador. Noticiado, contudo, é um cenário de pânico generalizado no ambiente de trabalho, diante da iminência de acidente gravíssimo, como de fato veio a ocorrer. Ressalte-se que se trata de empregado que, ainda que instruído, está inserido em ambiente aterrorizante, com risco de morte, em acidente causado no ambiente de trabalho e nas operações ínsitas ao trabalho. 3. Nesse contexto, se houve eventual falha humana, crivelmente causada pelo estado de pânico que o risco da atividade gerou, isso não se revela suficiente para afastar o nexo de causalidade entre o infortúnio e as atividades laborais - e, portanto, afastar a responsabil</w:t>
      </w:r>
      <w:r w:rsidR="00CE344F">
        <w:rPr>
          <w:rFonts w:ascii="Open Sans" w:hAnsi="Open Sans" w:cs="Open Sans"/>
          <w:bCs/>
          <w:color w:val="000000"/>
          <w:sz w:val="24"/>
          <w:szCs w:val="24"/>
        </w:rPr>
        <w:t xml:space="preserve">ização objetiva do empregador. </w:t>
      </w:r>
      <w:r w:rsidRPr="00EC7DC9">
        <w:rPr>
          <w:rFonts w:ascii="Open Sans" w:hAnsi="Open Sans" w:cs="Open Sans"/>
          <w:bCs/>
          <w:color w:val="000000"/>
          <w:sz w:val="24"/>
          <w:szCs w:val="24"/>
        </w:rPr>
        <w:t xml:space="preserve">A culpa exclusiva do empregado, hábil a </w:t>
      </w:r>
      <w:proofErr w:type="gramStart"/>
      <w:r w:rsidRPr="00EC7DC9">
        <w:rPr>
          <w:rFonts w:ascii="Open Sans" w:hAnsi="Open Sans" w:cs="Open Sans"/>
          <w:bCs/>
          <w:color w:val="000000"/>
          <w:sz w:val="24"/>
          <w:szCs w:val="24"/>
        </w:rPr>
        <w:t>excluir</w:t>
      </w:r>
      <w:proofErr w:type="gramEnd"/>
      <w:r w:rsidRPr="00EC7DC9">
        <w:rPr>
          <w:rFonts w:ascii="Open Sans" w:hAnsi="Open Sans" w:cs="Open Sans"/>
          <w:bCs/>
          <w:color w:val="000000"/>
          <w:sz w:val="24"/>
          <w:szCs w:val="24"/>
        </w:rPr>
        <w:t xml:space="preserve"> o nexo causal, deve decorrer de atuação absolutamente incompatível e dissociada da atividade de risco, e, não, meramente, de imperícia ocorrida em momento de pânico agudo. 4. Nesse sentido, não resta dúvidas de que o </w:t>
      </w:r>
      <w:r w:rsidRPr="00EC7DC9">
        <w:rPr>
          <w:rFonts w:ascii="Open Sans" w:hAnsi="Open Sans" w:cs="Open Sans"/>
          <w:bCs/>
          <w:i/>
          <w:color w:val="000000"/>
          <w:sz w:val="24"/>
          <w:szCs w:val="24"/>
        </w:rPr>
        <w:t>de cujus</w:t>
      </w:r>
      <w:r w:rsidRPr="00EC7DC9">
        <w:rPr>
          <w:rFonts w:ascii="Open Sans" w:hAnsi="Open Sans" w:cs="Open Sans"/>
          <w:bCs/>
          <w:color w:val="000000"/>
          <w:sz w:val="24"/>
          <w:szCs w:val="24"/>
        </w:rPr>
        <w:t xml:space="preserve"> realizava atividade de alto risco, atraindo a responsabilidade objetiva da empregadora. Não há que se falar, assim, em culpa exclusiva da vítima, devendo a empresa reparar o dano resultante da morte do empregado por meio do pagamento de indenização por danos morais, no montante de </w:t>
      </w:r>
      <w:proofErr w:type="gramStart"/>
      <w:r w:rsidRPr="00EC7DC9">
        <w:rPr>
          <w:rFonts w:ascii="Open Sans" w:hAnsi="Open Sans" w:cs="Open Sans"/>
          <w:bCs/>
          <w:color w:val="000000"/>
          <w:sz w:val="24"/>
          <w:szCs w:val="24"/>
        </w:rPr>
        <w:t>R$150.646,00 (cento e cinquenta mil seiscentos e quarenta e seis reais), tal</w:t>
      </w:r>
      <w:proofErr w:type="gramEnd"/>
      <w:r w:rsidRPr="00EC7DC9">
        <w:rPr>
          <w:rFonts w:ascii="Open Sans" w:hAnsi="Open Sans" w:cs="Open Sans"/>
          <w:bCs/>
          <w:color w:val="000000"/>
          <w:sz w:val="24"/>
          <w:szCs w:val="24"/>
        </w:rPr>
        <w:t xml:space="preserve"> como definido em sentença. </w:t>
      </w:r>
      <w:proofErr w:type="gramStart"/>
      <w:r w:rsidRPr="00EC7DC9">
        <w:rPr>
          <w:rFonts w:ascii="Open Sans" w:hAnsi="Open Sans" w:cs="Open Sans"/>
          <w:bCs/>
          <w:color w:val="000000"/>
          <w:sz w:val="24"/>
          <w:szCs w:val="24"/>
        </w:rPr>
        <w:t>Recurso de revista de que se conhece e a que se dá provimento."</w:t>
      </w:r>
      <w:proofErr w:type="gramEnd"/>
      <w:r w:rsidRPr="00EC7DC9">
        <w:rPr>
          <w:rFonts w:ascii="Open Sans" w:hAnsi="Open Sans" w:cs="Open Sans"/>
          <w:bCs/>
          <w:color w:val="000000"/>
          <w:sz w:val="24"/>
          <w:szCs w:val="24"/>
        </w:rPr>
        <w:t xml:space="preserve"> </w:t>
      </w:r>
      <w:r w:rsidRPr="00EC7DC9">
        <w:rPr>
          <w:rFonts w:ascii="Open Sans" w:hAnsi="Open Sans" w:cs="Open Sans"/>
          <w:bCs/>
          <w:sz w:val="24"/>
          <w:szCs w:val="24"/>
        </w:rPr>
        <w:t>(</w:t>
      </w:r>
      <w:hyperlink r:id="rId16" w:history="1">
        <w:r w:rsidRPr="00EC7DC9">
          <w:rPr>
            <w:rFonts w:ascii="Open Sans" w:hAnsi="Open Sans" w:cs="Open Sans"/>
            <w:color w:val="0000FF" w:themeColor="hyperlink"/>
            <w:sz w:val="24"/>
            <w:szCs w:val="24"/>
            <w:u w:val="single"/>
          </w:rPr>
          <w:t>TST-RR-199-57.2020.5.21.0019</w:t>
        </w:r>
        <w:r w:rsidRPr="00EC7DC9">
          <w:rPr>
            <w:rFonts w:ascii="Open Sans" w:hAnsi="Open Sans" w:cs="Open Sans"/>
            <w:bCs/>
            <w:color w:val="0000FF" w:themeColor="hyperlink"/>
            <w:sz w:val="24"/>
            <w:szCs w:val="24"/>
            <w:u w:val="single"/>
          </w:rPr>
          <w:t xml:space="preserve">, 3ª Turma, rel. Min. </w:t>
        </w:r>
        <w:r w:rsidRPr="00EC7DC9">
          <w:rPr>
            <w:rFonts w:ascii="Open Sans" w:hAnsi="Open Sans" w:cs="Open Sans"/>
            <w:color w:val="0000FF" w:themeColor="hyperlink"/>
            <w:sz w:val="24"/>
            <w:szCs w:val="24"/>
            <w:u w:val="single"/>
          </w:rPr>
          <w:t xml:space="preserve">Alberto Bastos </w:t>
        </w:r>
        <w:proofErr w:type="spellStart"/>
        <w:r w:rsidRPr="00EC7DC9">
          <w:rPr>
            <w:rFonts w:ascii="Open Sans" w:hAnsi="Open Sans" w:cs="Open Sans"/>
            <w:color w:val="0000FF" w:themeColor="hyperlink"/>
            <w:sz w:val="24"/>
            <w:szCs w:val="24"/>
            <w:u w:val="single"/>
          </w:rPr>
          <w:t>Balazeiro</w:t>
        </w:r>
        <w:proofErr w:type="spellEnd"/>
        <w:r w:rsidRPr="00EC7DC9">
          <w:rPr>
            <w:rFonts w:ascii="Open Sans" w:hAnsi="Open Sans" w:cs="Open Sans"/>
            <w:bCs/>
            <w:color w:val="0000FF" w:themeColor="hyperlink"/>
            <w:sz w:val="24"/>
            <w:szCs w:val="24"/>
            <w:u w:val="single"/>
          </w:rPr>
          <w:t>, julgado em 20/2/2024</w:t>
        </w:r>
      </w:hyperlink>
      <w:r w:rsidRPr="00EC7DC9">
        <w:rPr>
          <w:rFonts w:ascii="Open Sans" w:hAnsi="Open Sans" w:cs="Open Sans"/>
          <w:bCs/>
          <w:sz w:val="24"/>
          <w:szCs w:val="24"/>
        </w:rPr>
        <w:t xml:space="preserve">) </w:t>
      </w:r>
    </w:p>
    <w:p w:rsidR="006A6F3C" w:rsidRPr="00EC7DC9" w:rsidRDefault="006A6F3C" w:rsidP="00EC7DC9">
      <w:pPr>
        <w:autoSpaceDE/>
        <w:autoSpaceDN/>
        <w:ind w:left="-227" w:right="369"/>
        <w:jc w:val="both"/>
        <w:rPr>
          <w:rFonts w:ascii="Open Sans" w:hAnsi="Open Sans" w:cs="Open Sans"/>
          <w:sz w:val="24"/>
          <w:szCs w:val="24"/>
        </w:rPr>
      </w:pPr>
    </w:p>
    <w:p w:rsidR="006A6F3C" w:rsidRPr="00EC7DC9" w:rsidRDefault="006A6F3C" w:rsidP="00EC7DC9">
      <w:pPr>
        <w:autoSpaceDE/>
        <w:autoSpaceDN/>
        <w:ind w:left="-227" w:right="369"/>
        <w:jc w:val="both"/>
        <w:rPr>
          <w:rFonts w:ascii="Open Sans" w:hAnsi="Open Sans" w:cs="Open Sans"/>
          <w:sz w:val="24"/>
          <w:szCs w:val="24"/>
        </w:rPr>
      </w:pPr>
      <w:r w:rsidRPr="00D244CA">
        <w:rPr>
          <w:rFonts w:ascii="Open Sans" w:hAnsi="Open Sans" w:cs="Open Sans"/>
          <w:sz w:val="24"/>
          <w:szCs w:val="24"/>
        </w:rPr>
        <w:t xml:space="preserve">“[...] RECURSO DE REVISTA. HORAS EXTRAS. APLICABILIDADE DA NORMA COLETIVA QUE ATRIBUIU AOS TRABALHADORES QUE EXERCEM ATIVIDADE EXTERNA A EXCEÇÃO DO ART. 62, I, DA CLT. TESE VINCULANTE DO SUPREMO TRIBUNAL FEDERAL FIXADA NO TEMA Nº 1.046 DE REPERCUSSÃO GERAL. TRANSCENDÊNCIA JURÍDICA. A Suprema Corte fixou a tese vinculante da constitucionalidade das normas coletivas que afastam direitos trabalhistas, independentemente de vantagens compensatórias explícitas, desde que observados os direitos absolutamente indisponíveis. Na presente hipótese, o instrumento coletivo estabeleceu que </w:t>
      </w:r>
      <w:r w:rsidR="007D442D" w:rsidRPr="00EC7DC9">
        <w:rPr>
          <w:rFonts w:ascii="Open Sans" w:hAnsi="Open Sans" w:cs="Open Sans"/>
          <w:sz w:val="24"/>
          <w:szCs w:val="24"/>
        </w:rPr>
        <w:t>‘</w:t>
      </w:r>
      <w:r w:rsidRPr="00D244CA">
        <w:rPr>
          <w:rFonts w:ascii="Open Sans" w:hAnsi="Open Sans" w:cs="Open Sans"/>
          <w:sz w:val="24"/>
          <w:szCs w:val="24"/>
        </w:rPr>
        <w:t xml:space="preserve">as partes aceitam e reconhecem que os empregados representados pelo SINDICATO acordante, que exercerem função externa e por terem total autonomia para definir seus horários de início e término de trabalho, assim como a forma de cumprimento de seu itinerário, não são subordinados a horário de trabalho, conforme preceitua o inciso I do art. 62 da </w:t>
      </w:r>
      <w:proofErr w:type="gramStart"/>
      <w:r w:rsidRPr="00D244CA">
        <w:rPr>
          <w:rFonts w:ascii="Open Sans" w:hAnsi="Open Sans" w:cs="Open Sans"/>
          <w:sz w:val="24"/>
          <w:szCs w:val="24"/>
        </w:rPr>
        <w:t>CLT.</w:t>
      </w:r>
      <w:proofErr w:type="gramEnd"/>
      <w:r w:rsidR="007D442D" w:rsidRPr="00EC7DC9">
        <w:rPr>
          <w:rFonts w:ascii="Open Sans" w:hAnsi="Open Sans" w:cs="Open Sans"/>
          <w:sz w:val="24"/>
          <w:szCs w:val="24"/>
        </w:rPr>
        <w:t>’</w:t>
      </w:r>
      <w:r w:rsidRPr="00D244CA">
        <w:rPr>
          <w:rFonts w:ascii="Open Sans" w:hAnsi="Open Sans" w:cs="Open Sans"/>
          <w:sz w:val="24"/>
          <w:szCs w:val="24"/>
        </w:rPr>
        <w:t xml:space="preserve"> Tal previsão não está circunscrita a direito absolutamente indisponível, tampouco constitui objeto ilícito, na esteira do rol do art. 611-B da CLT, com redação conferida </w:t>
      </w:r>
      <w:r w:rsidRPr="00D244CA">
        <w:rPr>
          <w:rFonts w:ascii="Open Sans" w:hAnsi="Open Sans" w:cs="Open Sans"/>
          <w:sz w:val="24"/>
          <w:szCs w:val="24"/>
        </w:rPr>
        <w:lastRenderedPageBreak/>
        <w:t xml:space="preserve">pela Lei nº 13.467/2017. Nesse sentir, não há como desprestigiar a autonomia da vontade coletiva das partes, passando-se ao exame da exclusão do reclamante da norma pela Corte local. Com a devida vênia do Tribunal Regional, as premissas expressamente consignadas no acórdão que examinou o recurso ordinário da reclamada não indicam a possibilidade de controle da jornada. O fato da existência de roteiros de visitação, de registros de atendimentos em dispositivos eletrônicos, sem dados objetivos de horários e de duração dos atendimentos; de um aparelho celular que permita uma comunicação entre empregado e empregador, caso necessária; e de uso de veículo da empresa não afastam a autonomia do empregado </w:t>
      </w:r>
      <w:r w:rsidR="007D442D" w:rsidRPr="00EC7DC9">
        <w:rPr>
          <w:rFonts w:ascii="Open Sans" w:hAnsi="Open Sans" w:cs="Open Sans"/>
          <w:sz w:val="24"/>
          <w:szCs w:val="24"/>
        </w:rPr>
        <w:t>‘</w:t>
      </w:r>
      <w:r w:rsidRPr="00D244CA">
        <w:rPr>
          <w:rFonts w:ascii="Open Sans" w:hAnsi="Open Sans" w:cs="Open Sans"/>
          <w:sz w:val="24"/>
          <w:szCs w:val="24"/>
        </w:rPr>
        <w:t>para definir seus horários de início e término de trabalho, assim como a forma de cumprimento de seu itinerário</w:t>
      </w:r>
      <w:r w:rsidR="007D442D" w:rsidRPr="00EC7DC9">
        <w:rPr>
          <w:rFonts w:ascii="Open Sans" w:hAnsi="Open Sans" w:cs="Open Sans"/>
          <w:sz w:val="24"/>
          <w:szCs w:val="24"/>
        </w:rPr>
        <w:t>’</w:t>
      </w:r>
      <w:r w:rsidRPr="00D244CA">
        <w:rPr>
          <w:rFonts w:ascii="Open Sans" w:hAnsi="Open Sans" w:cs="Open Sans"/>
          <w:sz w:val="24"/>
          <w:szCs w:val="24"/>
        </w:rPr>
        <w:t xml:space="preserve"> expressamente prevista no instrumento coletivo. O Tribunal Regional, ao </w:t>
      </w:r>
      <w:proofErr w:type="gramStart"/>
      <w:r w:rsidRPr="00D244CA">
        <w:rPr>
          <w:rFonts w:ascii="Open Sans" w:hAnsi="Open Sans" w:cs="Open Sans"/>
          <w:sz w:val="24"/>
          <w:szCs w:val="24"/>
        </w:rPr>
        <w:t>afastar</w:t>
      </w:r>
      <w:proofErr w:type="gramEnd"/>
      <w:r w:rsidRPr="00D244CA">
        <w:rPr>
          <w:rFonts w:ascii="Open Sans" w:hAnsi="Open Sans" w:cs="Open Sans"/>
          <w:sz w:val="24"/>
          <w:szCs w:val="24"/>
        </w:rPr>
        <w:t xml:space="preserve"> a norma coletiva que atribuiu aos trabalhadores que exercem atividade externa a exceção do inciso I do art. 62 da CLT, acabou por desprestigiar a autonomia da vontade coletiva das partes, decidindo de forma contrária à tese vinculante do Supremo Tribunal Federal firmada no Tema nº 1.046 da Tabela de Repercussão Geral. Precedente da 5ª Turma. </w:t>
      </w:r>
      <w:proofErr w:type="gramStart"/>
      <w:r w:rsidRPr="00D244CA">
        <w:rPr>
          <w:rFonts w:ascii="Open Sans" w:hAnsi="Open Sans" w:cs="Open Sans"/>
          <w:sz w:val="24"/>
          <w:szCs w:val="24"/>
        </w:rPr>
        <w:t>Recurso de revista conhecido e provido."</w:t>
      </w:r>
      <w:proofErr w:type="gramEnd"/>
      <w:r w:rsidRPr="00D244CA">
        <w:rPr>
          <w:rFonts w:ascii="Open Sans" w:hAnsi="Open Sans" w:cs="Open Sans"/>
          <w:sz w:val="24"/>
          <w:szCs w:val="24"/>
        </w:rPr>
        <w:t xml:space="preserve"> (</w:t>
      </w:r>
      <w:hyperlink r:id="rId17" w:history="1">
        <w:r w:rsidRPr="00EC7DC9">
          <w:rPr>
            <w:rFonts w:ascii="Open Sans" w:hAnsi="Open Sans" w:cs="Open Sans"/>
            <w:color w:val="0000FF" w:themeColor="hyperlink"/>
            <w:sz w:val="24"/>
            <w:szCs w:val="24"/>
            <w:u w:val="single"/>
          </w:rPr>
          <w:t>TST-RR-1000634-37.2019.5.02.0032, 5ª Turma, rel. Min. Breno Medeiros, julgado em 21/2/2024</w:t>
        </w:r>
      </w:hyperlink>
      <w:r w:rsidRPr="00EC7DC9">
        <w:rPr>
          <w:rFonts w:ascii="Open Sans" w:hAnsi="Open Sans" w:cs="Open Sans"/>
          <w:color w:val="0000FF" w:themeColor="hyperlink"/>
          <w:sz w:val="24"/>
          <w:szCs w:val="24"/>
          <w:u w:val="single"/>
        </w:rPr>
        <w:t>)</w:t>
      </w:r>
      <w:r w:rsidRPr="00EC7DC9">
        <w:rPr>
          <w:rFonts w:ascii="Open Sans" w:eastAsia="Calibri" w:hAnsi="Open Sans" w:cs="Open Sans"/>
          <w:b/>
          <w:bCs/>
          <w:color w:val="FF0000"/>
          <w:sz w:val="24"/>
          <w:szCs w:val="24"/>
          <w:lang w:eastAsia="en-US"/>
        </w:rPr>
        <w:t xml:space="preserve"> </w:t>
      </w:r>
    </w:p>
    <w:p w:rsidR="006A6F3C" w:rsidRPr="00EC7DC9" w:rsidRDefault="006A6F3C" w:rsidP="00EC7DC9">
      <w:pPr>
        <w:autoSpaceDE/>
        <w:autoSpaceDN/>
        <w:ind w:left="-227" w:right="369"/>
        <w:jc w:val="both"/>
        <w:rPr>
          <w:rFonts w:ascii="Open Sans" w:hAnsi="Open Sans" w:cs="Open Sans"/>
          <w:sz w:val="24"/>
          <w:szCs w:val="24"/>
        </w:rPr>
      </w:pPr>
    </w:p>
    <w:p w:rsidR="006A6F3C" w:rsidRPr="00EC7DC9" w:rsidRDefault="006A6F3C" w:rsidP="00EC7DC9">
      <w:pPr>
        <w:autoSpaceDE/>
        <w:autoSpaceDN/>
        <w:ind w:left="-227" w:right="369"/>
        <w:jc w:val="both"/>
        <w:rPr>
          <w:rFonts w:ascii="Open Sans" w:eastAsia="Calibri" w:hAnsi="Open Sans" w:cs="Open Sans"/>
          <w:color w:val="FF0000"/>
          <w:sz w:val="24"/>
          <w:szCs w:val="24"/>
          <w:lang w:eastAsia="en-US"/>
        </w:rPr>
      </w:pPr>
      <w:r w:rsidRPr="00EC7DC9">
        <w:rPr>
          <w:rFonts w:ascii="Open Sans" w:hAnsi="Open Sans" w:cs="Open Sans"/>
          <w:sz w:val="24"/>
          <w:szCs w:val="24"/>
        </w:rPr>
        <w:t xml:space="preserve"> </w:t>
      </w:r>
      <w:proofErr w:type="gramStart"/>
      <w:r w:rsidRPr="00EC7DC9">
        <w:rPr>
          <w:rFonts w:ascii="Open Sans" w:hAnsi="Open Sans" w:cs="Open Sans"/>
          <w:sz w:val="24"/>
          <w:szCs w:val="24"/>
        </w:rPr>
        <w:t>“AGRAVO.</w:t>
      </w:r>
      <w:proofErr w:type="gramEnd"/>
      <w:r w:rsidRPr="00EC7DC9">
        <w:rPr>
          <w:rFonts w:ascii="Open Sans" w:hAnsi="Open Sans" w:cs="Open Sans"/>
          <w:sz w:val="24"/>
          <w:szCs w:val="24"/>
        </w:rPr>
        <w:t xml:space="preserve"> AGRAVO DE INSTRUMENTO EM RECURSO DE REVISTA. ACÓRDÃO PUBLICADO NA VIGÊNCIA DA LEI Nº 13.467/2017. NEGATIVA DE PRESTAÇÃO JURISDICIONAL. AÇÃO DE EXECUÇÃO INDIVIDUAL. TÍTULO EXECUTIVO JUDICIAL COLETIVO. CÁLCULOS. MOMENTO DA COMPENSAÇÃO. AUSÊNCIA DE TRANSCENDÊNCIA. A indicação de ofensa ao artigo 8º, V, da Constituição Federal desserve para a pretensão da agravante, de análise da preliminar de negativa de prestação jurisdicional, nos termos da Súmula nº 459, </w:t>
      </w:r>
      <w:r w:rsidRPr="00EC7DC9">
        <w:rPr>
          <w:rFonts w:ascii="Open Sans" w:hAnsi="Open Sans" w:cs="Open Sans"/>
          <w:i/>
          <w:sz w:val="24"/>
          <w:szCs w:val="24"/>
        </w:rPr>
        <w:t xml:space="preserve">in </w:t>
      </w:r>
      <w:proofErr w:type="spellStart"/>
      <w:r w:rsidRPr="00EC7DC9">
        <w:rPr>
          <w:rFonts w:ascii="Open Sans" w:hAnsi="Open Sans" w:cs="Open Sans"/>
          <w:i/>
          <w:sz w:val="24"/>
          <w:szCs w:val="24"/>
        </w:rPr>
        <w:t>verbis</w:t>
      </w:r>
      <w:proofErr w:type="spellEnd"/>
      <w:r w:rsidRPr="00EC7DC9">
        <w:rPr>
          <w:rFonts w:ascii="Open Sans" w:hAnsi="Open Sans" w:cs="Open Sans"/>
          <w:sz w:val="24"/>
          <w:szCs w:val="24"/>
        </w:rPr>
        <w:t xml:space="preserve">: </w:t>
      </w:r>
      <w:r w:rsidR="001337FB" w:rsidRPr="00EC7DC9">
        <w:rPr>
          <w:rFonts w:ascii="Open Sans" w:hAnsi="Open Sans" w:cs="Open Sans"/>
          <w:sz w:val="24"/>
          <w:szCs w:val="24"/>
        </w:rPr>
        <w:t>‘</w:t>
      </w:r>
      <w:r w:rsidRPr="00EC7DC9">
        <w:rPr>
          <w:rFonts w:ascii="Open Sans" w:hAnsi="Open Sans" w:cs="Open Sans"/>
          <w:sz w:val="24"/>
          <w:szCs w:val="24"/>
        </w:rPr>
        <w:t>Súmula nº 459 do TST. RECURSO DE REVISTA. NULIDADE POR NEGATIVA DE PRESTAÇÃO JURISDICIONAL (atualizada em decorrência do CPC de 2015) – Res. 219/2017, DEJT divulgado em 28, 29 e 30.06.2017 – republicada - DEJT divulgado em 12, 13 e 14.07.2017. O conhecimento do recurso de revista, quanto à preliminar de nulidade, por negativa de prestação jurisdicional, supõe indicação de violação do art. 832 da CLT, do art. 489 do CPC de 2015 (art. 458 do CPC de 1973) ou do art. 93, IX, da CF/1988</w:t>
      </w:r>
      <w:r w:rsidR="001337FB" w:rsidRPr="00EC7DC9">
        <w:rPr>
          <w:rFonts w:ascii="Open Sans" w:hAnsi="Open Sans" w:cs="Open Sans"/>
          <w:sz w:val="24"/>
          <w:szCs w:val="24"/>
        </w:rPr>
        <w:t>’</w:t>
      </w:r>
      <w:r w:rsidRPr="00EC7DC9">
        <w:rPr>
          <w:rFonts w:ascii="Open Sans" w:hAnsi="Open Sans" w:cs="Open Sans"/>
          <w:sz w:val="24"/>
          <w:szCs w:val="24"/>
        </w:rPr>
        <w:t>. A existência de obstáculo processual apto a inviabilizar o exame da matéria de fundo veiculada, como no caso, acaba por evidenciar, em última análise, a própria ausência de transcendência do recurso de revista, em qualquer das suas modalidades, conforme precedentes invocados na decisão agravada. Agravo não provido. EXERCÍCIO DO DIREITO DE VOTO EM ASSEMBLÉIA SINDICAL. REQUISITOS. ASSOCIADOS. TRANSCENDÊNCIA JURÍDICA RECONHECIDA. Agravo a que se dá provimento para examinar o agravo de instrumento em recurso de revista. Agravo provido. AGRAVO DE INSTRUMENTO EM RECURSO DE REVISTA. ACÓRDÃO PUBLICADO NA VI</w:t>
      </w:r>
      <w:r w:rsidR="00CE344F">
        <w:rPr>
          <w:rFonts w:ascii="Open Sans" w:hAnsi="Open Sans" w:cs="Open Sans"/>
          <w:sz w:val="24"/>
          <w:szCs w:val="24"/>
        </w:rPr>
        <w:t xml:space="preserve">GÊNCIA DA LEI N° 13.467/2017. </w:t>
      </w:r>
      <w:r w:rsidRPr="00EC7DC9">
        <w:rPr>
          <w:rFonts w:ascii="Open Sans" w:hAnsi="Open Sans" w:cs="Open Sans"/>
          <w:sz w:val="24"/>
          <w:szCs w:val="24"/>
        </w:rPr>
        <w:t xml:space="preserve">EXERCÍCIO DO DIREITO DE VOTO EM ASSEMBLÉIA SINDICAL. REQUISITOS. ASSOCIADOS. TRANSCENDÊNCIA JURÍDICA RECONHECIDA. Em razão do </w:t>
      </w:r>
      <w:r w:rsidRPr="00EC7DC9">
        <w:rPr>
          <w:rFonts w:ascii="Open Sans" w:hAnsi="Open Sans" w:cs="Open Sans"/>
          <w:sz w:val="24"/>
          <w:szCs w:val="24"/>
        </w:rPr>
        <w:lastRenderedPageBreak/>
        <w:t>reconhecimento da transcendência jurídica da matéria, viabilizando-se o debate em torno da interpretação do alcance dado ao art. 612 da CLT, dá-se provimento ao agravo de instrumento para determinar o prosseguimento do recurso de revista. Agravo de instrumento provido. RECURSO DE REVISTA. ACÓRDÃO PUBLICADO NA V</w:t>
      </w:r>
      <w:r w:rsidR="00CE344F">
        <w:rPr>
          <w:rFonts w:ascii="Open Sans" w:hAnsi="Open Sans" w:cs="Open Sans"/>
          <w:sz w:val="24"/>
          <w:szCs w:val="24"/>
        </w:rPr>
        <w:t xml:space="preserve">IGÊNCIA DA LEI N° 13.467/2017. </w:t>
      </w:r>
      <w:r w:rsidRPr="00EC7DC9">
        <w:rPr>
          <w:rFonts w:ascii="Open Sans" w:hAnsi="Open Sans" w:cs="Open Sans"/>
          <w:sz w:val="24"/>
          <w:szCs w:val="24"/>
        </w:rPr>
        <w:t>EXERCÍCIO DO DIREITO DE VOTO EM ASSEMBLÉIA SINDICAL. REQUISITOS. ASSOCIADOS. TRANSCENDÊNCIA JURÍDICA RECONHECIDA. Cinge-se a controvérsia em saber se a empresa reclamante, apesar de não associada ao sindicato, tem direito de voto em assembleia sindical. A livre associação ao sindicato está prevista no art. 8º da Constituição Federal, e de seus incisos III, IV, V e VII pode-se extrair a garantia do direito de voto aos filiados do ente sindical. Dessume-se, ainda, da leitura do art. 612 da CLT que as Convenções e Acordos Coletivos de Trabalho somente poderão ser celebrados por deliberação da Assembleia Geral especialmente convocada para esse fim, devendo respeitar o disposto nos respec</w:t>
      </w:r>
      <w:r w:rsidR="00CE344F">
        <w:rPr>
          <w:rFonts w:ascii="Open Sans" w:hAnsi="Open Sans" w:cs="Open Sans"/>
          <w:sz w:val="24"/>
          <w:szCs w:val="24"/>
        </w:rPr>
        <w:t>tivos Estatutos dos Sindicatos.</w:t>
      </w:r>
      <w:r w:rsidRPr="00EC7DC9">
        <w:rPr>
          <w:rFonts w:ascii="Open Sans" w:hAnsi="Open Sans" w:cs="Open Sans"/>
          <w:sz w:val="24"/>
          <w:szCs w:val="24"/>
        </w:rPr>
        <w:t xml:space="preserve"> Nesse mesmo sentido é o disposto na Orientação Jurisprudencial nº 13 do TST, segundo a qual: </w:t>
      </w:r>
      <w:r w:rsidR="001337FB" w:rsidRPr="00EC7DC9">
        <w:rPr>
          <w:rFonts w:ascii="Open Sans" w:hAnsi="Open Sans" w:cs="Open Sans"/>
          <w:sz w:val="24"/>
          <w:szCs w:val="24"/>
        </w:rPr>
        <w:t>‘</w:t>
      </w:r>
      <w:r w:rsidRPr="00EC7DC9">
        <w:rPr>
          <w:rFonts w:ascii="Open Sans" w:hAnsi="Open Sans" w:cs="Open Sans"/>
          <w:sz w:val="24"/>
          <w:szCs w:val="24"/>
        </w:rPr>
        <w:t xml:space="preserve">Mesmo após a promulgação da Constituição Federal de 1988, subordina-se a validade da </w:t>
      </w:r>
      <w:proofErr w:type="spellStart"/>
      <w:r w:rsidRPr="00EC7DC9">
        <w:rPr>
          <w:rFonts w:ascii="Open Sans" w:hAnsi="Open Sans" w:cs="Open Sans"/>
          <w:sz w:val="24"/>
          <w:szCs w:val="24"/>
        </w:rPr>
        <w:t>assembléia</w:t>
      </w:r>
      <w:proofErr w:type="spellEnd"/>
      <w:r w:rsidRPr="00EC7DC9">
        <w:rPr>
          <w:rFonts w:ascii="Open Sans" w:hAnsi="Open Sans" w:cs="Open Sans"/>
          <w:sz w:val="24"/>
          <w:szCs w:val="24"/>
        </w:rPr>
        <w:t xml:space="preserve"> de trabalhadores que legitima a atuação da entidade sindical respectiva em favor de se</w:t>
      </w:r>
      <w:r w:rsidR="001337FB" w:rsidRPr="00EC7DC9">
        <w:rPr>
          <w:rFonts w:ascii="Open Sans" w:hAnsi="Open Sans" w:cs="Open Sans"/>
          <w:sz w:val="24"/>
          <w:szCs w:val="24"/>
        </w:rPr>
        <w:t xml:space="preserve">us interesses à observância do </w:t>
      </w:r>
      <w:proofErr w:type="spellStart"/>
      <w:r w:rsidR="001337FB" w:rsidRPr="00EC7DC9">
        <w:rPr>
          <w:rFonts w:ascii="Open Sans" w:hAnsi="Open Sans" w:cs="Open Sans"/>
          <w:i/>
          <w:sz w:val="24"/>
          <w:szCs w:val="24"/>
        </w:rPr>
        <w:t>quorum</w:t>
      </w:r>
      <w:proofErr w:type="spellEnd"/>
      <w:r w:rsidRPr="00EC7DC9">
        <w:rPr>
          <w:rFonts w:ascii="Open Sans" w:hAnsi="Open Sans" w:cs="Open Sans"/>
          <w:sz w:val="24"/>
          <w:szCs w:val="24"/>
        </w:rPr>
        <w:t xml:space="preserve"> estabelecido no art. 612 da CLT”. A norma é expressa no sentido de que a condição de associado é requisito de validade da norma coletiva. Percebe-se, assim, que a garantia do processo democrático de tomada das decisões de interesse da categoria, depende do preenchimento dos requisitos de validade previstos em lei e no estatuto do sindicato. Assim, ao deixar de se associar por livre escolha, a autora optou por não obter direitos e obrigações próprios dos associados, como a possibilidade do exercício do direito de voto. A garantia de liberdade sindical (art. 8º, V, da CF/88) não significa que a autora possa, sem associar-se ao sindicato, </w:t>
      </w:r>
      <w:proofErr w:type="spellStart"/>
      <w:r w:rsidRPr="00EC7DC9">
        <w:rPr>
          <w:rFonts w:ascii="Open Sans" w:hAnsi="Open Sans" w:cs="Open Sans"/>
          <w:sz w:val="24"/>
          <w:szCs w:val="24"/>
        </w:rPr>
        <w:t>imiscuirse</w:t>
      </w:r>
      <w:proofErr w:type="spellEnd"/>
      <w:r w:rsidRPr="00EC7DC9">
        <w:rPr>
          <w:rFonts w:ascii="Open Sans" w:hAnsi="Open Sans" w:cs="Open Sans"/>
          <w:sz w:val="24"/>
          <w:szCs w:val="24"/>
        </w:rPr>
        <w:t xml:space="preserve"> nas atividades deste e opinar sobre o que lhe parece conveniente, como se associada fosse. Dessa forma, havendo cláusula no estatuto do sindicato patronal que garante o direto a voto em assembleia somente aos associados, inviável estender tal direito às empresas não filiadas, sob pena de desequilibrar o funcionamento da instituição, bem como interferir indevidamente na organização sindical. Cumpre frisar, por fim, que a contribuição sindical decorrente da filiação tem a função de dar suporte às atividades sindicais, e uma delas </w:t>
      </w:r>
      <w:proofErr w:type="gramStart"/>
      <w:r w:rsidRPr="00EC7DC9">
        <w:rPr>
          <w:rFonts w:ascii="Open Sans" w:hAnsi="Open Sans" w:cs="Open Sans"/>
          <w:sz w:val="24"/>
          <w:szCs w:val="24"/>
        </w:rPr>
        <w:t>é</w:t>
      </w:r>
      <w:proofErr w:type="gramEnd"/>
      <w:r w:rsidRPr="00EC7DC9">
        <w:rPr>
          <w:rFonts w:ascii="Open Sans" w:hAnsi="Open Sans" w:cs="Open Sans"/>
          <w:sz w:val="24"/>
          <w:szCs w:val="24"/>
        </w:rPr>
        <w:t xml:space="preserve"> exatamente a realização de assembleias e as deliberações que possam vir a ocorrer. Nesse rumo, não se verificam as violações dos dispositivos legais e constitucionais apontados. Recurso de revista não conhecido." </w:t>
      </w:r>
      <w:hyperlink r:id="rId18" w:history="1">
        <w:r w:rsidRPr="00EC7DC9">
          <w:rPr>
            <w:rFonts w:ascii="Open Sans" w:hAnsi="Open Sans" w:cs="Open Sans"/>
            <w:color w:val="0000FF" w:themeColor="hyperlink"/>
            <w:sz w:val="24"/>
            <w:szCs w:val="24"/>
            <w:u w:val="single"/>
          </w:rPr>
          <w:t xml:space="preserve">TST-RRAg-484-76.2021.5.09.0010, 5ª Turma, rel. Min. Breno Medeiros, julgado em </w:t>
        </w:r>
        <w:proofErr w:type="gramStart"/>
        <w:r w:rsidRPr="00EC7DC9">
          <w:rPr>
            <w:rFonts w:ascii="Open Sans" w:hAnsi="Open Sans" w:cs="Open Sans"/>
            <w:color w:val="0000FF" w:themeColor="hyperlink"/>
            <w:sz w:val="24"/>
            <w:szCs w:val="24"/>
            <w:u w:val="single"/>
          </w:rPr>
          <w:t>21/2/2024.</w:t>
        </w:r>
        <w:proofErr w:type="gramEnd"/>
      </w:hyperlink>
      <w:r w:rsidRPr="00EC7DC9">
        <w:rPr>
          <w:rFonts w:ascii="Open Sans" w:eastAsia="Calibri" w:hAnsi="Open Sans" w:cs="Open Sans"/>
          <w:sz w:val="24"/>
          <w:szCs w:val="24"/>
          <w:lang w:eastAsia="en-US"/>
        </w:rPr>
        <w:t xml:space="preserve"> </w:t>
      </w:r>
    </w:p>
    <w:p w:rsidR="00476E10" w:rsidRPr="00EC7DC9" w:rsidRDefault="00476E10" w:rsidP="00EC7DC9">
      <w:pPr>
        <w:ind w:left="-227" w:right="369"/>
        <w:jc w:val="both"/>
        <w:rPr>
          <w:rFonts w:ascii="Open Sans" w:hAnsi="Open Sans" w:cs="Open Sans"/>
          <w:sz w:val="24"/>
          <w:szCs w:val="24"/>
        </w:rPr>
      </w:pPr>
    </w:p>
    <w:p w:rsidR="00D244CA" w:rsidRPr="00D244CA" w:rsidRDefault="00D244CA" w:rsidP="00EC7DC9">
      <w:pPr>
        <w:ind w:left="-227" w:right="369"/>
        <w:jc w:val="both"/>
        <w:rPr>
          <w:rFonts w:ascii="Open Sans" w:hAnsi="Open Sans" w:cs="Open Sans"/>
          <w:color w:val="000000"/>
          <w:sz w:val="24"/>
          <w:szCs w:val="24"/>
        </w:rPr>
      </w:pPr>
      <w:r w:rsidRPr="00EC7DC9">
        <w:rPr>
          <w:rFonts w:ascii="Open Sans" w:hAnsi="Open Sans" w:cs="Open Sans"/>
          <w:bCs/>
          <w:color w:val="000000"/>
          <w:sz w:val="24"/>
          <w:szCs w:val="24"/>
        </w:rPr>
        <w:t>“</w:t>
      </w:r>
      <w:r w:rsidRPr="00D244CA">
        <w:rPr>
          <w:rFonts w:ascii="Open Sans" w:hAnsi="Open Sans" w:cs="Open Sans"/>
          <w:bCs/>
          <w:sz w:val="24"/>
          <w:szCs w:val="24"/>
        </w:rPr>
        <w:t xml:space="preserve">RECURSO DE REVISTA INTERPOSTO NA VIGÊNCIA DA LEI 13.467/2017 E DA IN 40 DO TST. TÉCNICO DE LABORATÓRIO. DIFERENÇAS SALARIAIS. PREVALÊNCIA DAS NORMAS COLETIVAS COM PREVISÃO DE PISO SALARIAL PROFISSIONAL MENOR QUE O ESTABELECIDO NA LEI 3.999/1961. TEMA 1.046 DA TABELA DE REPERCUSSÃO GERAL </w:t>
      </w:r>
      <w:r w:rsidRPr="00D244CA">
        <w:rPr>
          <w:rFonts w:ascii="Open Sans" w:hAnsi="Open Sans" w:cs="Open Sans"/>
          <w:bCs/>
          <w:sz w:val="24"/>
          <w:szCs w:val="24"/>
        </w:rPr>
        <w:lastRenderedPageBreak/>
        <w:t xml:space="preserve">DO STF. TRANSCENDÊNCIA NÃO RECONHECIDA. Trata-se de debate sobre a possibilidade de norma coletiva estabelecer piso salarial profissional menor que o previsto na Lei 3.999/1961 para os técnicos de laboratório. O Regional consignou: </w:t>
      </w:r>
      <w:r w:rsidR="00D53EA9" w:rsidRPr="00EC7DC9">
        <w:rPr>
          <w:rFonts w:ascii="Open Sans" w:hAnsi="Open Sans" w:cs="Open Sans"/>
          <w:bCs/>
          <w:sz w:val="24"/>
          <w:szCs w:val="24"/>
        </w:rPr>
        <w:t>‘</w:t>
      </w:r>
      <w:r w:rsidRPr="00D244CA">
        <w:rPr>
          <w:rFonts w:ascii="Open Sans" w:hAnsi="Open Sans" w:cs="Open Sans"/>
          <w:bCs/>
          <w:sz w:val="24"/>
          <w:szCs w:val="24"/>
        </w:rPr>
        <w:t xml:space="preserve">No caso, foram juntadas normas coletivas às fls. 158/229 que estabelecem o piso salarial ao técnico de laboratório, referentes a todo o período </w:t>
      </w:r>
      <w:proofErr w:type="spellStart"/>
      <w:r w:rsidRPr="00D244CA">
        <w:rPr>
          <w:rFonts w:ascii="Open Sans" w:hAnsi="Open Sans" w:cs="Open Sans"/>
          <w:bCs/>
          <w:sz w:val="24"/>
          <w:szCs w:val="24"/>
        </w:rPr>
        <w:t>imprescrito</w:t>
      </w:r>
      <w:proofErr w:type="spellEnd"/>
      <w:r w:rsidRPr="00D244CA">
        <w:rPr>
          <w:rFonts w:ascii="Open Sans" w:hAnsi="Open Sans" w:cs="Open Sans"/>
          <w:bCs/>
          <w:sz w:val="24"/>
          <w:szCs w:val="24"/>
        </w:rPr>
        <w:t xml:space="preserve">. Considerando a interpretação do decidido pelo STF quanto ao tema 1.046, são válidas as normas coletivas que estabelecem o piso ao técnico de laboratório, consignando-se que o valor do piso disposto na lei 3.999/61 não se trata de direito </w:t>
      </w:r>
      <w:proofErr w:type="gramStart"/>
      <w:r w:rsidRPr="00D244CA">
        <w:rPr>
          <w:rFonts w:ascii="Open Sans" w:hAnsi="Open Sans" w:cs="Open Sans"/>
          <w:bCs/>
          <w:sz w:val="24"/>
          <w:szCs w:val="24"/>
        </w:rPr>
        <w:t>indisponível.</w:t>
      </w:r>
      <w:proofErr w:type="gramEnd"/>
      <w:r w:rsidR="00D53EA9" w:rsidRPr="00EC7DC9">
        <w:rPr>
          <w:rFonts w:ascii="Open Sans" w:hAnsi="Open Sans" w:cs="Open Sans"/>
          <w:bCs/>
          <w:sz w:val="24"/>
          <w:szCs w:val="24"/>
        </w:rPr>
        <w:t>’</w:t>
      </w:r>
      <w:r w:rsidRPr="00D244CA">
        <w:rPr>
          <w:rFonts w:ascii="Open Sans" w:hAnsi="Open Sans" w:cs="Open Sans"/>
          <w:bCs/>
          <w:sz w:val="24"/>
          <w:szCs w:val="24"/>
        </w:rPr>
        <w:t xml:space="preserve"> Com efeito, o Supremo Tribunal Federal ao finalizar o julgamento do Tema 1.046 da Tabela de Repercussão Geral, em apreciação ao Recurso Extraordinário nº 1.121.633, de relatoria do Min. Gilmar Mendes, fixou limites para a negociação de direitos trabalhistas por meio de instrumentos coletivos, seja convenção ou acordo coletivo de trabalho. Na decisão, foi fixada a seguinte tese: </w:t>
      </w:r>
      <w:r w:rsidR="00D53EA9" w:rsidRPr="00EC7DC9">
        <w:rPr>
          <w:rFonts w:ascii="Open Sans" w:hAnsi="Open Sans" w:cs="Open Sans"/>
          <w:bCs/>
          <w:sz w:val="24"/>
          <w:szCs w:val="24"/>
        </w:rPr>
        <w:t>‘</w:t>
      </w:r>
      <w:r w:rsidRPr="00D244CA">
        <w:rPr>
          <w:rFonts w:ascii="Open Sans" w:hAnsi="Open Sans" w:cs="Open Sans"/>
          <w:bCs/>
          <w:sz w:val="24"/>
          <w:szCs w:val="24"/>
        </w:rPr>
        <w:t>São constitucionais os acordos e as convenções coletivas que, ao considerarem a adequação setorial negociada, pactuam limitações ou afastamentos de direitos trabalhistas, independentemente da explicitação especificada de vantagens compensatórias, desde que respeitados os direitos absolutamente indisponíveis</w:t>
      </w:r>
      <w:r w:rsidR="00D53EA9" w:rsidRPr="00EC7DC9">
        <w:rPr>
          <w:rFonts w:ascii="Open Sans" w:hAnsi="Open Sans" w:cs="Open Sans"/>
          <w:bCs/>
          <w:sz w:val="24"/>
          <w:szCs w:val="24"/>
        </w:rPr>
        <w:t>’</w:t>
      </w:r>
      <w:r w:rsidRPr="00D244CA">
        <w:rPr>
          <w:rFonts w:ascii="Open Sans" w:hAnsi="Open Sans" w:cs="Open Sans"/>
          <w:bCs/>
          <w:sz w:val="24"/>
          <w:szCs w:val="24"/>
        </w:rPr>
        <w:t>. No voto do relator, ficaram expressos os direitos que comportariam tal negociação de forma livre, outros em que alteração pode ser parcial e aqueles cuja alteração é vedada ainda que por norma coletiva. Assim, o STF classificou as matérias de acordo com os direitos ligados fundamentalmente a impactos na saúde e segurança do trabalhador ou aqueles c</w:t>
      </w:r>
      <w:r w:rsidR="00CE344F">
        <w:rPr>
          <w:rFonts w:ascii="Open Sans" w:hAnsi="Open Sans" w:cs="Open Sans"/>
          <w:bCs/>
          <w:sz w:val="24"/>
          <w:szCs w:val="24"/>
        </w:rPr>
        <w:t xml:space="preserve">om impactos apenas </w:t>
      </w:r>
      <w:proofErr w:type="gramStart"/>
      <w:r w:rsidR="00CE344F">
        <w:rPr>
          <w:rFonts w:ascii="Open Sans" w:hAnsi="Open Sans" w:cs="Open Sans"/>
          <w:bCs/>
          <w:sz w:val="24"/>
          <w:szCs w:val="24"/>
        </w:rPr>
        <w:t>econômicos</w:t>
      </w:r>
      <w:proofErr w:type="gramEnd"/>
      <w:r w:rsidR="00CE344F">
        <w:rPr>
          <w:rFonts w:ascii="Open Sans" w:hAnsi="Open Sans" w:cs="Open Sans"/>
          <w:bCs/>
          <w:sz w:val="24"/>
          <w:szCs w:val="24"/>
        </w:rPr>
        <w:t xml:space="preserve">. </w:t>
      </w:r>
      <w:r w:rsidRPr="00D244CA">
        <w:rPr>
          <w:rFonts w:ascii="Open Sans" w:hAnsi="Open Sans" w:cs="Open Sans"/>
          <w:bCs/>
          <w:sz w:val="24"/>
          <w:szCs w:val="24"/>
        </w:rPr>
        <w:t xml:space="preserve">E estabeleceu limites à negociação coletiva em três níveis, a saber: direitos absolutamente indisponíveis; direitos relativamente indisponíveis e os direitos disponíveis para fins de </w:t>
      </w:r>
      <w:proofErr w:type="gramStart"/>
      <w:r w:rsidRPr="00D244CA">
        <w:rPr>
          <w:rFonts w:ascii="Open Sans" w:hAnsi="Open Sans" w:cs="Open Sans"/>
          <w:bCs/>
          <w:sz w:val="24"/>
          <w:szCs w:val="24"/>
        </w:rPr>
        <w:t>flexibilização</w:t>
      </w:r>
      <w:proofErr w:type="gramEnd"/>
      <w:r w:rsidRPr="00D244CA">
        <w:rPr>
          <w:rFonts w:ascii="Open Sans" w:hAnsi="Open Sans" w:cs="Open Sans"/>
          <w:bCs/>
          <w:sz w:val="24"/>
          <w:szCs w:val="24"/>
        </w:rPr>
        <w:t xml:space="preserve"> negociada entre os sindicatos representativos de patrões e empregados. O rol de direitos absolutamente indisponíveis seria </w:t>
      </w:r>
      <w:r w:rsidR="00D53EA9" w:rsidRPr="00EC7DC9">
        <w:rPr>
          <w:rFonts w:ascii="Open Sans" w:hAnsi="Open Sans" w:cs="Open Sans"/>
          <w:bCs/>
          <w:sz w:val="24"/>
          <w:szCs w:val="24"/>
        </w:rPr>
        <w:t>‘</w:t>
      </w:r>
      <w:r w:rsidRPr="00D244CA">
        <w:rPr>
          <w:rFonts w:ascii="Open Sans" w:hAnsi="Open Sans" w:cs="Open Sans"/>
          <w:bCs/>
          <w:sz w:val="24"/>
          <w:szCs w:val="24"/>
        </w:rPr>
        <w:t>composto, em linhas gerais, (i) pelas normas constitucionais, (</w:t>
      </w:r>
      <w:proofErr w:type="spellStart"/>
      <w:proofErr w:type="gramStart"/>
      <w:r w:rsidRPr="00D244CA">
        <w:rPr>
          <w:rFonts w:ascii="Open Sans" w:hAnsi="Open Sans" w:cs="Open Sans"/>
          <w:bCs/>
          <w:sz w:val="24"/>
          <w:szCs w:val="24"/>
        </w:rPr>
        <w:t>ii</w:t>
      </w:r>
      <w:proofErr w:type="spellEnd"/>
      <w:proofErr w:type="gramEnd"/>
      <w:r w:rsidRPr="00D244CA">
        <w:rPr>
          <w:rFonts w:ascii="Open Sans" w:hAnsi="Open Sans" w:cs="Open Sans"/>
          <w:bCs/>
          <w:sz w:val="24"/>
          <w:szCs w:val="24"/>
        </w:rPr>
        <w:t>) pelas normas de tratados e convenções internacionais incorporadas ao Direito Brasileiro e (</w:t>
      </w:r>
      <w:proofErr w:type="spellStart"/>
      <w:r w:rsidRPr="00D244CA">
        <w:rPr>
          <w:rFonts w:ascii="Open Sans" w:hAnsi="Open Sans" w:cs="Open Sans"/>
          <w:bCs/>
          <w:sz w:val="24"/>
          <w:szCs w:val="24"/>
        </w:rPr>
        <w:t>iii</w:t>
      </w:r>
      <w:proofErr w:type="spellEnd"/>
      <w:r w:rsidRPr="00D244CA">
        <w:rPr>
          <w:rFonts w:ascii="Open Sans" w:hAnsi="Open Sans" w:cs="Open Sans"/>
          <w:bCs/>
          <w:sz w:val="24"/>
          <w:szCs w:val="24"/>
        </w:rPr>
        <w:t>) pelas normas que, mesmo infraconstitucionais, asseguram garantias mínimas de cidadania aos trabalhadores</w:t>
      </w:r>
      <w:r w:rsidR="00D53EA9" w:rsidRPr="00EC7DC9">
        <w:rPr>
          <w:rFonts w:ascii="Open Sans" w:hAnsi="Open Sans" w:cs="Open Sans"/>
          <w:bCs/>
          <w:sz w:val="24"/>
          <w:szCs w:val="24"/>
        </w:rPr>
        <w:t>’</w:t>
      </w:r>
      <w:r w:rsidRPr="00D244CA">
        <w:rPr>
          <w:rFonts w:ascii="Open Sans" w:hAnsi="Open Sans" w:cs="Open Sans"/>
          <w:bCs/>
          <w:sz w:val="24"/>
          <w:szCs w:val="24"/>
        </w:rPr>
        <w:t xml:space="preserve">. A controvérsia se aguça quanto ao terceiro tipo, qual seja, o das normas infraconstitucionais que asseguram </w:t>
      </w:r>
      <w:r w:rsidR="00CE344F">
        <w:rPr>
          <w:rFonts w:ascii="Open Sans" w:hAnsi="Open Sans" w:cs="Open Sans"/>
          <w:bCs/>
          <w:sz w:val="24"/>
          <w:szCs w:val="24"/>
        </w:rPr>
        <w:t>garantias mínimas de cidadania.</w:t>
      </w:r>
      <w:r w:rsidRPr="00D244CA">
        <w:rPr>
          <w:rFonts w:ascii="Open Sans" w:hAnsi="Open Sans" w:cs="Open Sans"/>
          <w:bCs/>
          <w:sz w:val="24"/>
          <w:szCs w:val="24"/>
        </w:rPr>
        <w:t xml:space="preserve"> I) Foram citados como exemplo de direitos absolutamente indisponíveis: as políticas públicas de inclusão da pessoa com deficiência e dos jovens e adolescentes no mercado de trabalho, que são definidas em legislação específica; os direitos de que tratam a Súmula n. 85, VI (que invalida cláusula de compensação de jornada em atividade insalubre sem prévia autorização do Ministério do Trabalho); a Súmula n. 437 (redução ou supressão de intervalo intrajornada) e a Súmula n. 449 (que </w:t>
      </w:r>
      <w:proofErr w:type="spellStart"/>
      <w:r w:rsidRPr="00D244CA">
        <w:rPr>
          <w:rFonts w:ascii="Open Sans" w:hAnsi="Open Sans" w:cs="Open Sans"/>
          <w:bCs/>
          <w:sz w:val="24"/>
          <w:szCs w:val="24"/>
        </w:rPr>
        <w:t>elastece</w:t>
      </w:r>
      <w:proofErr w:type="spellEnd"/>
      <w:r w:rsidRPr="00D244CA">
        <w:rPr>
          <w:rFonts w:ascii="Open Sans" w:hAnsi="Open Sans" w:cs="Open Sans"/>
          <w:bCs/>
          <w:sz w:val="24"/>
          <w:szCs w:val="24"/>
        </w:rPr>
        <w:t xml:space="preserve"> o limite de 5 minutos que antecedem e sucedem a jornada de trabalho para fins de apuração das hor</w:t>
      </w:r>
      <w:r w:rsidR="00CE344F">
        <w:rPr>
          <w:rFonts w:ascii="Open Sans" w:hAnsi="Open Sans" w:cs="Open Sans"/>
          <w:bCs/>
          <w:sz w:val="24"/>
          <w:szCs w:val="24"/>
        </w:rPr>
        <w:t>as extras).</w:t>
      </w:r>
      <w:r w:rsidRPr="00D244CA">
        <w:rPr>
          <w:rFonts w:ascii="Open Sans" w:hAnsi="Open Sans" w:cs="Open Sans"/>
          <w:bCs/>
          <w:sz w:val="24"/>
          <w:szCs w:val="24"/>
        </w:rPr>
        <w:t xml:space="preserve"> </w:t>
      </w:r>
      <w:proofErr w:type="gramStart"/>
      <w:r w:rsidRPr="00D244CA">
        <w:rPr>
          <w:rFonts w:ascii="Open Sans" w:hAnsi="Open Sans" w:cs="Open Sans"/>
          <w:bCs/>
          <w:sz w:val="24"/>
          <w:szCs w:val="24"/>
        </w:rPr>
        <w:t>II)</w:t>
      </w:r>
      <w:proofErr w:type="gramEnd"/>
      <w:r w:rsidRPr="00D244CA">
        <w:rPr>
          <w:rFonts w:ascii="Open Sans" w:hAnsi="Open Sans" w:cs="Open Sans"/>
          <w:bCs/>
          <w:sz w:val="24"/>
          <w:szCs w:val="24"/>
        </w:rPr>
        <w:t xml:space="preserve"> No campo dos direitos relativamente indisponíveis, a Suprema Corte cita: proporção entre salário mínimo ou piso salarial e a jornada nos casos de jornada contratualmente reduzida (Súmula n. 358, I do TST), além da possibilidade de expansão da jornada de seis para oito horas quando o empregado trabalha em turnos </w:t>
      </w:r>
      <w:r w:rsidRPr="00D244CA">
        <w:rPr>
          <w:rFonts w:ascii="Open Sans" w:hAnsi="Open Sans" w:cs="Open Sans"/>
          <w:bCs/>
          <w:sz w:val="24"/>
          <w:szCs w:val="24"/>
        </w:rPr>
        <w:lastRenderedPageBreak/>
        <w:t xml:space="preserve">ininterruptos de revezamento (Súmula n. 423 do TST). III) Por fim, como exemplo dos direitos disponíveis, passíveis de alteração ou supressão por norma coletiva, registrou: </w:t>
      </w:r>
      <w:proofErr w:type="gramStart"/>
      <w:r w:rsidRPr="00D244CA">
        <w:rPr>
          <w:rFonts w:ascii="Open Sans" w:hAnsi="Open Sans" w:cs="Open Sans"/>
          <w:bCs/>
          <w:sz w:val="24"/>
          <w:szCs w:val="24"/>
        </w:rPr>
        <w:t>aqueles cuja mitigação está autorizada pela própria Constituição Federal, como é</w:t>
      </w:r>
      <w:proofErr w:type="gramEnd"/>
      <w:r w:rsidRPr="00D244CA">
        <w:rPr>
          <w:rFonts w:ascii="Open Sans" w:hAnsi="Open Sans" w:cs="Open Sans"/>
          <w:bCs/>
          <w:sz w:val="24"/>
          <w:szCs w:val="24"/>
        </w:rPr>
        <w:t xml:space="preserve"> o caso do direito à irredutibilidade do salário (art. 7º, VI) e do limite máximo de jornada mediante compensação (art. 7º, XIII), bem assim do direito à limitação em seis horas dos turnos ininterruptos de revezamento (art. 7º, XIV), além daqueles que a jurisprudência do próprio TST e do STF considera possível a disposição pela via coletiva, ainda que de forma contrária a lei sobre aspectos relacionados a: (i) remuneração (redutibilidade de salários, prêmios, gratificações, adicionais, férias) e (</w:t>
      </w:r>
      <w:proofErr w:type="spellStart"/>
      <w:r w:rsidRPr="00D244CA">
        <w:rPr>
          <w:rFonts w:ascii="Open Sans" w:hAnsi="Open Sans" w:cs="Open Sans"/>
          <w:bCs/>
          <w:sz w:val="24"/>
          <w:szCs w:val="24"/>
        </w:rPr>
        <w:t>ii</w:t>
      </w:r>
      <w:proofErr w:type="spellEnd"/>
      <w:r w:rsidRPr="00D244CA">
        <w:rPr>
          <w:rFonts w:ascii="Open Sans" w:hAnsi="Open Sans" w:cs="Open Sans"/>
          <w:bCs/>
          <w:sz w:val="24"/>
          <w:szCs w:val="24"/>
        </w:rPr>
        <w:t xml:space="preserve">) jornada (compensações de jornadas de trabalho, turnos ininterruptos de revezamento, horas </w:t>
      </w:r>
      <w:r w:rsidRPr="00D244CA">
        <w:rPr>
          <w:rFonts w:ascii="Open Sans" w:hAnsi="Open Sans" w:cs="Open Sans"/>
          <w:bCs/>
          <w:i/>
          <w:sz w:val="24"/>
          <w:szCs w:val="24"/>
        </w:rPr>
        <w:t xml:space="preserve">in </w:t>
      </w:r>
      <w:proofErr w:type="spellStart"/>
      <w:r w:rsidRPr="00D244CA">
        <w:rPr>
          <w:rFonts w:ascii="Open Sans" w:hAnsi="Open Sans" w:cs="Open Sans"/>
          <w:bCs/>
          <w:i/>
          <w:sz w:val="24"/>
          <w:szCs w:val="24"/>
        </w:rPr>
        <w:t>itinere</w:t>
      </w:r>
      <w:proofErr w:type="spellEnd"/>
      <w:r w:rsidRPr="00D244CA">
        <w:rPr>
          <w:rFonts w:ascii="Open Sans" w:hAnsi="Open Sans" w:cs="Open Sans"/>
          <w:bCs/>
          <w:sz w:val="24"/>
          <w:szCs w:val="24"/>
        </w:rPr>
        <w:t xml:space="preserve"> e jornadas superiores ao limite de 10 (dez) horas diárias, excepcionalmente nos padrões de escala doze por trin</w:t>
      </w:r>
      <w:r w:rsidR="00CE344F">
        <w:rPr>
          <w:rFonts w:ascii="Open Sans" w:hAnsi="Open Sans" w:cs="Open Sans"/>
          <w:bCs/>
          <w:sz w:val="24"/>
          <w:szCs w:val="24"/>
        </w:rPr>
        <w:t xml:space="preserve">ta e seis ou semana espanhola. </w:t>
      </w:r>
      <w:r w:rsidRPr="00D244CA">
        <w:rPr>
          <w:rFonts w:ascii="Open Sans" w:hAnsi="Open Sans" w:cs="Open Sans"/>
          <w:bCs/>
          <w:sz w:val="24"/>
          <w:szCs w:val="24"/>
        </w:rPr>
        <w:t>No caso concreto, há jurisprudência a respaldar a negociação em situação semelhante por incidência da aludida tese do Tema 1046 (RCL 49303-ES, DJE de 8/6/2022). Ante o exposto, verifica-se que a fixação de salário normativo inferior ao piso salarial previsto em lei está em sintonia com a tese fixada no Tema 1.046 da Tabela de Repercussão Geral. Nessa senda, encontrando-se a decisão recorrida em consonância com decisão vinculante do Supremo Tribunal Federal (Tema 1.046 da Tabela de Repercussão Geral), fica evidenciado que a causa não reflete os critérios de transcendência descritos pelo art. 896-A, § 1º, da CLT.</w:t>
      </w:r>
      <w:r w:rsidRPr="00D244CA">
        <w:rPr>
          <w:rFonts w:ascii="Open Sans" w:hAnsi="Open Sans" w:cs="Open Sans"/>
          <w:sz w:val="24"/>
          <w:szCs w:val="24"/>
        </w:rPr>
        <w:t xml:space="preserve">“ </w:t>
      </w:r>
      <w:r w:rsidRPr="00EC7DC9">
        <w:rPr>
          <w:rFonts w:ascii="Open Sans" w:hAnsi="Open Sans" w:cs="Open Sans"/>
          <w:bCs/>
          <w:sz w:val="24"/>
          <w:szCs w:val="24"/>
        </w:rPr>
        <w:t>(</w:t>
      </w:r>
      <w:hyperlink r:id="rId19" w:history="1">
        <w:r w:rsidRPr="00EC7DC9">
          <w:rPr>
            <w:rFonts w:ascii="Open Sans" w:hAnsi="Open Sans" w:cs="Open Sans"/>
            <w:bCs/>
            <w:color w:val="0000FF" w:themeColor="hyperlink"/>
            <w:sz w:val="24"/>
            <w:szCs w:val="24"/>
            <w:u w:val="single"/>
          </w:rPr>
          <w:t xml:space="preserve">TST-RR-515-16.2021.5.09.0069, 6ª Turma, rel. Min. </w:t>
        </w:r>
        <w:r w:rsidRPr="00EC7DC9">
          <w:rPr>
            <w:rFonts w:ascii="Open Sans" w:hAnsi="Open Sans" w:cs="Open Sans"/>
            <w:color w:val="0000FF" w:themeColor="hyperlink"/>
            <w:sz w:val="24"/>
            <w:szCs w:val="24"/>
            <w:u w:val="single"/>
          </w:rPr>
          <w:t>Augusto César Leite de Carvalho</w:t>
        </w:r>
        <w:r w:rsidRPr="00EC7DC9">
          <w:rPr>
            <w:rFonts w:ascii="Open Sans" w:hAnsi="Open Sans" w:cs="Open Sans"/>
            <w:bCs/>
            <w:color w:val="0000FF" w:themeColor="hyperlink"/>
            <w:sz w:val="24"/>
            <w:szCs w:val="24"/>
            <w:u w:val="single"/>
          </w:rPr>
          <w:t>, julgado em 21/2/2024</w:t>
        </w:r>
      </w:hyperlink>
      <w:r w:rsidRPr="00EC7DC9">
        <w:rPr>
          <w:rFonts w:ascii="Open Sans" w:hAnsi="Open Sans" w:cs="Open Sans"/>
          <w:bCs/>
          <w:sz w:val="24"/>
          <w:szCs w:val="24"/>
        </w:rPr>
        <w:t>)</w:t>
      </w:r>
    </w:p>
    <w:p w:rsidR="00476E10" w:rsidRPr="00EC7DC9" w:rsidRDefault="00476E10" w:rsidP="00EC7DC9">
      <w:pPr>
        <w:ind w:left="-227" w:right="369"/>
        <w:jc w:val="both"/>
        <w:rPr>
          <w:rFonts w:ascii="Open Sans" w:hAnsi="Open Sans" w:cs="Open Sans"/>
          <w:bCs/>
          <w:color w:val="000000"/>
          <w:sz w:val="24"/>
          <w:szCs w:val="24"/>
        </w:rPr>
      </w:pPr>
    </w:p>
    <w:p w:rsidR="00476E10" w:rsidRPr="00EC7DC9" w:rsidRDefault="00476E10" w:rsidP="00EC7DC9">
      <w:pPr>
        <w:ind w:left="-227" w:right="369"/>
        <w:jc w:val="both"/>
        <w:rPr>
          <w:rFonts w:ascii="Open Sans" w:hAnsi="Open Sans" w:cs="Open Sans"/>
          <w:color w:val="000000"/>
          <w:sz w:val="24"/>
          <w:szCs w:val="24"/>
        </w:rPr>
      </w:pPr>
      <w:r w:rsidRPr="00EC7DC9">
        <w:rPr>
          <w:rFonts w:ascii="Open Sans" w:hAnsi="Open Sans" w:cs="Open Sans"/>
          <w:bCs/>
          <w:color w:val="000000"/>
          <w:sz w:val="24"/>
          <w:szCs w:val="24"/>
        </w:rPr>
        <w:t>“[...]</w:t>
      </w:r>
      <w:r w:rsidR="00E221A8" w:rsidRPr="00EC7DC9">
        <w:rPr>
          <w:rFonts w:ascii="Open Sans" w:hAnsi="Open Sans" w:cs="Open Sans"/>
          <w:bCs/>
          <w:color w:val="000000"/>
          <w:sz w:val="24"/>
          <w:szCs w:val="24"/>
        </w:rPr>
        <w:t xml:space="preserve"> </w:t>
      </w:r>
      <w:r w:rsidR="00E221A8" w:rsidRPr="00EC7DC9">
        <w:rPr>
          <w:rFonts w:ascii="Open Sans" w:hAnsi="Open Sans" w:cs="Open Sans"/>
          <w:sz w:val="24"/>
          <w:szCs w:val="24"/>
        </w:rPr>
        <w:t xml:space="preserve">II- RECURSO DE REVISTA. LEI 13.467/2017. AÇÃO CIVIL PÚBLICA. OBRIGAÇÃO DE FAZER. CUMPRIMENTO DO ART. 389 DA CLT. ESPAÇO DE ALEITAMENTO MATERNO PARA EMPREGADAS DAS LOJAS DE SHOPPING CENTER. TRANSCENDÊNCIA NÃO RECONHECIDA. Trata-se de debate sobre a aplicabilidade da exigência prevista no § 1º do art. 389 da CLT </w:t>
      </w:r>
      <w:proofErr w:type="gramStart"/>
      <w:r w:rsidR="00E221A8" w:rsidRPr="00EC7DC9">
        <w:rPr>
          <w:rFonts w:ascii="Open Sans" w:hAnsi="Open Sans" w:cs="Open Sans"/>
          <w:sz w:val="24"/>
          <w:szCs w:val="24"/>
        </w:rPr>
        <w:t xml:space="preserve">aos </w:t>
      </w:r>
      <w:r w:rsidR="00E221A8" w:rsidRPr="00EC7DC9">
        <w:rPr>
          <w:rFonts w:ascii="Open Sans" w:hAnsi="Open Sans" w:cs="Open Sans"/>
          <w:i/>
          <w:sz w:val="24"/>
          <w:szCs w:val="24"/>
        </w:rPr>
        <w:t>Shopping</w:t>
      </w:r>
      <w:proofErr w:type="gramEnd"/>
      <w:r w:rsidR="00E221A8" w:rsidRPr="00EC7DC9">
        <w:rPr>
          <w:rFonts w:ascii="Open Sans" w:hAnsi="Open Sans" w:cs="Open Sans"/>
          <w:i/>
          <w:sz w:val="24"/>
          <w:szCs w:val="24"/>
        </w:rPr>
        <w:t xml:space="preserve"> Centers</w:t>
      </w:r>
      <w:r w:rsidR="00E221A8" w:rsidRPr="00EC7DC9">
        <w:rPr>
          <w:rFonts w:ascii="Open Sans" w:hAnsi="Open Sans" w:cs="Open Sans"/>
          <w:sz w:val="24"/>
          <w:szCs w:val="24"/>
        </w:rPr>
        <w:t xml:space="preserve">, no que se refere à disponibilização de local adequado às trabalhadoras destinado à guarda, sob vigilância e assistência, de seus filhos no período da amamentação. O exame prévio dos critérios de transcendência do recurso de revista revela a inexistência de qualquer deles a possibilitar o exame do apelo no TST. Destaque-se, sob a ótica do critério político de transcendência, que o acórdão regional está em sintonia com o entendimento firmado nesta Corte, a partir do julgamento do E-RR-131651-27.2015.5.13.0008 (de relatoria do Exmo. Ministro Alberto Luiz </w:t>
      </w:r>
      <w:proofErr w:type="spellStart"/>
      <w:r w:rsidR="00E221A8" w:rsidRPr="00EC7DC9">
        <w:rPr>
          <w:rFonts w:ascii="Open Sans" w:hAnsi="Open Sans" w:cs="Open Sans"/>
          <w:sz w:val="24"/>
          <w:szCs w:val="24"/>
        </w:rPr>
        <w:t>Bresciani</w:t>
      </w:r>
      <w:proofErr w:type="spellEnd"/>
      <w:r w:rsidR="00E221A8" w:rsidRPr="00EC7DC9">
        <w:rPr>
          <w:rFonts w:ascii="Open Sans" w:hAnsi="Open Sans" w:cs="Open Sans"/>
          <w:sz w:val="24"/>
          <w:szCs w:val="24"/>
        </w:rPr>
        <w:t xml:space="preserve">), no qual se fixou que a determinação nesse sentido não viola os §§ 1º e 2º do art. 389 da CLT, porquanto se trata de caso em que a responsabilidade não é do empregador, mas daquele que define os limites do estabelecimento do empregador e da área comum a todas as empresas alojadas no </w:t>
      </w:r>
      <w:r w:rsidR="00E221A8" w:rsidRPr="00EC7DC9">
        <w:rPr>
          <w:rFonts w:ascii="Open Sans" w:hAnsi="Open Sans" w:cs="Open Sans"/>
          <w:i/>
          <w:sz w:val="24"/>
          <w:szCs w:val="24"/>
        </w:rPr>
        <w:t>shopping center</w:t>
      </w:r>
      <w:r w:rsidR="00E221A8" w:rsidRPr="00EC7DC9">
        <w:rPr>
          <w:rFonts w:ascii="Open Sans" w:hAnsi="Open Sans" w:cs="Open Sans"/>
          <w:sz w:val="24"/>
          <w:szCs w:val="24"/>
        </w:rPr>
        <w:t xml:space="preserve">, tudo com base na função social da propriedade. Transcendência não reconhecida. Recurso de revista não conhecido. POSSIBILIDADE DE OBRIGAÇÃO ALTERNATIVA. APLICABILIDADE DO ART. 389, § 2º, DA CLT. REEMBOLSO-CRECHE. TRANSCENDÊNCIA JURÍDICA RECONHECIDA. </w:t>
      </w:r>
      <w:r w:rsidR="00E221A8" w:rsidRPr="00EC7DC9">
        <w:rPr>
          <w:rFonts w:ascii="Open Sans" w:hAnsi="Open Sans" w:cs="Open Sans"/>
          <w:i/>
          <w:sz w:val="24"/>
          <w:szCs w:val="24"/>
        </w:rPr>
        <w:t xml:space="preserve">In </w:t>
      </w:r>
      <w:proofErr w:type="spellStart"/>
      <w:r w:rsidR="00E221A8" w:rsidRPr="00EC7DC9">
        <w:rPr>
          <w:rFonts w:ascii="Open Sans" w:hAnsi="Open Sans" w:cs="Open Sans"/>
          <w:i/>
          <w:sz w:val="24"/>
          <w:szCs w:val="24"/>
        </w:rPr>
        <w:t>casu</w:t>
      </w:r>
      <w:proofErr w:type="spellEnd"/>
      <w:r w:rsidR="00E221A8" w:rsidRPr="00EC7DC9">
        <w:rPr>
          <w:rFonts w:ascii="Open Sans" w:hAnsi="Open Sans" w:cs="Open Sans"/>
          <w:sz w:val="24"/>
          <w:szCs w:val="24"/>
        </w:rPr>
        <w:t xml:space="preserve">, discute-se ainda a possibilidade do cumprimento de </w:t>
      </w:r>
      <w:r w:rsidR="00E221A8" w:rsidRPr="00EC7DC9">
        <w:rPr>
          <w:rFonts w:ascii="Open Sans" w:hAnsi="Open Sans" w:cs="Open Sans"/>
          <w:sz w:val="24"/>
          <w:szCs w:val="24"/>
        </w:rPr>
        <w:lastRenderedPageBreak/>
        <w:t xml:space="preserve">forma alternativa da obrigação prevista no § 1º do art. 389 da CLT, matéria que ainda não se encontra definida no âmbito desta Corte Superior, circunstância apta a demonstrar o indicador de transcendência jurídica, nos termos do art. 896-A, § 1º, IV, da CLT. Transcendência reconhecida. POSSIBILIDADE DE OBRIGAÇÃO ALTERNATIVA. APLICABILIDADE DO ART. 389, § 2º, DA CLT. REEMBOLSO-CRECHE. REQUISITOS DO ARTIGO 896, § 1º-A, DA CLT, ATENDIDOS. No caso dos autos, discute-se a </w:t>
      </w:r>
      <w:proofErr w:type="gramStart"/>
      <w:r w:rsidR="00E221A8" w:rsidRPr="00EC7DC9">
        <w:rPr>
          <w:rFonts w:ascii="Open Sans" w:hAnsi="Open Sans" w:cs="Open Sans"/>
          <w:sz w:val="24"/>
          <w:szCs w:val="24"/>
        </w:rPr>
        <w:t>possibilidade</w:t>
      </w:r>
      <w:proofErr w:type="gramEnd"/>
      <w:r w:rsidR="00E221A8" w:rsidRPr="00EC7DC9">
        <w:rPr>
          <w:rFonts w:ascii="Open Sans" w:hAnsi="Open Sans" w:cs="Open Sans"/>
          <w:sz w:val="24"/>
          <w:szCs w:val="24"/>
        </w:rPr>
        <w:t xml:space="preserve"> de cumprimento, de forma alternativa, da obrigação principal em análise, nos termos do § 2º do art. 389 da CLT, e por meio do pagamento do benefício de reembolso-creche, previsto na Portaria n.º 3.296/86 do Ministério do Trabalho e Emprego. O parágrafo 2º do art. 389 da CLT dispõe que </w:t>
      </w:r>
      <w:proofErr w:type="spellStart"/>
      <w:r w:rsidR="00E221A8" w:rsidRPr="00EC7DC9">
        <w:rPr>
          <w:rFonts w:ascii="Open Sans" w:hAnsi="Open Sans" w:cs="Open Sans"/>
          <w:sz w:val="24"/>
          <w:szCs w:val="24"/>
        </w:rPr>
        <w:t>aexigência</w:t>
      </w:r>
      <w:proofErr w:type="spellEnd"/>
      <w:r w:rsidR="00E221A8" w:rsidRPr="00EC7DC9">
        <w:rPr>
          <w:rFonts w:ascii="Open Sans" w:hAnsi="Open Sans" w:cs="Open Sans"/>
          <w:sz w:val="24"/>
          <w:szCs w:val="24"/>
        </w:rPr>
        <w:t xml:space="preserve"> de fornecimento de local apropriado, onde seja permitido às empregadas guardar </w:t>
      </w:r>
      <w:proofErr w:type="gramStart"/>
      <w:r w:rsidR="00E221A8" w:rsidRPr="00EC7DC9">
        <w:rPr>
          <w:rFonts w:ascii="Open Sans" w:hAnsi="Open Sans" w:cs="Open Sans"/>
          <w:sz w:val="24"/>
          <w:szCs w:val="24"/>
        </w:rPr>
        <w:t>sob vigilância</w:t>
      </w:r>
      <w:proofErr w:type="gramEnd"/>
      <w:r w:rsidR="00E221A8" w:rsidRPr="00EC7DC9">
        <w:rPr>
          <w:rFonts w:ascii="Open Sans" w:hAnsi="Open Sans" w:cs="Open Sans"/>
          <w:sz w:val="24"/>
          <w:szCs w:val="24"/>
        </w:rPr>
        <w:t xml:space="preserve"> e assistência os seus filhos no período da amamentação, poderá ser suprida por meio de creches distritais mantidas, diretamente ou mediante convênios, com outras entidades públicas ou privadas, pelas próprias empresas, em regime comunitário, ou a cargo do SESI, do SESC, da LBA ou de entidades sindicais. A possibilidade de cumprimento da obrigação principal na forma prevista pelo mencionado dispositivo tem sido ratificada por esta Corte. Precedentes. Em relação à viabilidade de pagamento do benefício de ‘reembolso-creche’, considerando as ponderações apresentadas pelas eminentes Ministras Kátia Magalhães Arruda e Maria Helena </w:t>
      </w:r>
      <w:proofErr w:type="spellStart"/>
      <w:r w:rsidR="00E221A8" w:rsidRPr="00EC7DC9">
        <w:rPr>
          <w:rFonts w:ascii="Open Sans" w:hAnsi="Open Sans" w:cs="Open Sans"/>
          <w:sz w:val="24"/>
          <w:szCs w:val="24"/>
        </w:rPr>
        <w:t>Mallmann</w:t>
      </w:r>
      <w:proofErr w:type="spellEnd"/>
      <w:r w:rsidR="00E221A8" w:rsidRPr="00EC7DC9">
        <w:rPr>
          <w:rFonts w:ascii="Open Sans" w:hAnsi="Open Sans" w:cs="Open Sans"/>
          <w:sz w:val="24"/>
          <w:szCs w:val="24"/>
        </w:rPr>
        <w:t xml:space="preserve"> no processo E-RR-11551-28.2015.5.15.0092, em julgamento na Subseção I Especializada em Dissídios Individuais do Tribunal Superior do Trabalho - SDI-</w:t>
      </w:r>
      <w:proofErr w:type="gramStart"/>
      <w:r w:rsidR="00E221A8" w:rsidRPr="00EC7DC9">
        <w:rPr>
          <w:rFonts w:ascii="Open Sans" w:hAnsi="Open Sans" w:cs="Open Sans"/>
          <w:sz w:val="24"/>
          <w:szCs w:val="24"/>
        </w:rPr>
        <w:t>1,</w:t>
      </w:r>
      <w:proofErr w:type="gramEnd"/>
      <w:r w:rsidR="00E221A8" w:rsidRPr="00EC7DC9">
        <w:rPr>
          <w:rFonts w:ascii="Open Sans" w:hAnsi="Open Sans" w:cs="Open Sans"/>
          <w:sz w:val="24"/>
          <w:szCs w:val="24"/>
        </w:rPr>
        <w:t xml:space="preserve">impõe-se admitir o cumprimento alternativo da obrigação, na forma prevista pelo art. 5º, parágrafo único, da Lei nº 14.457/22, desde que, simultaneamente, sejam adotadas medidas que assegurem o exercício do direito de amamentação, tais como a disponibilização de uma saleta de amamentação de uso exclusivo das empregadas em fase de lactação (com cozinha dietética dotada de geladeira e instalação sanitária), na qual lhes seja possível a extração e adequado acondicionamento de leite materno para posterior administração a seus filhos; ou, ainda, com o reembolso de creches nas imediações do shopping para trabalhadoras com filhos em idade inferior a dois anos (inclusive por adoção), de modo que a empregada consiga se deslocar até a creche e amamentar seu filho no intervalo compreendido do art. 396 da CLT. Destaque-se que, por se tratar de fato superveniente, esta Corte entende que a referida norma alcança a presente obrigação, conforme se depreende da leitura do E-RR-10299-16.2018.5.15.0017, de relatoria do Ministro Hugo Carlos </w:t>
      </w:r>
      <w:proofErr w:type="spellStart"/>
      <w:r w:rsidR="00E221A8" w:rsidRPr="00EC7DC9">
        <w:rPr>
          <w:rFonts w:ascii="Open Sans" w:hAnsi="Open Sans" w:cs="Open Sans"/>
          <w:sz w:val="24"/>
          <w:szCs w:val="24"/>
        </w:rPr>
        <w:t>Scheuermann</w:t>
      </w:r>
      <w:proofErr w:type="spellEnd"/>
      <w:r w:rsidR="00E221A8" w:rsidRPr="00EC7DC9">
        <w:rPr>
          <w:rFonts w:ascii="Open Sans" w:hAnsi="Open Sans" w:cs="Open Sans"/>
          <w:sz w:val="24"/>
          <w:szCs w:val="24"/>
        </w:rPr>
        <w:t xml:space="preserve"> (DEJT de 07/10/2022). Recurso de revista conhecido e provido.</w:t>
      </w:r>
      <w:r w:rsidRPr="00EC7DC9">
        <w:rPr>
          <w:rFonts w:ascii="Open Sans" w:hAnsi="Open Sans" w:cs="Open Sans"/>
          <w:sz w:val="24"/>
          <w:szCs w:val="24"/>
        </w:rPr>
        <w:t xml:space="preserve"> </w:t>
      </w:r>
      <w:r w:rsidRPr="00EC7DC9">
        <w:rPr>
          <w:rFonts w:ascii="Open Sans" w:hAnsi="Open Sans" w:cs="Open Sans"/>
          <w:bCs/>
          <w:sz w:val="24"/>
          <w:szCs w:val="24"/>
        </w:rPr>
        <w:t>(</w:t>
      </w:r>
      <w:hyperlink r:id="rId20" w:history="1">
        <w:r w:rsidRPr="00EC7DC9">
          <w:rPr>
            <w:rFonts w:ascii="Open Sans" w:hAnsi="Open Sans" w:cs="Open Sans"/>
            <w:bCs/>
            <w:color w:val="0000FF" w:themeColor="hyperlink"/>
            <w:sz w:val="24"/>
            <w:szCs w:val="24"/>
            <w:u w:val="single"/>
          </w:rPr>
          <w:t xml:space="preserve">TST-RRAg-20153-65.2018.5.04.0332, 6ª Turma, rel. Min. </w:t>
        </w:r>
        <w:r w:rsidRPr="00EC7DC9">
          <w:rPr>
            <w:rFonts w:ascii="Open Sans" w:hAnsi="Open Sans" w:cs="Open Sans"/>
            <w:color w:val="0000FF" w:themeColor="hyperlink"/>
            <w:sz w:val="24"/>
            <w:szCs w:val="24"/>
            <w:u w:val="single"/>
          </w:rPr>
          <w:t>Augusto César Leite de Carvalho</w:t>
        </w:r>
        <w:r w:rsidRPr="00EC7DC9">
          <w:rPr>
            <w:rFonts w:ascii="Open Sans" w:hAnsi="Open Sans" w:cs="Open Sans"/>
            <w:bCs/>
            <w:color w:val="0000FF" w:themeColor="hyperlink"/>
            <w:sz w:val="24"/>
            <w:szCs w:val="24"/>
            <w:u w:val="single"/>
          </w:rPr>
          <w:t>, julgado em 21/2/2024</w:t>
        </w:r>
      </w:hyperlink>
      <w:proofErr w:type="gramStart"/>
      <w:r w:rsidRPr="00EC7DC9">
        <w:rPr>
          <w:rFonts w:ascii="Open Sans" w:hAnsi="Open Sans" w:cs="Open Sans"/>
          <w:bCs/>
          <w:sz w:val="24"/>
          <w:szCs w:val="24"/>
        </w:rPr>
        <w:t>)</w:t>
      </w:r>
      <w:proofErr w:type="gramEnd"/>
      <w:r w:rsidRPr="00EC7DC9">
        <w:rPr>
          <w:rFonts w:ascii="Open Sans" w:hAnsi="Open Sans" w:cs="Open Sans"/>
          <w:bCs/>
          <w:sz w:val="24"/>
          <w:szCs w:val="24"/>
        </w:rPr>
        <w:t xml:space="preserve"> </w:t>
      </w:r>
    </w:p>
    <w:p w:rsidR="00476E10" w:rsidRPr="00EC7DC9" w:rsidRDefault="00476E10" w:rsidP="00EC7DC9">
      <w:pPr>
        <w:autoSpaceDE/>
        <w:autoSpaceDN/>
        <w:ind w:left="-227" w:right="369"/>
        <w:jc w:val="both"/>
        <w:rPr>
          <w:rFonts w:ascii="Open Sans" w:eastAsia="Calibri" w:hAnsi="Open Sans" w:cs="Open Sans"/>
          <w:color w:val="FF0000"/>
          <w:sz w:val="24"/>
          <w:szCs w:val="24"/>
          <w:lang w:eastAsia="en-US"/>
        </w:rPr>
      </w:pPr>
    </w:p>
    <w:p w:rsidR="00476E10" w:rsidRPr="00EC7DC9" w:rsidRDefault="00476E10" w:rsidP="00EC7DC9">
      <w:pPr>
        <w:autoSpaceDE/>
        <w:autoSpaceDN/>
        <w:ind w:left="-227" w:right="369"/>
        <w:jc w:val="both"/>
        <w:rPr>
          <w:rFonts w:ascii="Open Sans" w:eastAsia="Calibri" w:hAnsi="Open Sans" w:cs="Open Sans"/>
          <w:bCs/>
          <w:sz w:val="24"/>
          <w:szCs w:val="24"/>
          <w:lang w:eastAsia="en-US"/>
        </w:rPr>
      </w:pPr>
      <w:r w:rsidRPr="00EC7DC9">
        <w:rPr>
          <w:rFonts w:ascii="Open Sans" w:eastAsia="Calibri" w:hAnsi="Open Sans" w:cs="Open Sans"/>
          <w:bCs/>
          <w:sz w:val="24"/>
          <w:szCs w:val="24"/>
          <w:lang w:eastAsia="en-US"/>
        </w:rPr>
        <w:t xml:space="preserve">“[...] RECURSO DE REVISTA INTERPOSTO PELO SINDICATO-AUTOR. LEI Nº 13.467/2017. </w:t>
      </w:r>
      <w:r w:rsidRPr="00EC7DC9">
        <w:rPr>
          <w:rFonts w:ascii="Open Sans" w:eastAsia="Calibri" w:hAnsi="Open Sans" w:cs="Open Sans"/>
          <w:sz w:val="24"/>
          <w:szCs w:val="24"/>
          <w:lang w:eastAsia="en-US"/>
        </w:rPr>
        <w:t xml:space="preserve">ADICIONAL DE PERICULOSIDADE. ADICIONAL DE TURNO. SALÁRIO CONDIÇÃO. SUPRESSÃO DURANTE O TRABALHO REMOTO. PANDEMIA COVID-19. EMPREGADOS PERTENCENTES AO GRUPO DE RISCO. IMPOSSIBILIDADE. IRREDUTIBILIDADE SALARIAL. </w:t>
      </w:r>
      <w:r w:rsidRPr="00EC7DC9">
        <w:rPr>
          <w:rFonts w:ascii="Open Sans" w:eastAsia="Calibri" w:hAnsi="Open Sans" w:cs="Open Sans"/>
          <w:sz w:val="24"/>
          <w:szCs w:val="24"/>
          <w:lang w:eastAsia="en-US"/>
        </w:rPr>
        <w:lastRenderedPageBreak/>
        <w:t xml:space="preserve">TRANSCENDÊNCIA JURÍDICA CONSTATADA. </w:t>
      </w:r>
      <w:r w:rsidRPr="00EC7DC9">
        <w:rPr>
          <w:rFonts w:ascii="Open Sans" w:eastAsia="Calibri" w:hAnsi="Open Sans" w:cs="Open Sans"/>
          <w:bCs/>
          <w:sz w:val="24"/>
          <w:szCs w:val="24"/>
          <w:lang w:eastAsia="en-US"/>
        </w:rPr>
        <w:t xml:space="preserve">No caso dos autos, a Corte de Origem consignou que: </w:t>
      </w:r>
      <w:r w:rsidR="00AD7829" w:rsidRPr="00EC7DC9">
        <w:rPr>
          <w:rFonts w:ascii="Open Sans" w:eastAsia="Calibri" w:hAnsi="Open Sans" w:cs="Open Sans"/>
          <w:bCs/>
          <w:sz w:val="24"/>
          <w:szCs w:val="24"/>
          <w:lang w:eastAsia="en-US"/>
        </w:rPr>
        <w:t>‘</w:t>
      </w:r>
      <w:r w:rsidRPr="00EC7DC9">
        <w:rPr>
          <w:rFonts w:ascii="Open Sans" w:eastAsia="Calibri" w:hAnsi="Open Sans" w:cs="Open Sans"/>
          <w:bCs/>
          <w:sz w:val="24"/>
          <w:szCs w:val="24"/>
          <w:lang w:eastAsia="en-US"/>
        </w:rPr>
        <w:t xml:space="preserve">Conforme se observa dos autos, a empresa ré editou medidas a fim de mitigar os riscos de transmissão da covid-19 no ambiente de trabalho, determinando o sistema de </w:t>
      </w:r>
      <w:r w:rsidRPr="00EC7DC9">
        <w:rPr>
          <w:rFonts w:ascii="Open Sans" w:eastAsia="Calibri" w:hAnsi="Open Sans" w:cs="Open Sans"/>
          <w:bCs/>
          <w:i/>
          <w:sz w:val="24"/>
          <w:szCs w:val="24"/>
          <w:lang w:eastAsia="en-US"/>
        </w:rPr>
        <w:t xml:space="preserve">home </w:t>
      </w:r>
      <w:proofErr w:type="gramStart"/>
      <w:r w:rsidRPr="00EC7DC9">
        <w:rPr>
          <w:rFonts w:ascii="Open Sans" w:eastAsia="Calibri" w:hAnsi="Open Sans" w:cs="Open Sans"/>
          <w:bCs/>
          <w:i/>
          <w:sz w:val="24"/>
          <w:szCs w:val="24"/>
          <w:lang w:eastAsia="en-US"/>
        </w:rPr>
        <w:t>office</w:t>
      </w:r>
      <w:proofErr w:type="gramEnd"/>
      <w:r w:rsidRPr="00EC7DC9">
        <w:rPr>
          <w:rFonts w:ascii="Open Sans" w:eastAsia="Calibri" w:hAnsi="Open Sans" w:cs="Open Sans"/>
          <w:bCs/>
          <w:sz w:val="24"/>
          <w:szCs w:val="24"/>
          <w:lang w:eastAsia="en-US"/>
        </w:rPr>
        <w:t xml:space="preserve"> aos trabalhadores pertencentes ao grupo de risco, enquanto perdurar o estado de emergência de saúde pública (ID d03cab9, 10f5935 e 036d0d2). Ocorre que, num primeiro momento, não houve mudança no pagamento do adicional de periculosidade e adicional de turno. Porém, através da RCA 027/2020, houve a sua suspensão (ID e8fc7f3), tendo em vista a momentânea cessação da condição perigosa e do turno ininterrupto de revezamento a que estavam submetidos os empregados</w:t>
      </w:r>
      <w:r w:rsidR="00AD7829" w:rsidRPr="00EC7DC9">
        <w:rPr>
          <w:rFonts w:ascii="Open Sans" w:eastAsia="Calibri" w:hAnsi="Open Sans" w:cs="Open Sans"/>
          <w:bCs/>
          <w:sz w:val="24"/>
          <w:szCs w:val="24"/>
          <w:lang w:eastAsia="en-US"/>
        </w:rPr>
        <w:t>’</w:t>
      </w:r>
      <w:r w:rsidRPr="00EC7DC9">
        <w:rPr>
          <w:rFonts w:ascii="Open Sans" w:eastAsia="Calibri" w:hAnsi="Open Sans" w:cs="Open Sans"/>
          <w:bCs/>
          <w:sz w:val="24"/>
          <w:szCs w:val="24"/>
          <w:lang w:eastAsia="en-US"/>
        </w:rPr>
        <w:t xml:space="preserve">. Inquestionável, ainda, que o afastamento dos substituídos da atividade presencial não decorreu de vontade própria, tampouco do exercício do poder </w:t>
      </w:r>
      <w:proofErr w:type="spellStart"/>
      <w:r w:rsidRPr="00EC7DC9">
        <w:rPr>
          <w:rFonts w:ascii="Open Sans" w:eastAsia="Calibri" w:hAnsi="Open Sans" w:cs="Open Sans"/>
          <w:bCs/>
          <w:sz w:val="24"/>
          <w:szCs w:val="24"/>
          <w:lang w:eastAsia="en-US"/>
        </w:rPr>
        <w:t>potestativo</w:t>
      </w:r>
      <w:proofErr w:type="spellEnd"/>
      <w:r w:rsidRPr="00EC7DC9">
        <w:rPr>
          <w:rFonts w:ascii="Open Sans" w:eastAsia="Calibri" w:hAnsi="Open Sans" w:cs="Open Sans"/>
          <w:bCs/>
          <w:sz w:val="24"/>
          <w:szCs w:val="24"/>
          <w:lang w:eastAsia="en-US"/>
        </w:rPr>
        <w:t xml:space="preserve"> da empresa, mas de medida de contingência a que a reclamada se viu obrigada a adotar, decor</w:t>
      </w:r>
      <w:r w:rsidR="00CE344F">
        <w:rPr>
          <w:rFonts w:ascii="Open Sans" w:eastAsia="Calibri" w:hAnsi="Open Sans" w:cs="Open Sans"/>
          <w:bCs/>
          <w:sz w:val="24"/>
          <w:szCs w:val="24"/>
          <w:lang w:eastAsia="en-US"/>
        </w:rPr>
        <w:t xml:space="preserve">rente da pandemia da COVID-19. </w:t>
      </w:r>
      <w:r w:rsidRPr="00EC7DC9">
        <w:rPr>
          <w:rFonts w:ascii="Open Sans" w:eastAsia="Calibri" w:hAnsi="Open Sans" w:cs="Open Sans"/>
          <w:bCs/>
          <w:sz w:val="24"/>
          <w:szCs w:val="24"/>
          <w:lang w:eastAsia="en-US"/>
        </w:rPr>
        <w:t xml:space="preserve">O advento da pandemia mundial de COVID-19, em que pese configurar força maior, não pode implicar redução salarial, especialmente quando o empregado faz parte do grupo em que há maior risco de agravamento da doença. Frise-se, ainda, que deve ser privilegiado o princípio da proteção à estabilidade financeira, pois o pagamento de adicionais faz diferença na vida dos empregados, integrando sua remuneração. Em situações como a ora analisada, a jurisprudência desta Corte vem se manifestando no sentido de que o empregado que presta trabalho remoto em virtude da pandemia de COVID-19 não pode ter parcelas salariais (gratificação ou adicional) suprimidas, ainda que possuam a natureza de salário-condição, </w:t>
      </w:r>
      <w:proofErr w:type="gramStart"/>
      <w:r w:rsidRPr="00EC7DC9">
        <w:rPr>
          <w:rFonts w:ascii="Open Sans" w:eastAsia="Calibri" w:hAnsi="Open Sans" w:cs="Open Sans"/>
          <w:bCs/>
          <w:sz w:val="24"/>
          <w:szCs w:val="24"/>
          <w:lang w:eastAsia="en-US"/>
        </w:rPr>
        <w:t>sob pena</w:t>
      </w:r>
      <w:proofErr w:type="gramEnd"/>
      <w:r w:rsidRPr="00EC7DC9">
        <w:rPr>
          <w:rFonts w:ascii="Open Sans" w:eastAsia="Calibri" w:hAnsi="Open Sans" w:cs="Open Sans"/>
          <w:bCs/>
          <w:sz w:val="24"/>
          <w:szCs w:val="24"/>
          <w:lang w:eastAsia="en-US"/>
        </w:rPr>
        <w:t xml:space="preserve"> de afronta aos princípios da estabilidade financeira e da irredutibilidade salarial. </w:t>
      </w:r>
      <w:proofErr w:type="gramStart"/>
      <w:r w:rsidRPr="00EC7DC9">
        <w:rPr>
          <w:rFonts w:ascii="Open Sans" w:eastAsia="Calibri" w:hAnsi="Open Sans" w:cs="Open Sans"/>
          <w:bCs/>
          <w:sz w:val="24"/>
          <w:szCs w:val="24"/>
          <w:lang w:eastAsia="en-US"/>
        </w:rPr>
        <w:t>Recurso de revista conhecido e provido.”</w:t>
      </w:r>
      <w:proofErr w:type="gramEnd"/>
      <w:r w:rsidRPr="00EC7DC9">
        <w:rPr>
          <w:rFonts w:ascii="Open Sans" w:eastAsia="Calibri" w:hAnsi="Open Sans" w:cs="Open Sans"/>
          <w:bCs/>
          <w:sz w:val="24"/>
          <w:szCs w:val="24"/>
          <w:lang w:eastAsia="en-US"/>
        </w:rPr>
        <w:t xml:space="preserve"> (</w:t>
      </w:r>
      <w:hyperlink r:id="rId21" w:history="1">
        <w:r w:rsidRPr="00EC7DC9">
          <w:rPr>
            <w:rStyle w:val="Hyperlink"/>
            <w:rFonts w:ascii="Open Sans" w:eastAsia="Calibri" w:hAnsi="Open Sans" w:cs="Open Sans"/>
            <w:bCs/>
            <w:sz w:val="24"/>
            <w:szCs w:val="24"/>
            <w:lang w:eastAsia="en-US"/>
          </w:rPr>
          <w:t>TST-RR-547-96.2020.5.05.0641, 7ª Turma, rel. Min. Cláudio Mascarenhas Brandão, julgado em 21/2/2024</w:t>
        </w:r>
      </w:hyperlink>
      <w:r w:rsidRPr="00EC7DC9">
        <w:rPr>
          <w:rFonts w:ascii="Open Sans" w:eastAsia="Calibri" w:hAnsi="Open Sans" w:cs="Open Sans"/>
          <w:bCs/>
          <w:sz w:val="24"/>
          <w:szCs w:val="24"/>
          <w:u w:val="single"/>
          <w:lang w:eastAsia="en-US"/>
        </w:rPr>
        <w:t>)</w:t>
      </w:r>
    </w:p>
    <w:p w:rsidR="00476E10" w:rsidRPr="00EC7DC9" w:rsidRDefault="00476E10" w:rsidP="00EC7DC9">
      <w:pPr>
        <w:autoSpaceDE/>
        <w:autoSpaceDN/>
        <w:ind w:left="-227" w:right="369"/>
        <w:jc w:val="both"/>
        <w:rPr>
          <w:rFonts w:ascii="Open Sans" w:eastAsia="Calibri" w:hAnsi="Open Sans" w:cs="Open Sans"/>
          <w:color w:val="FF0000"/>
          <w:sz w:val="24"/>
          <w:szCs w:val="24"/>
          <w:lang w:eastAsia="en-US"/>
        </w:rPr>
      </w:pPr>
    </w:p>
    <w:p w:rsidR="00476E10" w:rsidRPr="00EC7DC9" w:rsidRDefault="00476E10" w:rsidP="00EC7DC9">
      <w:pPr>
        <w:shd w:val="clear" w:color="auto" w:fill="FFFFFF"/>
        <w:autoSpaceDE/>
        <w:autoSpaceDN/>
        <w:ind w:left="-227" w:right="369"/>
        <w:jc w:val="both"/>
        <w:rPr>
          <w:rFonts w:ascii="Open Sans" w:hAnsi="Open Sans" w:cs="Open Sans"/>
          <w:sz w:val="24"/>
          <w:szCs w:val="24"/>
          <w:lang w:eastAsia="en-US"/>
        </w:rPr>
      </w:pPr>
      <w:r w:rsidRPr="00EC7DC9">
        <w:rPr>
          <w:rFonts w:ascii="Open Sans" w:eastAsia="Calibri" w:hAnsi="Open Sans" w:cs="Open Sans"/>
          <w:bCs/>
          <w:sz w:val="24"/>
          <w:szCs w:val="24"/>
          <w:lang w:eastAsia="en-US"/>
        </w:rPr>
        <w:t xml:space="preserve">“AGRAVO EM AGRAVO DE INSTRUMENTO EM RECURSO DE REVISTA INTERPOSTO PELO SINDICATO DOS EMPREGADOS NO COMÉRCIO DE ANÁPOLIS NA VIGÊNCIA DA LEI 13.467/2017. </w:t>
      </w:r>
      <w:r w:rsidR="004B73F6" w:rsidRPr="00EC7DC9">
        <w:rPr>
          <w:rFonts w:ascii="Open Sans" w:eastAsia="Calibri" w:hAnsi="Open Sans" w:cs="Open Sans"/>
          <w:bCs/>
          <w:sz w:val="24"/>
          <w:szCs w:val="24"/>
          <w:lang w:eastAsia="en-US"/>
        </w:rPr>
        <w:t>‘</w:t>
      </w:r>
      <w:r w:rsidRPr="00EC7DC9">
        <w:rPr>
          <w:rFonts w:ascii="Open Sans" w:eastAsia="Calibri" w:hAnsi="Open Sans" w:cs="Open Sans"/>
          <w:bCs/>
          <w:sz w:val="24"/>
          <w:szCs w:val="24"/>
          <w:lang w:eastAsia="en-US"/>
        </w:rPr>
        <w:t>BENEFÍCIO SOCIAL FAMILIAR</w:t>
      </w:r>
      <w:r w:rsidR="004B73F6" w:rsidRPr="00EC7DC9">
        <w:rPr>
          <w:rFonts w:ascii="Open Sans" w:eastAsia="Calibri" w:hAnsi="Open Sans" w:cs="Open Sans"/>
          <w:bCs/>
          <w:sz w:val="24"/>
          <w:szCs w:val="24"/>
          <w:lang w:eastAsia="en-US"/>
        </w:rPr>
        <w:t>’</w:t>
      </w:r>
      <w:r w:rsidRPr="00EC7DC9">
        <w:rPr>
          <w:rFonts w:ascii="Open Sans" w:eastAsia="Calibri" w:hAnsi="Open Sans" w:cs="Open Sans"/>
          <w:bCs/>
          <w:sz w:val="24"/>
          <w:szCs w:val="24"/>
          <w:lang w:eastAsia="en-US"/>
        </w:rPr>
        <w:t xml:space="preserve">. ESPÉCIE DE CONTRIBUIÇÃO ASSISTENCIAL COMPULSÓRIA A SER CUSTEADA PELAS EMPRESAS EM FAVOR DO SINDICATO DA CATEGORIA PROFISSIONAL. </w:t>
      </w:r>
      <w:proofErr w:type="gramStart"/>
      <w:r w:rsidRPr="00EC7DC9">
        <w:rPr>
          <w:rFonts w:ascii="Open Sans" w:eastAsia="Calibri" w:hAnsi="Open Sans" w:cs="Open Sans"/>
          <w:bCs/>
          <w:sz w:val="24"/>
          <w:szCs w:val="24"/>
          <w:lang w:eastAsia="en-US"/>
        </w:rPr>
        <w:t>1</w:t>
      </w:r>
      <w:proofErr w:type="gramEnd"/>
      <w:r w:rsidRPr="00EC7DC9">
        <w:rPr>
          <w:rFonts w:ascii="Open Sans" w:eastAsia="Calibri" w:hAnsi="Open Sans" w:cs="Open Sans"/>
          <w:bCs/>
          <w:sz w:val="24"/>
          <w:szCs w:val="24"/>
          <w:lang w:eastAsia="en-US"/>
        </w:rPr>
        <w:t xml:space="preserve">. A parte agravante sustenta que, na hipótese, não se está discutindo a parcela denominada </w:t>
      </w:r>
      <w:r w:rsidR="004B73F6" w:rsidRPr="00EC7DC9">
        <w:rPr>
          <w:rFonts w:ascii="Open Sans" w:eastAsia="Calibri" w:hAnsi="Open Sans" w:cs="Open Sans"/>
          <w:bCs/>
          <w:sz w:val="24"/>
          <w:szCs w:val="24"/>
          <w:lang w:eastAsia="en-US"/>
        </w:rPr>
        <w:t>‘</w:t>
      </w:r>
      <w:r w:rsidRPr="00EC7DC9">
        <w:rPr>
          <w:rFonts w:ascii="Open Sans" w:eastAsia="Calibri" w:hAnsi="Open Sans" w:cs="Open Sans"/>
          <w:bCs/>
          <w:sz w:val="24"/>
          <w:szCs w:val="24"/>
          <w:lang w:eastAsia="en-US"/>
        </w:rPr>
        <w:t>contribuição assistencial</w:t>
      </w:r>
      <w:r w:rsidR="004B73F6" w:rsidRPr="00EC7DC9">
        <w:rPr>
          <w:rFonts w:ascii="Open Sans" w:eastAsia="Calibri" w:hAnsi="Open Sans" w:cs="Open Sans"/>
          <w:bCs/>
          <w:sz w:val="24"/>
          <w:szCs w:val="24"/>
          <w:lang w:eastAsia="en-US"/>
        </w:rPr>
        <w:t>’</w:t>
      </w:r>
      <w:r w:rsidRPr="00EC7DC9">
        <w:rPr>
          <w:rFonts w:ascii="Open Sans" w:eastAsia="Calibri" w:hAnsi="Open Sans" w:cs="Open Sans"/>
          <w:bCs/>
          <w:sz w:val="24"/>
          <w:szCs w:val="24"/>
          <w:lang w:eastAsia="en-US"/>
        </w:rPr>
        <w:t xml:space="preserve">, </w:t>
      </w:r>
      <w:r w:rsidR="004B73F6" w:rsidRPr="00EC7DC9">
        <w:rPr>
          <w:rFonts w:ascii="Open Sans" w:eastAsia="Calibri" w:hAnsi="Open Sans" w:cs="Open Sans"/>
          <w:bCs/>
          <w:sz w:val="24"/>
          <w:szCs w:val="24"/>
          <w:lang w:eastAsia="en-US"/>
        </w:rPr>
        <w:t>‘</w:t>
      </w:r>
      <w:r w:rsidRPr="00EC7DC9">
        <w:rPr>
          <w:rFonts w:ascii="Open Sans" w:eastAsia="Calibri" w:hAnsi="Open Sans" w:cs="Open Sans"/>
          <w:bCs/>
          <w:sz w:val="24"/>
          <w:szCs w:val="24"/>
          <w:lang w:eastAsia="en-US"/>
        </w:rPr>
        <w:t>mas sim uma cláusula instituída para prestação de benefícios sociais aos empregados e as empresas do segmento, que não se destina ao custeio das entidades</w:t>
      </w:r>
      <w:r w:rsidR="004B73F6" w:rsidRPr="00EC7DC9">
        <w:rPr>
          <w:rFonts w:ascii="Open Sans" w:eastAsia="Calibri" w:hAnsi="Open Sans" w:cs="Open Sans"/>
          <w:bCs/>
          <w:sz w:val="24"/>
          <w:szCs w:val="24"/>
          <w:lang w:eastAsia="en-US"/>
        </w:rPr>
        <w:t>’</w:t>
      </w:r>
      <w:r w:rsidRPr="00EC7DC9">
        <w:rPr>
          <w:rFonts w:ascii="Open Sans" w:eastAsia="Calibri" w:hAnsi="Open Sans" w:cs="Open Sans"/>
          <w:bCs/>
          <w:sz w:val="24"/>
          <w:szCs w:val="24"/>
          <w:lang w:eastAsia="en-US"/>
        </w:rPr>
        <w:t xml:space="preserve"> (destaques no original). 2. Entretanto, não obstante as alegações da parte agravante acerca de que, na presente hipótese, se está discutindo uma </w:t>
      </w:r>
      <w:r w:rsidR="004B73F6" w:rsidRPr="00EC7DC9">
        <w:rPr>
          <w:rFonts w:ascii="Open Sans" w:eastAsia="Calibri" w:hAnsi="Open Sans" w:cs="Open Sans"/>
          <w:bCs/>
          <w:sz w:val="24"/>
          <w:szCs w:val="24"/>
          <w:lang w:eastAsia="en-US"/>
        </w:rPr>
        <w:t>‘</w:t>
      </w:r>
      <w:r w:rsidRPr="00EC7DC9">
        <w:rPr>
          <w:rFonts w:ascii="Open Sans" w:eastAsia="Calibri" w:hAnsi="Open Sans" w:cs="Open Sans"/>
          <w:bCs/>
          <w:sz w:val="24"/>
          <w:szCs w:val="24"/>
          <w:lang w:eastAsia="en-US"/>
        </w:rPr>
        <w:t>cláusula do benefício social familiar</w:t>
      </w:r>
      <w:r w:rsidR="004B73F6" w:rsidRPr="00EC7DC9">
        <w:rPr>
          <w:rFonts w:ascii="Open Sans" w:eastAsia="Calibri" w:hAnsi="Open Sans" w:cs="Open Sans"/>
          <w:bCs/>
          <w:sz w:val="24"/>
          <w:szCs w:val="24"/>
          <w:lang w:eastAsia="en-US"/>
        </w:rPr>
        <w:t>’</w:t>
      </w:r>
      <w:r w:rsidRPr="00EC7DC9">
        <w:rPr>
          <w:rFonts w:ascii="Open Sans" w:eastAsia="Calibri" w:hAnsi="Open Sans" w:cs="Open Sans"/>
          <w:bCs/>
          <w:sz w:val="24"/>
          <w:szCs w:val="24"/>
          <w:lang w:eastAsia="en-US"/>
        </w:rPr>
        <w:t xml:space="preserve">, verifica-se que o Tribunal Regional registrou, expressamente, não haver dúvida de que se trata de uma espécie de contribuição assistencial em favor do sindicato obreiro, fato que foi reconhecido pelo sindicato contratante e pela empresa gestora, que apontam como fundamento legal do </w:t>
      </w:r>
      <w:r w:rsidR="006A40C1" w:rsidRPr="00EC7DC9">
        <w:rPr>
          <w:rFonts w:ascii="Open Sans" w:eastAsia="Calibri" w:hAnsi="Open Sans" w:cs="Open Sans"/>
          <w:bCs/>
          <w:sz w:val="24"/>
          <w:szCs w:val="24"/>
          <w:lang w:eastAsia="en-US"/>
        </w:rPr>
        <w:t>‘</w:t>
      </w:r>
      <w:r w:rsidRPr="00EC7DC9">
        <w:rPr>
          <w:rFonts w:ascii="Open Sans" w:eastAsia="Calibri" w:hAnsi="Open Sans" w:cs="Open Sans"/>
          <w:bCs/>
          <w:sz w:val="24"/>
          <w:szCs w:val="24"/>
          <w:lang w:eastAsia="en-US"/>
        </w:rPr>
        <w:t>benefício social familiar</w:t>
      </w:r>
      <w:r w:rsidR="006A40C1" w:rsidRPr="00EC7DC9">
        <w:rPr>
          <w:rFonts w:ascii="Open Sans" w:eastAsia="Calibri" w:hAnsi="Open Sans" w:cs="Open Sans"/>
          <w:bCs/>
          <w:sz w:val="24"/>
          <w:szCs w:val="24"/>
          <w:lang w:eastAsia="en-US"/>
        </w:rPr>
        <w:t>’</w:t>
      </w:r>
      <w:r w:rsidRPr="00EC7DC9">
        <w:rPr>
          <w:rFonts w:ascii="Open Sans" w:eastAsia="Calibri" w:hAnsi="Open Sans" w:cs="Open Sans"/>
          <w:bCs/>
          <w:sz w:val="24"/>
          <w:szCs w:val="24"/>
          <w:lang w:eastAsia="en-US"/>
        </w:rPr>
        <w:t xml:space="preserve"> os </w:t>
      </w:r>
      <w:proofErr w:type="spellStart"/>
      <w:r w:rsidRPr="00EC7DC9">
        <w:rPr>
          <w:rFonts w:ascii="Open Sans" w:eastAsia="Calibri" w:hAnsi="Open Sans" w:cs="Open Sans"/>
          <w:bCs/>
          <w:sz w:val="24"/>
          <w:szCs w:val="24"/>
          <w:lang w:eastAsia="en-US"/>
        </w:rPr>
        <w:t>arts</w:t>
      </w:r>
      <w:proofErr w:type="spellEnd"/>
      <w:r w:rsidRPr="00EC7DC9">
        <w:rPr>
          <w:rFonts w:ascii="Open Sans" w:eastAsia="Calibri" w:hAnsi="Open Sans" w:cs="Open Sans"/>
          <w:bCs/>
          <w:sz w:val="24"/>
          <w:szCs w:val="24"/>
          <w:lang w:eastAsia="en-US"/>
        </w:rPr>
        <w:t xml:space="preserve">. 7º, XXVI, da Constituição Federal e 513 da CLT. Registrou, ainda, que não há comprovação de que a empresa autora seja </w:t>
      </w:r>
      <w:r w:rsidRPr="00EC7DC9">
        <w:rPr>
          <w:rFonts w:ascii="Open Sans" w:eastAsia="Calibri" w:hAnsi="Open Sans" w:cs="Open Sans"/>
          <w:bCs/>
          <w:sz w:val="24"/>
          <w:szCs w:val="24"/>
          <w:lang w:eastAsia="en-US"/>
        </w:rPr>
        <w:lastRenderedPageBreak/>
        <w:t xml:space="preserve">associada ao sindicato patronal. Concluiu que a cláusula em questão </w:t>
      </w:r>
      <w:r w:rsidR="006A40C1" w:rsidRPr="00EC7DC9">
        <w:rPr>
          <w:rFonts w:ascii="Open Sans" w:eastAsia="Calibri" w:hAnsi="Open Sans" w:cs="Open Sans"/>
          <w:bCs/>
          <w:sz w:val="24"/>
          <w:szCs w:val="24"/>
          <w:lang w:eastAsia="en-US"/>
        </w:rPr>
        <w:t>‘</w:t>
      </w:r>
      <w:r w:rsidRPr="00EC7DC9">
        <w:rPr>
          <w:rFonts w:ascii="Open Sans" w:eastAsia="Calibri" w:hAnsi="Open Sans" w:cs="Open Sans"/>
          <w:bCs/>
          <w:sz w:val="24"/>
          <w:szCs w:val="24"/>
          <w:lang w:eastAsia="en-US"/>
        </w:rPr>
        <w:t>gera renda</w:t>
      </w:r>
      <w:r w:rsidR="006A40C1" w:rsidRPr="00EC7DC9">
        <w:rPr>
          <w:rFonts w:ascii="Open Sans" w:eastAsia="Calibri" w:hAnsi="Open Sans" w:cs="Open Sans"/>
          <w:bCs/>
          <w:sz w:val="24"/>
          <w:szCs w:val="24"/>
          <w:lang w:eastAsia="en-US"/>
        </w:rPr>
        <w:t>’</w:t>
      </w:r>
      <w:r w:rsidRPr="00EC7DC9">
        <w:rPr>
          <w:rFonts w:ascii="Open Sans" w:eastAsia="Calibri" w:hAnsi="Open Sans" w:cs="Open Sans"/>
          <w:bCs/>
          <w:sz w:val="24"/>
          <w:szCs w:val="24"/>
          <w:lang w:eastAsia="en-US"/>
        </w:rPr>
        <w:t xml:space="preserve"> (proveniente dos empregadores) em favor do sindicato obreiro - com isso, o sindicato obreiro passa a ser mantido pelas empresas, ainda que parcialmente, o que cai precisamente sob a vedação do Art. 2 da C-98 da OIT, motivo pelo qual negou provimento ao recurso ordinário do sindicato dos empregados. 1.3. Com efeito, a jurisprudência desta Corte tem entendido não ser possível que a entidade sindical institua cobrança compulsória de contribuição patronal em seu favor, sob qualquer título, por afrontar os princípios da autonomia e da livre associação sindical, conforme previstos no art. 8.º, I e V, da Constituição Federal. Julgados desta Corte. 1.4. Dessa feita, o acórdão regional, nos moldes em que </w:t>
      </w:r>
      <w:proofErr w:type="gramStart"/>
      <w:r w:rsidRPr="00EC7DC9">
        <w:rPr>
          <w:rFonts w:ascii="Open Sans" w:eastAsia="Calibri" w:hAnsi="Open Sans" w:cs="Open Sans"/>
          <w:bCs/>
          <w:sz w:val="24"/>
          <w:szCs w:val="24"/>
          <w:lang w:eastAsia="en-US"/>
        </w:rPr>
        <w:t>proferido</w:t>
      </w:r>
      <w:proofErr w:type="gramEnd"/>
      <w:r w:rsidRPr="00EC7DC9">
        <w:rPr>
          <w:rFonts w:ascii="Open Sans" w:eastAsia="Calibri" w:hAnsi="Open Sans" w:cs="Open Sans"/>
          <w:bCs/>
          <w:sz w:val="24"/>
          <w:szCs w:val="24"/>
          <w:lang w:eastAsia="en-US"/>
        </w:rPr>
        <w:t xml:space="preserve">, encontra-se em conformidade com a iterativa, notória e atual jurisprudência desta Corte Superior, o que atrai a aplicação do óbice da Súmula 333 do TST. </w:t>
      </w:r>
      <w:proofErr w:type="gramStart"/>
      <w:r w:rsidRPr="00EC7DC9">
        <w:rPr>
          <w:rFonts w:ascii="Open Sans" w:eastAsia="Calibri" w:hAnsi="Open Sans" w:cs="Open Sans"/>
          <w:bCs/>
          <w:sz w:val="24"/>
          <w:szCs w:val="24"/>
          <w:lang w:eastAsia="en-US"/>
        </w:rPr>
        <w:t>Agravo não provido.”</w:t>
      </w:r>
      <w:proofErr w:type="gramEnd"/>
      <w:r w:rsidRPr="00EC7DC9">
        <w:rPr>
          <w:rFonts w:ascii="Open Sans" w:eastAsia="Calibri" w:hAnsi="Open Sans" w:cs="Open Sans"/>
          <w:bCs/>
          <w:sz w:val="24"/>
          <w:szCs w:val="24"/>
          <w:lang w:eastAsia="en-US"/>
        </w:rPr>
        <w:t xml:space="preserve"> (</w:t>
      </w:r>
      <w:hyperlink r:id="rId22" w:history="1">
        <w:r w:rsidRPr="00EC7DC9">
          <w:rPr>
            <w:rFonts w:ascii="Open Sans" w:eastAsia="Calibri" w:hAnsi="Open Sans" w:cs="Open Sans"/>
            <w:bCs/>
            <w:color w:val="0000FF" w:themeColor="hyperlink"/>
            <w:sz w:val="24"/>
            <w:szCs w:val="24"/>
            <w:u w:val="single"/>
            <w:lang w:eastAsia="en-US"/>
          </w:rPr>
          <w:t>TST-Ag</w:t>
        </w:r>
        <w:r w:rsidR="00CE344F">
          <w:rPr>
            <w:rFonts w:ascii="Open Sans" w:eastAsia="Calibri" w:hAnsi="Open Sans" w:cs="Open Sans"/>
            <w:bCs/>
            <w:color w:val="0000FF" w:themeColor="hyperlink"/>
            <w:sz w:val="24"/>
            <w:szCs w:val="24"/>
            <w:u w:val="single"/>
            <w:lang w:eastAsia="en-US"/>
          </w:rPr>
          <w:t xml:space="preserve">-AIRR-10135-48.2021.5.18.0054, </w:t>
        </w:r>
        <w:r w:rsidRPr="00EC7DC9">
          <w:rPr>
            <w:rFonts w:ascii="Open Sans" w:eastAsia="Calibri" w:hAnsi="Open Sans" w:cs="Open Sans"/>
            <w:bCs/>
            <w:color w:val="0000FF" w:themeColor="hyperlink"/>
            <w:sz w:val="24"/>
            <w:szCs w:val="24"/>
            <w:u w:val="single"/>
            <w:lang w:eastAsia="en-US"/>
          </w:rPr>
          <w:t xml:space="preserve">8ª Turma, rel. Min. </w:t>
        </w:r>
        <w:proofErr w:type="spellStart"/>
        <w:r w:rsidRPr="00EC7DC9">
          <w:rPr>
            <w:rFonts w:ascii="Open Sans" w:eastAsia="Calibri" w:hAnsi="Open Sans" w:cs="Open Sans"/>
            <w:bCs/>
            <w:color w:val="0000FF" w:themeColor="hyperlink"/>
            <w:sz w:val="24"/>
            <w:szCs w:val="24"/>
            <w:u w:val="single"/>
            <w:lang w:eastAsia="en-US"/>
          </w:rPr>
          <w:t>Delaíde</w:t>
        </w:r>
        <w:proofErr w:type="spellEnd"/>
        <w:r w:rsidRPr="00EC7DC9">
          <w:rPr>
            <w:rFonts w:ascii="Open Sans" w:eastAsia="Calibri" w:hAnsi="Open Sans" w:cs="Open Sans"/>
            <w:bCs/>
            <w:color w:val="0000FF" w:themeColor="hyperlink"/>
            <w:sz w:val="24"/>
            <w:szCs w:val="24"/>
            <w:u w:val="single"/>
            <w:lang w:eastAsia="en-US"/>
          </w:rPr>
          <w:t xml:space="preserve"> Miranda Arantes, julgado em 21/02/2024</w:t>
        </w:r>
      </w:hyperlink>
      <w:r w:rsidRPr="00EC7DC9">
        <w:rPr>
          <w:rFonts w:ascii="Open Sans" w:eastAsia="Calibri" w:hAnsi="Open Sans" w:cs="Open Sans"/>
          <w:sz w:val="24"/>
          <w:szCs w:val="24"/>
          <w:lang w:eastAsia="en-US"/>
        </w:rPr>
        <w:t>)</w:t>
      </w:r>
    </w:p>
    <w:p w:rsidR="0014780F" w:rsidRPr="00EC7DC9" w:rsidRDefault="0014780F" w:rsidP="00EC7DC9">
      <w:pPr>
        <w:autoSpaceDE/>
        <w:autoSpaceDN/>
        <w:ind w:left="-227" w:right="369"/>
        <w:jc w:val="both"/>
        <w:rPr>
          <w:rFonts w:ascii="Open Sans" w:eastAsia="Calibri" w:hAnsi="Open Sans" w:cs="Open Sans"/>
          <w:bCs/>
          <w:sz w:val="24"/>
          <w:szCs w:val="24"/>
          <w:lang w:eastAsia="en-US"/>
        </w:rPr>
      </w:pPr>
    </w:p>
    <w:p w:rsidR="00DD0064" w:rsidRPr="00EC7DC9" w:rsidRDefault="00DD0064" w:rsidP="00EC7DC9">
      <w:pPr>
        <w:shd w:val="clear" w:color="auto" w:fill="FFFFFF"/>
        <w:autoSpaceDE/>
        <w:autoSpaceDN/>
        <w:ind w:left="-227" w:right="369"/>
        <w:jc w:val="both"/>
        <w:rPr>
          <w:rFonts w:ascii="Open Sans" w:eastAsia="Calibri" w:hAnsi="Open Sans" w:cs="Open Sans"/>
          <w:b/>
          <w:bCs/>
          <w:color w:val="FF0000"/>
          <w:sz w:val="24"/>
          <w:szCs w:val="24"/>
          <w:lang w:eastAsia="en-US"/>
        </w:rPr>
      </w:pPr>
      <w:r w:rsidRPr="00DD0064">
        <w:rPr>
          <w:rFonts w:ascii="Open Sans" w:eastAsia="Calibri" w:hAnsi="Open Sans" w:cs="Open Sans"/>
          <w:bCs/>
          <w:sz w:val="24"/>
          <w:szCs w:val="24"/>
          <w:lang w:eastAsia="en-US"/>
        </w:rPr>
        <w:t xml:space="preserve">“[...] DEPOIMENTO PESSOAL. VIDEOCONFERÊNCIA. RESIDÊNCIA NO EXTERIOR. INDEFERIMENTO. CERCEAMENTO DO DIREITO DE DEFESA. PROVIMENTO. A evolução tecnológica no âmbito do poder judiciário brasileiro desempenhou papel fundamental na promoção do acesso à justiça. A implementação de sistemas informatizados e plataformas online simplificou procedimentos, reduziu burocracias e proporcionou maior celeridade aos processos judiciais. A par da nova realidade tecnológica do judiciário brasileiro, o Conselho Nacional de Justiça publicou a Resolução nº 354/2020, a qual </w:t>
      </w:r>
      <w:r w:rsidR="0014780F" w:rsidRPr="00EC7DC9">
        <w:rPr>
          <w:rFonts w:ascii="Open Sans" w:eastAsia="Calibri" w:hAnsi="Open Sans" w:cs="Open Sans"/>
          <w:bCs/>
          <w:sz w:val="24"/>
          <w:szCs w:val="24"/>
          <w:lang w:eastAsia="en-US"/>
        </w:rPr>
        <w:t>‘</w:t>
      </w:r>
      <w:r w:rsidRPr="00DD0064">
        <w:rPr>
          <w:rFonts w:ascii="Open Sans" w:eastAsia="Calibri" w:hAnsi="Open Sans" w:cs="Open Sans"/>
          <w:bCs/>
          <w:sz w:val="24"/>
          <w:szCs w:val="24"/>
          <w:lang w:eastAsia="en-US"/>
        </w:rPr>
        <w:t xml:space="preserve">regulamenta a realização de audiências e sessões por videoconferência e </w:t>
      </w:r>
      <w:proofErr w:type="spellStart"/>
      <w:r w:rsidRPr="00DD0064">
        <w:rPr>
          <w:rFonts w:ascii="Open Sans" w:eastAsia="Calibri" w:hAnsi="Open Sans" w:cs="Open Sans"/>
          <w:bCs/>
          <w:sz w:val="24"/>
          <w:szCs w:val="24"/>
          <w:lang w:eastAsia="en-US"/>
        </w:rPr>
        <w:t>telepresenciais</w:t>
      </w:r>
      <w:proofErr w:type="spellEnd"/>
      <w:r w:rsidRPr="00DD0064">
        <w:rPr>
          <w:rFonts w:ascii="Open Sans" w:eastAsia="Calibri" w:hAnsi="Open Sans" w:cs="Open Sans"/>
          <w:bCs/>
          <w:sz w:val="24"/>
          <w:szCs w:val="24"/>
          <w:lang w:eastAsia="en-US"/>
        </w:rPr>
        <w:t xml:space="preserve"> e a comunicação de atos processuais por meio eletrônico nas unidades jurisdicionais de primeira e segunda instâncias da Justiça dos Estados, Federal, Trabalhista, Militar e Eleitoral, bem como nos Tribunais Superiores, à exceção do Supremo Tribunal </w:t>
      </w:r>
      <w:proofErr w:type="gramStart"/>
      <w:r w:rsidRPr="00DD0064">
        <w:rPr>
          <w:rFonts w:ascii="Open Sans" w:eastAsia="Calibri" w:hAnsi="Open Sans" w:cs="Open Sans"/>
          <w:bCs/>
          <w:sz w:val="24"/>
          <w:szCs w:val="24"/>
          <w:lang w:eastAsia="en-US"/>
        </w:rPr>
        <w:t>Federal.</w:t>
      </w:r>
      <w:proofErr w:type="gramEnd"/>
      <w:r w:rsidR="0014780F" w:rsidRPr="00EC7DC9">
        <w:rPr>
          <w:rFonts w:ascii="Open Sans" w:eastAsia="Calibri" w:hAnsi="Open Sans" w:cs="Open Sans"/>
          <w:bCs/>
          <w:sz w:val="24"/>
          <w:szCs w:val="24"/>
          <w:lang w:eastAsia="en-US"/>
        </w:rPr>
        <w:t>’</w:t>
      </w:r>
      <w:r w:rsidRPr="00DD0064">
        <w:rPr>
          <w:rFonts w:ascii="Open Sans" w:eastAsia="Calibri" w:hAnsi="Open Sans" w:cs="Open Sans"/>
          <w:bCs/>
          <w:sz w:val="24"/>
          <w:szCs w:val="24"/>
          <w:lang w:eastAsia="en-US"/>
        </w:rPr>
        <w:t xml:space="preserve"> (artigo 1º). Dispõe o artigo 4º da resolução supracitada </w:t>
      </w:r>
      <w:r w:rsidR="0014780F" w:rsidRPr="00EC7DC9">
        <w:rPr>
          <w:rFonts w:ascii="Open Sans" w:eastAsia="Calibri" w:hAnsi="Open Sans" w:cs="Open Sans"/>
          <w:bCs/>
          <w:sz w:val="24"/>
          <w:szCs w:val="24"/>
          <w:lang w:eastAsia="en-US"/>
        </w:rPr>
        <w:t>‘</w:t>
      </w:r>
      <w:r w:rsidRPr="00DD0064">
        <w:rPr>
          <w:rFonts w:ascii="Open Sans" w:eastAsia="Calibri" w:hAnsi="Open Sans" w:cs="Open Sans"/>
          <w:bCs/>
          <w:sz w:val="24"/>
          <w:szCs w:val="24"/>
          <w:lang w:eastAsia="en-US"/>
        </w:rPr>
        <w:t>No interesse da parte que residir distante da sede do juízo, o depoimento pessoal ou interrogatório será realizado por videoconferência, na sede do foro de seu domicílio.</w:t>
      </w:r>
      <w:r w:rsidR="0014780F" w:rsidRPr="00EC7DC9">
        <w:rPr>
          <w:rFonts w:ascii="Open Sans" w:eastAsia="Calibri" w:hAnsi="Open Sans" w:cs="Open Sans"/>
          <w:bCs/>
          <w:sz w:val="24"/>
          <w:szCs w:val="24"/>
          <w:lang w:eastAsia="en-US"/>
        </w:rPr>
        <w:t>’</w:t>
      </w:r>
      <w:r w:rsidRPr="00DD0064">
        <w:rPr>
          <w:rFonts w:ascii="Open Sans" w:eastAsia="Calibri" w:hAnsi="Open Sans" w:cs="Open Sans"/>
          <w:bCs/>
          <w:sz w:val="24"/>
          <w:szCs w:val="24"/>
          <w:lang w:eastAsia="en-US"/>
        </w:rPr>
        <w:t xml:space="preserve">. De igual modo, a Corregedoria Geral da Justiça do Trabalho expediu o provimento nº 04/2023, que atualiza e sistematiza a consolidação dos provimentos da CGJT, o qual prevê no artigo 86, § 1º, “a”, que a oitiva das partes ocorrerá por videoconferência nas situações de dificuldade de comparecimento à audiência de instrução na circunscrição do juiz da causa, inclusive em razão de residência fora da jurisdição. Observa-se, ademais, que a legislação processual civil, aplicada subsidiariamente ao processo do trabalho, também dispõe acerca da realização de audiências por videoconferência, nos termos do artigo 385, § 3º, do CPC. Esclarece-se que não se desconhece o teor do artigo 843, § 2º, da CLT, o qual autoriza ao empregado fazer-se substituir por outro empregado que pertença à mesma profissão ou pelo sindicato da categoria, em caso de motivo poderoso </w:t>
      </w:r>
      <w:proofErr w:type="gramStart"/>
      <w:r w:rsidRPr="00DD0064">
        <w:rPr>
          <w:rFonts w:ascii="Open Sans" w:eastAsia="Calibri" w:hAnsi="Open Sans" w:cs="Open Sans"/>
          <w:bCs/>
          <w:sz w:val="24"/>
          <w:szCs w:val="24"/>
          <w:lang w:eastAsia="en-US"/>
        </w:rPr>
        <w:t>devidamente</w:t>
      </w:r>
      <w:proofErr w:type="gramEnd"/>
      <w:r w:rsidRPr="00DD0064">
        <w:rPr>
          <w:rFonts w:ascii="Open Sans" w:eastAsia="Calibri" w:hAnsi="Open Sans" w:cs="Open Sans"/>
          <w:bCs/>
          <w:sz w:val="24"/>
          <w:szCs w:val="24"/>
          <w:lang w:eastAsia="en-US"/>
        </w:rPr>
        <w:t xml:space="preserve"> comprovado. O referido dispositivo, todavia, deve ser interpretado em conjunto com o artigo 385, § 3º, do CPC, a fim de possibilitar o </w:t>
      </w:r>
      <w:r w:rsidRPr="00DD0064">
        <w:rPr>
          <w:rFonts w:ascii="Open Sans" w:eastAsia="Calibri" w:hAnsi="Open Sans" w:cs="Open Sans"/>
          <w:bCs/>
          <w:sz w:val="24"/>
          <w:szCs w:val="24"/>
          <w:lang w:eastAsia="en-US"/>
        </w:rPr>
        <w:lastRenderedPageBreak/>
        <w:t xml:space="preserve">depoimento pessoal por videoconferência da parte que esteja residindo em outra comarca, assegurando os princípios constitucionais do contraditório e da ampla defesa, além do princípio constitucional de acesso à justiça. Na hipótese, não obstante ser incontroverso que o reclamante esteja residindo no exterior, bem como tenha requerido previamente que o seu depoimento pessoal fosse colhido por meio de videoconferência, evitando a aplicação da pena de confesso, o egrégio Tribunal Regional manteve a sentença que indeferiu o pedido. Consignou que inexiste determinação legal para que o Juízo adote meios eletrônicos para a finalidade pretendida pelo recorrente, sendo mera possibilidade. Registrou, ademais, que não houve cerceamento no direito de defesa, visto que eventuais prejuízos sofridos por parte do reclamante decorreram de sua própria conduta de não comparecer a audiência presencial. Vê-se, pois, que a Corte de origem, ao manter a sentença que indeferiu o depoimento pessoal do reclamante por meio de videoconferência, bem como aplicou a pena de confesso, dissentiu da legislação que rege a matéria, além de ter inobservado o princípio constitucional de acesso à justiça, cerceando, por conseguinte, o direito de defesa da parte. </w:t>
      </w:r>
      <w:proofErr w:type="gramStart"/>
      <w:r w:rsidRPr="00DD0064">
        <w:rPr>
          <w:rFonts w:ascii="Open Sans" w:eastAsia="Calibri" w:hAnsi="Open Sans" w:cs="Open Sans"/>
          <w:bCs/>
          <w:sz w:val="24"/>
          <w:szCs w:val="24"/>
          <w:lang w:eastAsia="en-US"/>
        </w:rPr>
        <w:t>Recurso de revista de que se conhece e a que se dá provimento.”</w:t>
      </w:r>
      <w:proofErr w:type="gramEnd"/>
      <w:r w:rsidRPr="00DD0064">
        <w:rPr>
          <w:rFonts w:ascii="Open Sans" w:eastAsia="Calibri" w:hAnsi="Open Sans" w:cs="Open Sans"/>
          <w:bCs/>
          <w:sz w:val="24"/>
          <w:szCs w:val="24"/>
          <w:lang w:eastAsia="en-US"/>
        </w:rPr>
        <w:t xml:space="preserve"> (</w:t>
      </w:r>
      <w:hyperlink r:id="rId23" w:history="1">
        <w:r w:rsidRPr="00EC7DC9">
          <w:rPr>
            <w:rFonts w:ascii="Open Sans" w:eastAsia="Calibri" w:hAnsi="Open Sans" w:cs="Open Sans"/>
            <w:bCs/>
            <w:color w:val="0000FF" w:themeColor="hyperlink"/>
            <w:sz w:val="24"/>
            <w:szCs w:val="24"/>
            <w:u w:val="single"/>
            <w:lang w:eastAsia="en-US"/>
          </w:rPr>
          <w:t xml:space="preserve">TST-RR-21243-14.2017.5.04.0019, 8ª Turma, rel. Des. </w:t>
        </w:r>
        <w:proofErr w:type="spellStart"/>
        <w:r w:rsidRPr="00EC7DC9">
          <w:rPr>
            <w:rFonts w:ascii="Open Sans" w:eastAsia="Calibri" w:hAnsi="Open Sans" w:cs="Open Sans"/>
            <w:bCs/>
            <w:color w:val="0000FF" w:themeColor="hyperlink"/>
            <w:sz w:val="24"/>
            <w:szCs w:val="24"/>
            <w:u w:val="single"/>
            <w:lang w:eastAsia="en-US"/>
          </w:rPr>
          <w:t>Conv</w:t>
        </w:r>
        <w:proofErr w:type="spellEnd"/>
        <w:r w:rsidRPr="00EC7DC9">
          <w:rPr>
            <w:rFonts w:ascii="Open Sans" w:eastAsia="Calibri" w:hAnsi="Open Sans" w:cs="Open Sans"/>
            <w:bCs/>
            <w:color w:val="0000FF" w:themeColor="hyperlink"/>
            <w:sz w:val="24"/>
            <w:szCs w:val="24"/>
            <w:u w:val="single"/>
            <w:lang w:eastAsia="en-US"/>
          </w:rPr>
          <w:t xml:space="preserve">. Eduardo </w:t>
        </w:r>
        <w:proofErr w:type="spellStart"/>
        <w:r w:rsidRPr="00EC7DC9">
          <w:rPr>
            <w:rFonts w:ascii="Open Sans" w:eastAsia="Calibri" w:hAnsi="Open Sans" w:cs="Open Sans"/>
            <w:bCs/>
            <w:color w:val="0000FF" w:themeColor="hyperlink"/>
            <w:sz w:val="24"/>
            <w:szCs w:val="24"/>
            <w:u w:val="single"/>
            <w:lang w:eastAsia="en-US"/>
          </w:rPr>
          <w:t>Pugliesi</w:t>
        </w:r>
        <w:proofErr w:type="spellEnd"/>
        <w:r w:rsidRPr="00EC7DC9">
          <w:rPr>
            <w:rFonts w:ascii="Open Sans" w:eastAsia="Calibri" w:hAnsi="Open Sans" w:cs="Open Sans"/>
            <w:bCs/>
            <w:color w:val="0000FF" w:themeColor="hyperlink"/>
            <w:sz w:val="24"/>
            <w:szCs w:val="24"/>
            <w:u w:val="single"/>
            <w:lang w:eastAsia="en-US"/>
          </w:rPr>
          <w:t>, julgado em 21/02/2024</w:t>
        </w:r>
      </w:hyperlink>
      <w:r w:rsidRPr="00DD0064">
        <w:rPr>
          <w:rFonts w:ascii="Open Sans" w:eastAsia="Calibri" w:hAnsi="Open Sans" w:cs="Open Sans"/>
          <w:bCs/>
          <w:sz w:val="24"/>
          <w:szCs w:val="24"/>
          <w:lang w:eastAsia="en-US"/>
        </w:rPr>
        <w:t>)</w:t>
      </w:r>
    </w:p>
    <w:p w:rsidR="000E6641" w:rsidRDefault="000E6641" w:rsidP="006A6F3C">
      <w:pPr>
        <w:shd w:val="clear" w:color="auto" w:fill="FFFFFF"/>
        <w:autoSpaceDE/>
        <w:autoSpaceDN/>
        <w:ind w:left="-227" w:right="369"/>
        <w:jc w:val="both"/>
        <w:rPr>
          <w:rFonts w:ascii="Open Sans" w:eastAsia="Calibri" w:hAnsi="Open Sans" w:cs="Open Sans"/>
          <w:bCs/>
          <w:sz w:val="24"/>
          <w:szCs w:val="24"/>
          <w:lang w:eastAsia="en-US"/>
        </w:rPr>
      </w:pPr>
    </w:p>
    <w:p w:rsidR="001A7589" w:rsidRPr="003509A3" w:rsidRDefault="001A7589" w:rsidP="009E652F">
      <w:pPr>
        <w:pStyle w:val="Corpodetexto"/>
        <w:pBdr>
          <w:top w:val="single" w:sz="4" w:space="1" w:color="auto"/>
          <w:left w:val="single" w:sz="4" w:space="6" w:color="auto"/>
          <w:bottom w:val="single" w:sz="4" w:space="1" w:color="auto"/>
          <w:right w:val="single" w:sz="4" w:space="1" w:color="auto"/>
        </w:pBdr>
        <w:shd w:val="clear" w:color="auto" w:fill="B8CCE4"/>
        <w:ind w:left="-142" w:right="368" w:firstLine="142"/>
        <w:outlineLvl w:val="0"/>
        <w:rPr>
          <w:rFonts w:ascii="Open Sans" w:hAnsi="Open Sans" w:cs="Open Sans"/>
          <w:b w:val="0"/>
          <w:bCs w:val="0"/>
          <w:snapToGrid w:val="0"/>
          <w:sz w:val="24"/>
          <w:szCs w:val="24"/>
        </w:rPr>
      </w:pPr>
      <w:r w:rsidRPr="003509A3">
        <w:rPr>
          <w:rFonts w:ascii="Open Sans" w:hAnsi="Open Sans" w:cs="Open Sans"/>
          <w:b w:val="0"/>
          <w:bCs w:val="0"/>
          <w:snapToGrid w:val="0"/>
          <w:sz w:val="24"/>
          <w:szCs w:val="24"/>
        </w:rPr>
        <w:t xml:space="preserve">O Informativo TST é mantido pela </w:t>
      </w:r>
    </w:p>
    <w:p w:rsidR="001A7589" w:rsidRPr="003509A3" w:rsidRDefault="001A7589" w:rsidP="009E652F">
      <w:pPr>
        <w:pStyle w:val="Corpodetexto"/>
        <w:pBdr>
          <w:top w:val="single" w:sz="4" w:space="1" w:color="auto"/>
          <w:left w:val="single" w:sz="4" w:space="6" w:color="auto"/>
          <w:bottom w:val="single" w:sz="4" w:space="1" w:color="auto"/>
          <w:right w:val="single" w:sz="4" w:space="1" w:color="auto"/>
        </w:pBdr>
        <w:shd w:val="clear" w:color="auto" w:fill="B8CCE4"/>
        <w:ind w:left="-142" w:right="368" w:firstLine="142"/>
        <w:rPr>
          <w:rFonts w:ascii="Open Sans" w:hAnsi="Open Sans" w:cs="Open Sans"/>
          <w:b w:val="0"/>
          <w:bCs w:val="0"/>
          <w:snapToGrid w:val="0"/>
          <w:sz w:val="24"/>
          <w:szCs w:val="24"/>
        </w:rPr>
      </w:pPr>
      <w:r w:rsidRPr="003509A3">
        <w:rPr>
          <w:rFonts w:ascii="Open Sans" w:hAnsi="Open Sans" w:cs="Open Sans"/>
          <w:b w:val="0"/>
          <w:bCs w:val="0"/>
          <w:snapToGrid w:val="0"/>
          <w:sz w:val="24"/>
          <w:szCs w:val="24"/>
        </w:rPr>
        <w:t>Coordenadoria de Jurisprudência – CJUR.</w:t>
      </w:r>
    </w:p>
    <w:p w:rsidR="001A7589" w:rsidRPr="003509A3"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3509A3" w:rsidRDefault="005807AB"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Pr>
          <w:rFonts w:ascii="Open Sans" w:hAnsi="Open Sans" w:cs="Open Sans"/>
          <w:snapToGrid w:val="0"/>
          <w:sz w:val="24"/>
          <w:szCs w:val="24"/>
        </w:rPr>
        <w:t>Informações, sugestões ou c</w:t>
      </w:r>
      <w:r w:rsidR="001A7589" w:rsidRPr="003509A3">
        <w:rPr>
          <w:rFonts w:ascii="Open Sans" w:hAnsi="Open Sans" w:cs="Open Sans"/>
          <w:snapToGrid w:val="0"/>
          <w:sz w:val="24"/>
          <w:szCs w:val="24"/>
        </w:rPr>
        <w:t xml:space="preserve">ríticas: (61)3043-4612 ou </w:t>
      </w:r>
      <w:hyperlink r:id="rId24" w:history="1">
        <w:r w:rsidR="001A7589" w:rsidRPr="003509A3">
          <w:rPr>
            <w:rStyle w:val="Hyperlink"/>
            <w:rFonts w:ascii="Open Sans" w:hAnsi="Open Sans" w:cs="Open Sans"/>
            <w:snapToGrid w:val="0"/>
            <w:sz w:val="24"/>
            <w:szCs w:val="24"/>
          </w:rPr>
          <w:t>cjur@tst.jus.br</w:t>
        </w:r>
      </w:hyperlink>
    </w:p>
    <w:p w:rsidR="001A7589" w:rsidRPr="003509A3"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3509A3"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3509A3">
        <w:rPr>
          <w:rFonts w:ascii="Open Sans" w:hAnsi="Open Sans" w:cs="Open Sans"/>
          <w:snapToGrid w:val="0"/>
          <w:sz w:val="24"/>
          <w:szCs w:val="24"/>
        </w:rPr>
        <w:t xml:space="preserve">Para acessar todas as edições: </w:t>
      </w:r>
      <w:hyperlink r:id="rId25" w:history="1">
        <w:r w:rsidRPr="003509A3">
          <w:rPr>
            <w:rStyle w:val="Hyperlink"/>
            <w:rFonts w:ascii="Open Sans" w:hAnsi="Open Sans" w:cs="Open Sans"/>
            <w:snapToGrid w:val="0"/>
            <w:sz w:val="24"/>
            <w:szCs w:val="24"/>
          </w:rPr>
          <w:t>http://www.tst.jus.br/web/guest/informativo-tst</w:t>
        </w:r>
      </w:hyperlink>
    </w:p>
    <w:p w:rsidR="001A7589" w:rsidRPr="003509A3"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3509A3"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3509A3">
        <w:rPr>
          <w:rFonts w:ascii="Open Sans" w:hAnsi="Open Sans" w:cs="Open Sans"/>
          <w:snapToGrid w:val="0"/>
          <w:sz w:val="24"/>
          <w:szCs w:val="24"/>
        </w:rPr>
        <w:t xml:space="preserve">Para receber via </w:t>
      </w:r>
      <w:r w:rsidRPr="003509A3">
        <w:rPr>
          <w:rFonts w:ascii="Open Sans" w:hAnsi="Open Sans" w:cs="Open Sans"/>
          <w:i/>
          <w:snapToGrid w:val="0"/>
          <w:sz w:val="24"/>
          <w:szCs w:val="24"/>
        </w:rPr>
        <w:t>e-mail</w:t>
      </w:r>
      <w:r w:rsidRPr="003509A3">
        <w:rPr>
          <w:rFonts w:ascii="Open Sans" w:hAnsi="Open Sans" w:cs="Open Sans"/>
          <w:snapToGrid w:val="0"/>
          <w:sz w:val="24"/>
          <w:szCs w:val="24"/>
        </w:rPr>
        <w:t xml:space="preserve">: </w:t>
      </w:r>
      <w:hyperlink r:id="rId26" w:history="1">
        <w:r w:rsidRPr="003509A3">
          <w:rPr>
            <w:rStyle w:val="Hyperlink"/>
            <w:rFonts w:ascii="Open Sans" w:hAnsi="Open Sans" w:cs="Open Sans"/>
            <w:snapToGrid w:val="0"/>
            <w:sz w:val="24"/>
            <w:szCs w:val="24"/>
          </w:rPr>
          <w:t>http://www.tst.jus.br/push</w:t>
        </w:r>
      </w:hyperlink>
    </w:p>
    <w:p w:rsidR="00ED73E7" w:rsidRPr="00ED73E7" w:rsidRDefault="00ED73E7" w:rsidP="009E652F">
      <w:pPr>
        <w:ind w:left="-284"/>
      </w:pPr>
    </w:p>
    <w:sectPr w:rsidR="00ED73E7" w:rsidRPr="00ED73E7" w:rsidSect="009F61FA">
      <w:headerReference w:type="default" r:id="rId27"/>
      <w:footerReference w:type="default" r:id="rId28"/>
      <w:headerReference w:type="first" r:id="rId29"/>
      <w:footerReference w:type="first" r:id="rId30"/>
      <w:pgSz w:w="11906" w:h="16838"/>
      <w:pgMar w:top="183" w:right="567" w:bottom="851"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589" w:rsidRDefault="001A7589" w:rsidP="001A7589">
      <w:r>
        <w:separator/>
      </w:r>
    </w:p>
  </w:endnote>
  <w:endnote w:type="continuationSeparator" w:id="0">
    <w:p w:rsidR="001A7589" w:rsidRDefault="001A7589" w:rsidP="001A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357856"/>
      <w:docPartObj>
        <w:docPartGallery w:val="Page Numbers (Bottom of Page)"/>
        <w:docPartUnique/>
      </w:docPartObj>
    </w:sdtPr>
    <w:sdtEndPr/>
    <w:sdtContent>
      <w:sdt>
        <w:sdtPr>
          <w:id w:val="-292905539"/>
          <w:docPartObj>
            <w:docPartGallery w:val="Page Numbers (Bottom of Page)"/>
            <w:docPartUnique/>
          </w:docPartObj>
        </w:sdtPr>
        <w:sdtEndPr/>
        <w:sdtContent>
          <w:p w:rsidR="00ED73E7" w:rsidRDefault="00ED73E7" w:rsidP="00ED73E7">
            <w:pPr>
              <w:pStyle w:val="Rodap"/>
              <w:pBdr>
                <w:top w:val="single" w:sz="4" w:space="1" w:color="auto"/>
              </w:pBdr>
              <w:ind w:left="-284" w:right="367"/>
              <w:jc w:val="right"/>
            </w:pPr>
            <w:r>
              <w:fldChar w:fldCharType="begin"/>
            </w:r>
            <w:r>
              <w:instrText>PAGE   \* MERGEFORMAT</w:instrText>
            </w:r>
            <w:r>
              <w:fldChar w:fldCharType="separate"/>
            </w:r>
            <w:r w:rsidR="002D2625">
              <w:rPr>
                <w:noProof/>
              </w:rPr>
              <w:t>17</w:t>
            </w:r>
            <w:r>
              <w:fldChar w:fldCharType="end"/>
            </w:r>
          </w:p>
        </w:sdtContent>
      </w:sdt>
      <w:p w:rsidR="00ED73E7" w:rsidRDefault="002D2625" w:rsidP="00ED73E7">
        <w:pPr>
          <w:pStyle w:val="Rodap"/>
          <w:jc w:val="right"/>
        </w:pPr>
      </w:p>
    </w:sdtContent>
  </w:sdt>
  <w:p w:rsidR="001A7589" w:rsidRDefault="001A7589" w:rsidP="00ED73E7">
    <w:pPr>
      <w:pStyle w:val="Rodap"/>
      <w:ind w:left="-284" w:right="36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021691"/>
      <w:docPartObj>
        <w:docPartGallery w:val="Page Numbers (Bottom of Page)"/>
        <w:docPartUnique/>
      </w:docPartObj>
    </w:sdtPr>
    <w:sdtEndPr/>
    <w:sdtContent>
      <w:p w:rsidR="00ED73E7" w:rsidRDefault="00ED73E7" w:rsidP="00ED73E7">
        <w:pPr>
          <w:pStyle w:val="Rodap"/>
          <w:pBdr>
            <w:top w:val="single" w:sz="4" w:space="1" w:color="auto"/>
          </w:pBdr>
          <w:ind w:left="-284" w:right="367"/>
          <w:jc w:val="right"/>
        </w:pPr>
        <w:r>
          <w:fldChar w:fldCharType="begin"/>
        </w:r>
        <w:r>
          <w:instrText>PAGE   \* MERGEFORMAT</w:instrText>
        </w:r>
        <w:r>
          <w:fldChar w:fldCharType="separate"/>
        </w:r>
        <w:r w:rsidR="002D2625">
          <w:rPr>
            <w:noProof/>
          </w:rPr>
          <w:t>1</w:t>
        </w:r>
        <w:r>
          <w:fldChar w:fldCharType="end"/>
        </w:r>
      </w:p>
    </w:sdtContent>
  </w:sdt>
  <w:p w:rsidR="001A7589" w:rsidRDefault="001A758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589" w:rsidRDefault="001A7589" w:rsidP="001A7589">
      <w:r>
        <w:separator/>
      </w:r>
    </w:p>
  </w:footnote>
  <w:footnote w:type="continuationSeparator" w:id="0">
    <w:p w:rsidR="001A7589" w:rsidRDefault="001A7589" w:rsidP="001A7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625" w:rsidRDefault="002D2625" w:rsidP="002D2625">
    <w:pPr>
      <w:pStyle w:val="Corpodetexto"/>
      <w:jc w:val="right"/>
      <w:rPr>
        <w:rFonts w:ascii="Open Sans" w:hAnsi="Open Sans" w:cs="Open Sans"/>
        <w:color w:val="006699"/>
        <w:sz w:val="28"/>
        <w:szCs w:val="28"/>
      </w:rPr>
    </w:pPr>
    <w:r w:rsidRPr="00AF45B3">
      <w:rPr>
        <w:rFonts w:ascii="Open Sans" w:hAnsi="Open Sans" w:cs="Open Sans"/>
        <w:color w:val="006699"/>
        <w:sz w:val="28"/>
        <w:szCs w:val="28"/>
      </w:rPr>
      <w:t xml:space="preserve">Informativo TST – nº </w:t>
    </w:r>
    <w:r>
      <w:rPr>
        <w:rFonts w:ascii="Open Sans" w:hAnsi="Open Sans" w:cs="Open Sans"/>
        <w:color w:val="006699"/>
        <w:sz w:val="28"/>
        <w:szCs w:val="28"/>
      </w:rPr>
      <w:t>28</w:t>
    </w:r>
    <w:r>
      <w:rPr>
        <w:rFonts w:ascii="Open Sans" w:hAnsi="Open Sans" w:cs="Open Sans"/>
        <w:color w:val="006699"/>
        <w:sz w:val="28"/>
        <w:szCs w:val="28"/>
      </w:rPr>
      <w:t>3</w:t>
    </w:r>
  </w:p>
  <w:p w:rsidR="002D2625" w:rsidRDefault="002D2625" w:rsidP="002D2625">
    <w:pPr>
      <w:pStyle w:val="Cabealho"/>
      <w:pBdr>
        <w:bottom w:val="single" w:sz="4" w:space="1" w:color="auto"/>
        <w:between w:val="single" w:sz="4" w:space="1" w:color="auto"/>
        <w:bar w:val="single" w:sz="4" w:color="auto"/>
      </w:pBdr>
      <w:ind w:left="-284" w:firstLine="142"/>
      <w:jc w:val="right"/>
    </w:pPr>
    <w:r w:rsidRPr="00AF45B3">
      <w:rPr>
        <w:rFonts w:ascii="Open Sans" w:hAnsi="Open Sans" w:cs="Open Sans"/>
        <w:i/>
        <w:iCs/>
        <w:color w:val="005DA2"/>
        <w:sz w:val="22"/>
        <w:szCs w:val="22"/>
      </w:rPr>
      <w:t xml:space="preserve">Período: </w:t>
    </w:r>
    <w:r>
      <w:rPr>
        <w:rFonts w:ascii="Open Sans" w:hAnsi="Open Sans" w:cs="Open Sans"/>
        <w:i/>
        <w:iCs/>
        <w:color w:val="005DA2"/>
        <w:sz w:val="22"/>
        <w:szCs w:val="22"/>
      </w:rPr>
      <w:t>6</w:t>
    </w:r>
    <w:r>
      <w:rPr>
        <w:rFonts w:ascii="Open Sans" w:hAnsi="Open Sans" w:cs="Open Sans"/>
        <w:i/>
        <w:iCs/>
        <w:color w:val="005DA2"/>
        <w:sz w:val="22"/>
        <w:szCs w:val="22"/>
      </w:rPr>
      <w:t xml:space="preserve"> </w:t>
    </w:r>
    <w:r>
      <w:rPr>
        <w:rFonts w:ascii="Open Sans" w:hAnsi="Open Sans" w:cs="Open Sans"/>
        <w:i/>
        <w:iCs/>
        <w:color w:val="005DA2"/>
        <w:sz w:val="22"/>
        <w:szCs w:val="22"/>
      </w:rPr>
      <w:t xml:space="preserve">a 21 </w:t>
    </w:r>
    <w:r>
      <w:rPr>
        <w:rFonts w:ascii="Open Sans" w:hAnsi="Open Sans" w:cs="Open Sans"/>
        <w:i/>
        <w:iCs/>
        <w:color w:val="005DA2"/>
        <w:sz w:val="22"/>
        <w:szCs w:val="22"/>
      </w:rPr>
      <w:t>de feverei</w:t>
    </w:r>
    <w:r>
      <w:rPr>
        <w:rFonts w:ascii="Open Sans" w:hAnsi="Open Sans" w:cs="Open Sans"/>
        <w:i/>
        <w:iCs/>
        <w:color w:val="005DA2"/>
        <w:sz w:val="22"/>
        <w:szCs w:val="22"/>
      </w:rPr>
      <w:t>ro</w:t>
    </w:r>
    <w:r>
      <w:rPr>
        <w:rFonts w:ascii="Open Sans" w:hAnsi="Open Sans" w:cs="Open Sans"/>
        <w:i/>
        <w:iCs/>
        <w:color w:val="005DA2"/>
        <w:sz w:val="22"/>
        <w:szCs w:val="22"/>
      </w:rPr>
      <w:t xml:space="preserve"> de 2024.</w:t>
    </w:r>
  </w:p>
  <w:p w:rsidR="002D2625" w:rsidRPr="00ED73E7" w:rsidRDefault="002D2625" w:rsidP="002D2625">
    <w:pPr>
      <w:pStyle w:val="Corpodetexto"/>
      <w:tabs>
        <w:tab w:val="left" w:pos="6749"/>
      </w:tabs>
      <w:ind w:left="-142" w:right="510"/>
      <w:jc w:val="left"/>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89" w:rsidRDefault="00B633EE" w:rsidP="001A7589">
    <w:pPr>
      <w:pStyle w:val="Cabealho"/>
    </w:pPr>
    <w:r>
      <w:rPr>
        <w:noProof/>
      </w:rPr>
      <mc:AlternateContent>
        <mc:Choice Requires="wps">
          <w:drawing>
            <wp:anchor distT="0" distB="0" distL="114300" distR="114300" simplePos="0" relativeHeight="251661312" behindDoc="0" locked="0" layoutInCell="0" allowOverlap="1" wp14:anchorId="070CFBC8" wp14:editId="1823DA89">
              <wp:simplePos x="0" y="0"/>
              <wp:positionH relativeFrom="column">
                <wp:posOffset>1193800</wp:posOffset>
              </wp:positionH>
              <wp:positionV relativeFrom="paragraph">
                <wp:posOffset>290830</wp:posOffset>
              </wp:positionV>
              <wp:extent cx="2422525" cy="755650"/>
              <wp:effectExtent l="0" t="0" r="0" b="6350"/>
              <wp:wrapNone/>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755650"/>
                      </a:xfrm>
                      <a:prstGeom prst="rect">
                        <a:avLst/>
                      </a:prstGeom>
                      <a:noFill/>
                      <a:ln>
                        <a:noFill/>
                      </a:ln>
                    </wps:spPr>
                    <wps:txbx>
                      <w:txbxContent>
                        <w:p w:rsidR="001A7589" w:rsidRPr="00B633EE" w:rsidRDefault="001A7589" w:rsidP="001A7589">
                          <w:pPr>
                            <w:rPr>
                              <w:rFonts w:ascii="Open Sans" w:hAnsi="Open Sans" w:cs="Open Sans"/>
                              <w:color w:val="365F91" w:themeColor="accent1" w:themeShade="BF"/>
                              <w:sz w:val="24"/>
                              <w:szCs w:val="24"/>
                            </w:rPr>
                          </w:pPr>
                          <w:r w:rsidRPr="00B633EE">
                            <w:rPr>
                              <w:rFonts w:ascii="Open Sans" w:hAnsi="Open Sans" w:cs="Open Sans"/>
                              <w:color w:val="365F91" w:themeColor="accent1" w:themeShade="BF"/>
                              <w:sz w:val="24"/>
                              <w:szCs w:val="24"/>
                            </w:rPr>
                            <w:t>Poder Judiciário</w:t>
                          </w:r>
                          <w:r w:rsidRPr="00B633EE">
                            <w:rPr>
                              <w:rFonts w:ascii="Open Sans" w:hAnsi="Open Sans" w:cs="Open Sans"/>
                              <w:color w:val="365F91" w:themeColor="accent1" w:themeShade="BF"/>
                              <w:sz w:val="24"/>
                              <w:szCs w:val="24"/>
                            </w:rPr>
                            <w:br/>
                            <w:t>Justiça do Trabalho</w:t>
                          </w:r>
                          <w:r w:rsidRPr="00B633EE">
                            <w:rPr>
                              <w:rFonts w:ascii="Open Sans" w:hAnsi="Open Sans" w:cs="Open Sans"/>
                              <w:color w:val="365F91" w:themeColor="accent1" w:themeShade="BF"/>
                              <w:sz w:val="24"/>
                              <w:szCs w:val="24"/>
                            </w:rPr>
                            <w:br/>
                            <w:t>Tribunal Superior do Trabalho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94pt;margin-top:22.9pt;width:190.75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" o:allowincell="f" filled="f" stroked="f">
              <v:textbox>
                <w:txbxContent>
                  <w:p w:rsidR="001A7589" w:rsidRPr="00B633EE" w:rsidRDefault="001A7589" w:rsidP="001A7589">
                    <w:pPr>
                      <w:rPr>
                        <w:rFonts w:ascii="Open Sans" w:hAnsi="Open Sans" w:cs="Open Sans"/>
                        <w:color w:val="365F91" w:themeColor="accent1" w:themeShade="BF"/>
                        <w:sz w:val="24"/>
                        <w:szCs w:val="24"/>
                      </w:rPr>
                    </w:pPr>
                    <w:r w:rsidRPr="00B633EE">
                      <w:rPr>
                        <w:rFonts w:ascii="Open Sans" w:hAnsi="Open Sans" w:cs="Open Sans"/>
                        <w:color w:val="365F91" w:themeColor="accent1" w:themeShade="BF"/>
                        <w:sz w:val="24"/>
                        <w:szCs w:val="24"/>
                      </w:rPr>
                      <w:t>Poder Judiciário</w:t>
                    </w:r>
                    <w:r w:rsidRPr="00B633EE">
                      <w:rPr>
                        <w:rFonts w:ascii="Open Sans" w:hAnsi="Open Sans" w:cs="Open Sans"/>
                        <w:color w:val="365F91" w:themeColor="accent1" w:themeShade="BF"/>
                        <w:sz w:val="24"/>
                        <w:szCs w:val="24"/>
                      </w:rPr>
                      <w:br/>
                      <w:t>Justiça do Trabalho</w:t>
                    </w:r>
                    <w:r w:rsidRPr="00B633EE">
                      <w:rPr>
                        <w:rFonts w:ascii="Open Sans" w:hAnsi="Open Sans" w:cs="Open Sans"/>
                        <w:color w:val="365F91" w:themeColor="accent1" w:themeShade="BF"/>
                        <w:sz w:val="24"/>
                        <w:szCs w:val="24"/>
                      </w:rPr>
                      <w:br/>
                      <w:t>Tribunal Superior do Trabalho</w:t>
                    </w:r>
                  </w:p>
                </w:txbxContent>
              </v:textbox>
            </v:shape>
          </w:pict>
        </mc:Fallback>
      </mc:AlternateContent>
    </w:r>
    <w:r>
      <w:rPr>
        <w:noProof/>
      </w:rPr>
      <w:drawing>
        <wp:inline distT="0" distB="0" distL="0" distR="0" wp14:anchorId="32837A0F" wp14:editId="78EE6571">
          <wp:extent cx="1219200" cy="1219200"/>
          <wp:effectExtent l="0" t="0" r="0" b="0"/>
          <wp:docPr id="3" name="Imagem 3" descr="Desenho das Armas Nacionais, também conhecido como Brasão da República. que conforme a Lei nº 5.700/1971, é assim composto:&#10;O escudo redondo será constituído em campo azul-celeste, contendo cinco estrelas de prata, dispostas na forma da constelação Cruzeiro do sul, com a bordadura do campo perfilada de ouro, carregada de estrelas de prata em número igual ao das estrelas existentes na Bandeira Nacional. O escudo ficará pousado numa estrela partida-gironada, de dez peças de sinopla e ouro, bordada de duas  tiras, a interior de goles e a exterior de ouro. O todo brocante sobre uma espada, em pala, empunhada de ouro, guardas de blau, salvo a parte do centro, que é de goles e contendo uma estrela de prata, figurará sobre uma coroa formada de um ramo de café frutificado, à destra, e de outro de fumo florido, à sinistra, ambos da própria cor, atados de blau, ficando o conjunto sobre um resplendor de ouro, cujos contornos formam uma estrela de vinte pontas. Em listel de blau, brocante sobre os punhos da espada, inscrever-se-á, em ouro, a legenda República Federativa do Brasil, no centro, e ainda as expressões &quot;15 de novembro&quot;, na extremidade destra, e as expressões &quot;de 1889&quot;, na sinistra." title="Imagem das Armas Nacion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ov.br/planalto/pt-br/conheca-a-presidencia/acervo/simbolos-nacionais/brasao-da-republica/brasao-versao-ofici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1A7589" w:rsidRDefault="001A7589" w:rsidP="001A7589">
    <w:pPr>
      <w:pStyle w:val="Cabealho"/>
    </w:pPr>
    <w:r w:rsidRPr="00B633EE">
      <w:rPr>
        <w:rFonts w:ascii="Open Sans" w:hAnsi="Open Sans" w:cs="Open Sans"/>
        <w:noProof/>
        <w:color w:val="006699"/>
        <w:sz w:val="30"/>
      </w:rPr>
      <w:drawing>
        <wp:inline distT="0" distB="0" distL="0" distR="0" wp14:anchorId="7E49A7B2" wp14:editId="6AB366A0">
          <wp:extent cx="6124575" cy="895350"/>
          <wp:effectExtent l="0" t="0" r="9525" b="0"/>
          <wp:docPr id="7" name="Imagem 7" descr="Informativo TST escrito em letras azuis com fundo branco. " title="Informativo T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48086" cy="898787"/>
                  </a:xfrm>
                  <a:prstGeom prst="rect">
                    <a:avLst/>
                  </a:prstGeom>
                  <a:noFill/>
                  <a:ln>
                    <a:noFill/>
                  </a:ln>
                </pic:spPr>
              </pic:pic>
            </a:graphicData>
          </a:graphic>
        </wp:inline>
      </w:drawing>
    </w:r>
  </w:p>
  <w:p w:rsidR="001A7589" w:rsidRDefault="001A7589" w:rsidP="001A7589">
    <w:pPr>
      <w:pStyle w:val="Cabealho"/>
    </w:pPr>
  </w:p>
  <w:p w:rsidR="001A7589" w:rsidRPr="00CE124A" w:rsidRDefault="001A7589" w:rsidP="001A7589">
    <w:pPr>
      <w:pStyle w:val="Cabealho"/>
      <w:tabs>
        <w:tab w:val="clear" w:pos="4419"/>
        <w:tab w:val="clear" w:pos="8838"/>
        <w:tab w:val="left" w:pos="2793"/>
      </w:tabs>
      <w:ind w:right="510"/>
      <w:jc w:val="right"/>
      <w:rPr>
        <w:rFonts w:ascii="Open Sans" w:hAnsi="Open Sans" w:cs="Open Sans"/>
        <w:i/>
        <w:iCs/>
        <w:color w:val="005DA2"/>
        <w:sz w:val="32"/>
        <w:szCs w:val="32"/>
      </w:rPr>
    </w:pPr>
    <w:r>
      <w:tab/>
    </w:r>
    <w:r>
      <w:tab/>
    </w:r>
    <w:r>
      <w:tab/>
    </w:r>
    <w:r>
      <w:tab/>
    </w:r>
    <w:r>
      <w:tab/>
    </w:r>
    <w:r>
      <w:tab/>
    </w:r>
    <w:r w:rsidRPr="00CE124A">
      <w:rPr>
        <w:rFonts w:ascii="Open Sans" w:hAnsi="Open Sans" w:cs="Open Sans"/>
        <w:b/>
        <w:color w:val="005DA2"/>
        <w:sz w:val="32"/>
        <w:szCs w:val="32"/>
      </w:rPr>
      <w:t xml:space="preserve">Nº </w:t>
    </w:r>
    <w:r w:rsidR="00EC7DC9">
      <w:rPr>
        <w:rFonts w:ascii="Open Sans" w:hAnsi="Open Sans" w:cs="Open Sans"/>
        <w:b/>
        <w:color w:val="005DA2"/>
        <w:sz w:val="32"/>
        <w:szCs w:val="32"/>
      </w:rPr>
      <w:t>283</w:t>
    </w:r>
  </w:p>
  <w:p w:rsidR="001A7589" w:rsidRDefault="001A7589" w:rsidP="001A7589">
    <w:pPr>
      <w:pStyle w:val="Cabealho"/>
      <w:ind w:right="510"/>
      <w:jc w:val="right"/>
    </w:pPr>
    <w:r w:rsidRPr="00AF45B3">
      <w:rPr>
        <w:rFonts w:ascii="Open Sans" w:hAnsi="Open Sans" w:cs="Open Sans"/>
        <w:i/>
        <w:iCs/>
        <w:color w:val="005DA2"/>
        <w:sz w:val="22"/>
        <w:szCs w:val="22"/>
      </w:rPr>
      <w:t xml:space="preserve">Período: </w:t>
    </w:r>
    <w:r w:rsidR="0057406A">
      <w:rPr>
        <w:rFonts w:ascii="Open Sans" w:hAnsi="Open Sans" w:cs="Open Sans"/>
        <w:i/>
        <w:iCs/>
        <w:color w:val="005DA2"/>
        <w:sz w:val="22"/>
        <w:szCs w:val="22"/>
      </w:rPr>
      <w:t>6</w:t>
    </w:r>
    <w:r w:rsidR="009E652F">
      <w:rPr>
        <w:rFonts w:ascii="Open Sans" w:hAnsi="Open Sans" w:cs="Open Sans"/>
        <w:i/>
        <w:iCs/>
        <w:color w:val="005DA2"/>
        <w:sz w:val="22"/>
        <w:szCs w:val="22"/>
      </w:rPr>
      <w:t xml:space="preserve"> a </w:t>
    </w:r>
    <w:r w:rsidR="0057406A">
      <w:rPr>
        <w:rFonts w:ascii="Open Sans" w:hAnsi="Open Sans" w:cs="Open Sans"/>
        <w:i/>
        <w:iCs/>
        <w:color w:val="005DA2"/>
        <w:sz w:val="22"/>
        <w:szCs w:val="22"/>
      </w:rPr>
      <w:t>21</w:t>
    </w:r>
    <w:r w:rsidR="009E652F">
      <w:rPr>
        <w:rFonts w:ascii="Open Sans" w:hAnsi="Open Sans" w:cs="Open Sans"/>
        <w:i/>
        <w:iCs/>
        <w:color w:val="005DA2"/>
        <w:sz w:val="22"/>
        <w:szCs w:val="22"/>
      </w:rPr>
      <w:t xml:space="preserve"> de</w:t>
    </w:r>
    <w:r w:rsidR="0057406A">
      <w:rPr>
        <w:rFonts w:ascii="Open Sans" w:hAnsi="Open Sans" w:cs="Open Sans"/>
        <w:i/>
        <w:iCs/>
        <w:color w:val="005DA2"/>
        <w:sz w:val="22"/>
        <w:szCs w:val="22"/>
      </w:rPr>
      <w:t xml:space="preserve"> fevereiro</w:t>
    </w:r>
    <w:r w:rsidR="009E652F">
      <w:rPr>
        <w:rFonts w:ascii="Open Sans" w:hAnsi="Open Sans" w:cs="Open Sans"/>
        <w:i/>
        <w:iCs/>
        <w:color w:val="005DA2"/>
        <w:sz w:val="22"/>
        <w:szCs w:val="22"/>
      </w:rPr>
      <w:t xml:space="preserve"> de 202</w:t>
    </w:r>
    <w:r w:rsidR="0057406A">
      <w:rPr>
        <w:rFonts w:ascii="Open Sans" w:hAnsi="Open Sans" w:cs="Open Sans"/>
        <w:i/>
        <w:iCs/>
        <w:color w:val="005DA2"/>
        <w:sz w:val="22"/>
        <w:szCs w:val="22"/>
      </w:rPr>
      <w:t>4</w:t>
    </w:r>
    <w:r w:rsidR="009E652F">
      <w:rPr>
        <w:rFonts w:ascii="Open Sans" w:hAnsi="Open Sans" w:cs="Open Sans"/>
        <w:i/>
        <w:iCs/>
        <w:color w:val="005DA2"/>
        <w:sz w:val="22"/>
        <w:szCs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89"/>
    <w:rsid w:val="00011FF4"/>
    <w:rsid w:val="0009029D"/>
    <w:rsid w:val="000A01F9"/>
    <w:rsid w:val="000E6641"/>
    <w:rsid w:val="0010138E"/>
    <w:rsid w:val="001337FB"/>
    <w:rsid w:val="00142FF3"/>
    <w:rsid w:val="0014780F"/>
    <w:rsid w:val="001A7589"/>
    <w:rsid w:val="00215C92"/>
    <w:rsid w:val="002518B4"/>
    <w:rsid w:val="002D2625"/>
    <w:rsid w:val="00476E10"/>
    <w:rsid w:val="004B476A"/>
    <w:rsid w:val="004B73F6"/>
    <w:rsid w:val="0057406A"/>
    <w:rsid w:val="00577BB7"/>
    <w:rsid w:val="005807AB"/>
    <w:rsid w:val="00585786"/>
    <w:rsid w:val="005F2BB2"/>
    <w:rsid w:val="006138BD"/>
    <w:rsid w:val="006A40C1"/>
    <w:rsid w:val="006A6F3C"/>
    <w:rsid w:val="007345AD"/>
    <w:rsid w:val="007519B9"/>
    <w:rsid w:val="007930D8"/>
    <w:rsid w:val="007A15AC"/>
    <w:rsid w:val="007B14E9"/>
    <w:rsid w:val="007D442D"/>
    <w:rsid w:val="007E13EF"/>
    <w:rsid w:val="00934690"/>
    <w:rsid w:val="009E652F"/>
    <w:rsid w:val="009F61FA"/>
    <w:rsid w:val="00A3374D"/>
    <w:rsid w:val="00AB6E56"/>
    <w:rsid w:val="00AD7829"/>
    <w:rsid w:val="00B633EE"/>
    <w:rsid w:val="00B94366"/>
    <w:rsid w:val="00C160C2"/>
    <w:rsid w:val="00C415E3"/>
    <w:rsid w:val="00CE344F"/>
    <w:rsid w:val="00CF5BA8"/>
    <w:rsid w:val="00D14637"/>
    <w:rsid w:val="00D244CA"/>
    <w:rsid w:val="00D36974"/>
    <w:rsid w:val="00D53EA9"/>
    <w:rsid w:val="00D663E7"/>
    <w:rsid w:val="00DD0064"/>
    <w:rsid w:val="00E10E3E"/>
    <w:rsid w:val="00E221A8"/>
    <w:rsid w:val="00E8587C"/>
    <w:rsid w:val="00EC7DC9"/>
    <w:rsid w:val="00ED31C8"/>
    <w:rsid w:val="00ED73E7"/>
    <w:rsid w:val="00F707E9"/>
    <w:rsid w:val="00FC7F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aliases w:val="Órgão"/>
    <w:basedOn w:val="Normal"/>
    <w:next w:val="Normal"/>
    <w:link w:val="Ttulo1Char"/>
    <w:uiPriority w:val="9"/>
    <w:qFormat/>
    <w:rsid w:val="006138BD"/>
    <w:pPr>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480"/>
      <w:jc w:val="center"/>
      <w:outlineLvl w:val="0"/>
    </w:pPr>
    <w:rPr>
      <w:rFonts w:ascii="Open Sans" w:eastAsiaTheme="majorEastAsia" w:hAnsi="Open Sans"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qFormat/>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customStyle="1" w:styleId="Ttulo1Char">
    <w:name w:val="Título 1 Char"/>
    <w:aliases w:val="Órgão Char"/>
    <w:basedOn w:val="Fontepargpadro"/>
    <w:link w:val="Ttulo1"/>
    <w:uiPriority w:val="9"/>
    <w:rsid w:val="006138BD"/>
    <w:rPr>
      <w:rFonts w:eastAsiaTheme="majorEastAsia" w:cstheme="majorBidi"/>
      <w:b/>
      <w:bCs/>
      <w:sz w:val="28"/>
      <w:szCs w:val="28"/>
      <w:shd w:val="clear" w:color="auto" w:fill="B8CCE4" w:themeFill="accent1" w:themeFillTint="66"/>
      <w:lang w:eastAsia="pt-BR"/>
    </w:rPr>
  </w:style>
  <w:style w:type="character" w:customStyle="1" w:styleId="fontepargpadro0">
    <w:name w:val="fontepargpadro"/>
    <w:basedOn w:val="Fontepargpadro"/>
    <w:rsid w:val="009E652F"/>
  </w:style>
  <w:style w:type="character" w:customStyle="1" w:styleId="fontepargpadro-000002">
    <w:name w:val="fontepargpadro-000002"/>
    <w:basedOn w:val="Fontepargpadro"/>
    <w:rsid w:val="009E652F"/>
  </w:style>
  <w:style w:type="character" w:customStyle="1" w:styleId="fontepargpadro-000004">
    <w:name w:val="fontepargpadro-000004"/>
    <w:basedOn w:val="Fontepargpadro"/>
    <w:rsid w:val="009E652F"/>
  </w:style>
  <w:style w:type="character" w:customStyle="1" w:styleId="fontepargpadro-000003">
    <w:name w:val="fontepargpadro-000003"/>
    <w:basedOn w:val="Fontepargpadro"/>
    <w:rsid w:val="009E652F"/>
  </w:style>
  <w:style w:type="character" w:customStyle="1" w:styleId="fontepargpadro-000005">
    <w:name w:val="fontepargpadro-000005"/>
    <w:basedOn w:val="Fontepargpadro"/>
    <w:rsid w:val="009E652F"/>
  </w:style>
  <w:style w:type="character" w:customStyle="1" w:styleId="fontepargpadro-000006">
    <w:name w:val="fontepargpadro-000006"/>
    <w:basedOn w:val="Fontepargpadro"/>
    <w:rsid w:val="009E652F"/>
  </w:style>
  <w:style w:type="character" w:customStyle="1" w:styleId="fontepargpadro-000007">
    <w:name w:val="fontepargpadro-000007"/>
    <w:basedOn w:val="Fontepargpadro"/>
    <w:rsid w:val="009E652F"/>
  </w:style>
  <w:style w:type="character" w:customStyle="1" w:styleId="fontepargpadro-000008">
    <w:name w:val="fontepargpadro-000008"/>
    <w:basedOn w:val="Fontepargpadro"/>
    <w:rsid w:val="009E652F"/>
  </w:style>
  <w:style w:type="character" w:customStyle="1" w:styleId="fontepargpadro-000009">
    <w:name w:val="fontepargpadro-000009"/>
    <w:basedOn w:val="Fontepargpadro"/>
    <w:rsid w:val="009E652F"/>
  </w:style>
  <w:style w:type="character" w:customStyle="1" w:styleId="fontepargpadro-000010">
    <w:name w:val="fontepargpadro-000010"/>
    <w:basedOn w:val="Fontepargpadro"/>
    <w:rsid w:val="009E652F"/>
  </w:style>
  <w:style w:type="character" w:customStyle="1" w:styleId="fontepargpadro-000011">
    <w:name w:val="fontepargpadro-000011"/>
    <w:basedOn w:val="Fontepargpadro"/>
    <w:rsid w:val="009E652F"/>
  </w:style>
  <w:style w:type="character" w:customStyle="1" w:styleId="fontepargpadro-000012">
    <w:name w:val="fontepargpadro-000012"/>
    <w:basedOn w:val="Fontepargpadro"/>
    <w:rsid w:val="009E652F"/>
  </w:style>
  <w:style w:type="character" w:customStyle="1" w:styleId="fontepargpadro-000013">
    <w:name w:val="fontepargpadro-000013"/>
    <w:basedOn w:val="Fontepargpadro"/>
    <w:rsid w:val="009E652F"/>
  </w:style>
  <w:style w:type="character" w:customStyle="1" w:styleId="EmentaChar1">
    <w:name w:val="Ementa Char1"/>
    <w:link w:val="Ementa"/>
    <w:uiPriority w:val="99"/>
    <w:locked/>
    <w:rsid w:val="00476E10"/>
    <w:rPr>
      <w:rFonts w:eastAsia="Times New Roman" w:cs="Courier New"/>
      <w:color w:val="000000"/>
      <w:sz w:val="24"/>
      <w:szCs w:val="24"/>
      <w:lang w:eastAsia="pt-BR"/>
    </w:rPr>
  </w:style>
  <w:style w:type="paragraph" w:customStyle="1" w:styleId="Ementa">
    <w:name w:val="Ementa"/>
    <w:basedOn w:val="Normal"/>
    <w:link w:val="EmentaChar1"/>
    <w:uiPriority w:val="99"/>
    <w:qFormat/>
    <w:rsid w:val="00476E10"/>
    <w:pPr>
      <w:ind w:left="4536"/>
      <w:jc w:val="both"/>
    </w:pPr>
    <w:rPr>
      <w:rFonts w:ascii="Open Sans" w:hAnsi="Open Sans" w:cs="Courier New"/>
      <w:color w:val="000000"/>
      <w:sz w:val="24"/>
      <w:szCs w:val="24"/>
    </w:rPr>
  </w:style>
  <w:style w:type="character" w:styleId="HiperlinkVisitado">
    <w:name w:val="FollowedHyperlink"/>
    <w:basedOn w:val="Fontepargpadro"/>
    <w:uiPriority w:val="99"/>
    <w:semiHidden/>
    <w:unhideWhenUsed/>
    <w:rsid w:val="00AB6E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aliases w:val="Órgão"/>
    <w:basedOn w:val="Normal"/>
    <w:next w:val="Normal"/>
    <w:link w:val="Ttulo1Char"/>
    <w:uiPriority w:val="9"/>
    <w:qFormat/>
    <w:rsid w:val="006138BD"/>
    <w:pPr>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480"/>
      <w:jc w:val="center"/>
      <w:outlineLvl w:val="0"/>
    </w:pPr>
    <w:rPr>
      <w:rFonts w:ascii="Open Sans" w:eastAsiaTheme="majorEastAsia" w:hAnsi="Open Sans"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qFormat/>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customStyle="1" w:styleId="Ttulo1Char">
    <w:name w:val="Título 1 Char"/>
    <w:aliases w:val="Órgão Char"/>
    <w:basedOn w:val="Fontepargpadro"/>
    <w:link w:val="Ttulo1"/>
    <w:uiPriority w:val="9"/>
    <w:rsid w:val="006138BD"/>
    <w:rPr>
      <w:rFonts w:eastAsiaTheme="majorEastAsia" w:cstheme="majorBidi"/>
      <w:b/>
      <w:bCs/>
      <w:sz w:val="28"/>
      <w:szCs w:val="28"/>
      <w:shd w:val="clear" w:color="auto" w:fill="B8CCE4" w:themeFill="accent1" w:themeFillTint="66"/>
      <w:lang w:eastAsia="pt-BR"/>
    </w:rPr>
  </w:style>
  <w:style w:type="character" w:customStyle="1" w:styleId="fontepargpadro0">
    <w:name w:val="fontepargpadro"/>
    <w:basedOn w:val="Fontepargpadro"/>
    <w:rsid w:val="009E652F"/>
  </w:style>
  <w:style w:type="character" w:customStyle="1" w:styleId="fontepargpadro-000002">
    <w:name w:val="fontepargpadro-000002"/>
    <w:basedOn w:val="Fontepargpadro"/>
    <w:rsid w:val="009E652F"/>
  </w:style>
  <w:style w:type="character" w:customStyle="1" w:styleId="fontepargpadro-000004">
    <w:name w:val="fontepargpadro-000004"/>
    <w:basedOn w:val="Fontepargpadro"/>
    <w:rsid w:val="009E652F"/>
  </w:style>
  <w:style w:type="character" w:customStyle="1" w:styleId="fontepargpadro-000003">
    <w:name w:val="fontepargpadro-000003"/>
    <w:basedOn w:val="Fontepargpadro"/>
    <w:rsid w:val="009E652F"/>
  </w:style>
  <w:style w:type="character" w:customStyle="1" w:styleId="fontepargpadro-000005">
    <w:name w:val="fontepargpadro-000005"/>
    <w:basedOn w:val="Fontepargpadro"/>
    <w:rsid w:val="009E652F"/>
  </w:style>
  <w:style w:type="character" w:customStyle="1" w:styleId="fontepargpadro-000006">
    <w:name w:val="fontepargpadro-000006"/>
    <w:basedOn w:val="Fontepargpadro"/>
    <w:rsid w:val="009E652F"/>
  </w:style>
  <w:style w:type="character" w:customStyle="1" w:styleId="fontepargpadro-000007">
    <w:name w:val="fontepargpadro-000007"/>
    <w:basedOn w:val="Fontepargpadro"/>
    <w:rsid w:val="009E652F"/>
  </w:style>
  <w:style w:type="character" w:customStyle="1" w:styleId="fontepargpadro-000008">
    <w:name w:val="fontepargpadro-000008"/>
    <w:basedOn w:val="Fontepargpadro"/>
    <w:rsid w:val="009E652F"/>
  </w:style>
  <w:style w:type="character" w:customStyle="1" w:styleId="fontepargpadro-000009">
    <w:name w:val="fontepargpadro-000009"/>
    <w:basedOn w:val="Fontepargpadro"/>
    <w:rsid w:val="009E652F"/>
  </w:style>
  <w:style w:type="character" w:customStyle="1" w:styleId="fontepargpadro-000010">
    <w:name w:val="fontepargpadro-000010"/>
    <w:basedOn w:val="Fontepargpadro"/>
    <w:rsid w:val="009E652F"/>
  </w:style>
  <w:style w:type="character" w:customStyle="1" w:styleId="fontepargpadro-000011">
    <w:name w:val="fontepargpadro-000011"/>
    <w:basedOn w:val="Fontepargpadro"/>
    <w:rsid w:val="009E652F"/>
  </w:style>
  <w:style w:type="character" w:customStyle="1" w:styleId="fontepargpadro-000012">
    <w:name w:val="fontepargpadro-000012"/>
    <w:basedOn w:val="Fontepargpadro"/>
    <w:rsid w:val="009E652F"/>
  </w:style>
  <w:style w:type="character" w:customStyle="1" w:styleId="fontepargpadro-000013">
    <w:name w:val="fontepargpadro-000013"/>
    <w:basedOn w:val="Fontepargpadro"/>
    <w:rsid w:val="009E652F"/>
  </w:style>
  <w:style w:type="character" w:customStyle="1" w:styleId="EmentaChar1">
    <w:name w:val="Ementa Char1"/>
    <w:link w:val="Ementa"/>
    <w:uiPriority w:val="99"/>
    <w:locked/>
    <w:rsid w:val="00476E10"/>
    <w:rPr>
      <w:rFonts w:eastAsia="Times New Roman" w:cs="Courier New"/>
      <w:color w:val="000000"/>
      <w:sz w:val="24"/>
      <w:szCs w:val="24"/>
      <w:lang w:eastAsia="pt-BR"/>
    </w:rPr>
  </w:style>
  <w:style w:type="paragraph" w:customStyle="1" w:styleId="Ementa">
    <w:name w:val="Ementa"/>
    <w:basedOn w:val="Normal"/>
    <w:link w:val="EmentaChar1"/>
    <w:uiPriority w:val="99"/>
    <w:qFormat/>
    <w:rsid w:val="00476E10"/>
    <w:pPr>
      <w:ind w:left="4536"/>
      <w:jc w:val="both"/>
    </w:pPr>
    <w:rPr>
      <w:rFonts w:ascii="Open Sans" w:hAnsi="Open Sans" w:cs="Courier New"/>
      <w:color w:val="000000"/>
      <w:sz w:val="24"/>
      <w:szCs w:val="24"/>
    </w:rPr>
  </w:style>
  <w:style w:type="character" w:styleId="HiperlinkVisitado">
    <w:name w:val="FollowedHyperlink"/>
    <w:basedOn w:val="Fontepargpadro"/>
    <w:uiPriority w:val="99"/>
    <w:semiHidden/>
    <w:unhideWhenUsed/>
    <w:rsid w:val="00AB6E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55674">
      <w:bodyDiv w:val="1"/>
      <w:marLeft w:val="0"/>
      <w:marRight w:val="0"/>
      <w:marTop w:val="0"/>
      <w:marBottom w:val="0"/>
      <w:divBdr>
        <w:top w:val="none" w:sz="0" w:space="0" w:color="auto"/>
        <w:left w:val="none" w:sz="0" w:space="0" w:color="auto"/>
        <w:bottom w:val="none" w:sz="0" w:space="0" w:color="auto"/>
        <w:right w:val="none" w:sz="0" w:space="0" w:color="auto"/>
      </w:divBdr>
    </w:div>
    <w:div w:id="372122201">
      <w:bodyDiv w:val="1"/>
      <w:marLeft w:val="0"/>
      <w:marRight w:val="0"/>
      <w:marTop w:val="0"/>
      <w:marBottom w:val="0"/>
      <w:divBdr>
        <w:top w:val="none" w:sz="0" w:space="0" w:color="auto"/>
        <w:left w:val="none" w:sz="0" w:space="0" w:color="auto"/>
        <w:bottom w:val="none" w:sz="0" w:space="0" w:color="auto"/>
        <w:right w:val="none" w:sz="0" w:space="0" w:color="auto"/>
      </w:divBdr>
    </w:div>
    <w:div w:id="424151062">
      <w:bodyDiv w:val="1"/>
      <w:marLeft w:val="0"/>
      <w:marRight w:val="0"/>
      <w:marTop w:val="0"/>
      <w:marBottom w:val="0"/>
      <w:divBdr>
        <w:top w:val="none" w:sz="0" w:space="0" w:color="auto"/>
        <w:left w:val="none" w:sz="0" w:space="0" w:color="auto"/>
        <w:bottom w:val="none" w:sz="0" w:space="0" w:color="auto"/>
        <w:right w:val="none" w:sz="0" w:space="0" w:color="auto"/>
      </w:divBdr>
    </w:div>
    <w:div w:id="485166091">
      <w:bodyDiv w:val="1"/>
      <w:marLeft w:val="0"/>
      <w:marRight w:val="0"/>
      <w:marTop w:val="0"/>
      <w:marBottom w:val="0"/>
      <w:divBdr>
        <w:top w:val="none" w:sz="0" w:space="0" w:color="auto"/>
        <w:left w:val="none" w:sz="0" w:space="0" w:color="auto"/>
        <w:bottom w:val="none" w:sz="0" w:space="0" w:color="auto"/>
        <w:right w:val="none" w:sz="0" w:space="0" w:color="auto"/>
      </w:divBdr>
    </w:div>
    <w:div w:id="551692778">
      <w:bodyDiv w:val="1"/>
      <w:marLeft w:val="0"/>
      <w:marRight w:val="0"/>
      <w:marTop w:val="0"/>
      <w:marBottom w:val="0"/>
      <w:divBdr>
        <w:top w:val="none" w:sz="0" w:space="0" w:color="auto"/>
        <w:left w:val="none" w:sz="0" w:space="0" w:color="auto"/>
        <w:bottom w:val="none" w:sz="0" w:space="0" w:color="auto"/>
        <w:right w:val="none" w:sz="0" w:space="0" w:color="auto"/>
      </w:divBdr>
    </w:div>
    <w:div w:id="624699066">
      <w:bodyDiv w:val="1"/>
      <w:marLeft w:val="0"/>
      <w:marRight w:val="0"/>
      <w:marTop w:val="0"/>
      <w:marBottom w:val="0"/>
      <w:divBdr>
        <w:top w:val="none" w:sz="0" w:space="0" w:color="auto"/>
        <w:left w:val="none" w:sz="0" w:space="0" w:color="auto"/>
        <w:bottom w:val="none" w:sz="0" w:space="0" w:color="auto"/>
        <w:right w:val="none" w:sz="0" w:space="0" w:color="auto"/>
      </w:divBdr>
    </w:div>
    <w:div w:id="672104121">
      <w:bodyDiv w:val="1"/>
      <w:marLeft w:val="0"/>
      <w:marRight w:val="0"/>
      <w:marTop w:val="0"/>
      <w:marBottom w:val="0"/>
      <w:divBdr>
        <w:top w:val="none" w:sz="0" w:space="0" w:color="auto"/>
        <w:left w:val="none" w:sz="0" w:space="0" w:color="auto"/>
        <w:bottom w:val="none" w:sz="0" w:space="0" w:color="auto"/>
        <w:right w:val="none" w:sz="0" w:space="0" w:color="auto"/>
      </w:divBdr>
    </w:div>
    <w:div w:id="761603412">
      <w:bodyDiv w:val="1"/>
      <w:marLeft w:val="0"/>
      <w:marRight w:val="0"/>
      <w:marTop w:val="0"/>
      <w:marBottom w:val="0"/>
      <w:divBdr>
        <w:top w:val="none" w:sz="0" w:space="0" w:color="auto"/>
        <w:left w:val="none" w:sz="0" w:space="0" w:color="auto"/>
        <w:bottom w:val="none" w:sz="0" w:space="0" w:color="auto"/>
        <w:right w:val="none" w:sz="0" w:space="0" w:color="auto"/>
      </w:divBdr>
    </w:div>
    <w:div w:id="783889319">
      <w:bodyDiv w:val="1"/>
      <w:marLeft w:val="0"/>
      <w:marRight w:val="0"/>
      <w:marTop w:val="0"/>
      <w:marBottom w:val="0"/>
      <w:divBdr>
        <w:top w:val="none" w:sz="0" w:space="0" w:color="auto"/>
        <w:left w:val="none" w:sz="0" w:space="0" w:color="auto"/>
        <w:bottom w:val="none" w:sz="0" w:space="0" w:color="auto"/>
        <w:right w:val="none" w:sz="0" w:space="0" w:color="auto"/>
      </w:divBdr>
    </w:div>
    <w:div w:id="954752473">
      <w:bodyDiv w:val="1"/>
      <w:marLeft w:val="0"/>
      <w:marRight w:val="0"/>
      <w:marTop w:val="0"/>
      <w:marBottom w:val="0"/>
      <w:divBdr>
        <w:top w:val="none" w:sz="0" w:space="0" w:color="auto"/>
        <w:left w:val="none" w:sz="0" w:space="0" w:color="auto"/>
        <w:bottom w:val="none" w:sz="0" w:space="0" w:color="auto"/>
        <w:right w:val="none" w:sz="0" w:space="0" w:color="auto"/>
      </w:divBdr>
    </w:div>
    <w:div w:id="970601056">
      <w:bodyDiv w:val="1"/>
      <w:marLeft w:val="0"/>
      <w:marRight w:val="0"/>
      <w:marTop w:val="0"/>
      <w:marBottom w:val="0"/>
      <w:divBdr>
        <w:top w:val="none" w:sz="0" w:space="0" w:color="auto"/>
        <w:left w:val="none" w:sz="0" w:space="0" w:color="auto"/>
        <w:bottom w:val="none" w:sz="0" w:space="0" w:color="auto"/>
        <w:right w:val="none" w:sz="0" w:space="0" w:color="auto"/>
      </w:divBdr>
    </w:div>
    <w:div w:id="1024360246">
      <w:bodyDiv w:val="1"/>
      <w:marLeft w:val="0"/>
      <w:marRight w:val="0"/>
      <w:marTop w:val="0"/>
      <w:marBottom w:val="0"/>
      <w:divBdr>
        <w:top w:val="none" w:sz="0" w:space="0" w:color="auto"/>
        <w:left w:val="none" w:sz="0" w:space="0" w:color="auto"/>
        <w:bottom w:val="none" w:sz="0" w:space="0" w:color="auto"/>
        <w:right w:val="none" w:sz="0" w:space="0" w:color="auto"/>
      </w:divBdr>
    </w:div>
    <w:div w:id="1097292266">
      <w:bodyDiv w:val="1"/>
      <w:marLeft w:val="0"/>
      <w:marRight w:val="0"/>
      <w:marTop w:val="0"/>
      <w:marBottom w:val="0"/>
      <w:divBdr>
        <w:top w:val="none" w:sz="0" w:space="0" w:color="auto"/>
        <w:left w:val="none" w:sz="0" w:space="0" w:color="auto"/>
        <w:bottom w:val="none" w:sz="0" w:space="0" w:color="auto"/>
        <w:right w:val="none" w:sz="0" w:space="0" w:color="auto"/>
      </w:divBdr>
    </w:div>
    <w:div w:id="1281380330">
      <w:bodyDiv w:val="1"/>
      <w:marLeft w:val="0"/>
      <w:marRight w:val="0"/>
      <w:marTop w:val="0"/>
      <w:marBottom w:val="0"/>
      <w:divBdr>
        <w:top w:val="none" w:sz="0" w:space="0" w:color="auto"/>
        <w:left w:val="none" w:sz="0" w:space="0" w:color="auto"/>
        <w:bottom w:val="none" w:sz="0" w:space="0" w:color="auto"/>
        <w:right w:val="none" w:sz="0" w:space="0" w:color="auto"/>
      </w:divBdr>
    </w:div>
    <w:div w:id="1323197745">
      <w:bodyDiv w:val="1"/>
      <w:marLeft w:val="0"/>
      <w:marRight w:val="0"/>
      <w:marTop w:val="0"/>
      <w:marBottom w:val="0"/>
      <w:divBdr>
        <w:top w:val="none" w:sz="0" w:space="0" w:color="auto"/>
        <w:left w:val="none" w:sz="0" w:space="0" w:color="auto"/>
        <w:bottom w:val="none" w:sz="0" w:space="0" w:color="auto"/>
        <w:right w:val="none" w:sz="0" w:space="0" w:color="auto"/>
      </w:divBdr>
    </w:div>
    <w:div w:id="1435832239">
      <w:bodyDiv w:val="1"/>
      <w:marLeft w:val="0"/>
      <w:marRight w:val="0"/>
      <w:marTop w:val="0"/>
      <w:marBottom w:val="0"/>
      <w:divBdr>
        <w:top w:val="none" w:sz="0" w:space="0" w:color="auto"/>
        <w:left w:val="none" w:sz="0" w:space="0" w:color="auto"/>
        <w:bottom w:val="none" w:sz="0" w:space="0" w:color="auto"/>
        <w:right w:val="none" w:sz="0" w:space="0" w:color="auto"/>
      </w:divBdr>
    </w:div>
    <w:div w:id="1490367718">
      <w:bodyDiv w:val="1"/>
      <w:marLeft w:val="0"/>
      <w:marRight w:val="0"/>
      <w:marTop w:val="0"/>
      <w:marBottom w:val="0"/>
      <w:divBdr>
        <w:top w:val="none" w:sz="0" w:space="0" w:color="auto"/>
        <w:left w:val="none" w:sz="0" w:space="0" w:color="auto"/>
        <w:bottom w:val="none" w:sz="0" w:space="0" w:color="auto"/>
        <w:right w:val="none" w:sz="0" w:space="0" w:color="auto"/>
      </w:divBdr>
    </w:div>
    <w:div w:id="1685742616">
      <w:bodyDiv w:val="1"/>
      <w:marLeft w:val="0"/>
      <w:marRight w:val="0"/>
      <w:marTop w:val="0"/>
      <w:marBottom w:val="0"/>
      <w:divBdr>
        <w:top w:val="none" w:sz="0" w:space="0" w:color="auto"/>
        <w:left w:val="none" w:sz="0" w:space="0" w:color="auto"/>
        <w:bottom w:val="none" w:sz="0" w:space="0" w:color="auto"/>
        <w:right w:val="none" w:sz="0" w:space="0" w:color="auto"/>
      </w:divBdr>
    </w:div>
    <w:div w:id="1730155865">
      <w:bodyDiv w:val="1"/>
      <w:marLeft w:val="0"/>
      <w:marRight w:val="0"/>
      <w:marTop w:val="0"/>
      <w:marBottom w:val="0"/>
      <w:divBdr>
        <w:top w:val="none" w:sz="0" w:space="0" w:color="auto"/>
        <w:left w:val="none" w:sz="0" w:space="0" w:color="auto"/>
        <w:bottom w:val="none" w:sz="0" w:space="0" w:color="auto"/>
        <w:right w:val="none" w:sz="0" w:space="0" w:color="auto"/>
      </w:divBdr>
    </w:div>
    <w:div w:id="1732000403">
      <w:bodyDiv w:val="1"/>
      <w:marLeft w:val="0"/>
      <w:marRight w:val="0"/>
      <w:marTop w:val="0"/>
      <w:marBottom w:val="0"/>
      <w:divBdr>
        <w:top w:val="none" w:sz="0" w:space="0" w:color="auto"/>
        <w:left w:val="none" w:sz="0" w:space="0" w:color="auto"/>
        <w:bottom w:val="none" w:sz="0" w:space="0" w:color="auto"/>
        <w:right w:val="none" w:sz="0" w:space="0" w:color="auto"/>
      </w:divBdr>
    </w:div>
    <w:div w:id="1791821428">
      <w:bodyDiv w:val="1"/>
      <w:marLeft w:val="0"/>
      <w:marRight w:val="0"/>
      <w:marTop w:val="0"/>
      <w:marBottom w:val="0"/>
      <w:divBdr>
        <w:top w:val="none" w:sz="0" w:space="0" w:color="auto"/>
        <w:left w:val="none" w:sz="0" w:space="0" w:color="auto"/>
        <w:bottom w:val="none" w:sz="0" w:space="0" w:color="auto"/>
        <w:right w:val="none" w:sz="0" w:space="0" w:color="auto"/>
      </w:divBdr>
    </w:div>
    <w:div w:id="1931309604">
      <w:bodyDiv w:val="1"/>
      <w:marLeft w:val="0"/>
      <w:marRight w:val="0"/>
      <w:marTop w:val="0"/>
      <w:marBottom w:val="0"/>
      <w:divBdr>
        <w:top w:val="none" w:sz="0" w:space="0" w:color="auto"/>
        <w:left w:val="none" w:sz="0" w:space="0" w:color="auto"/>
        <w:bottom w:val="none" w:sz="0" w:space="0" w:color="auto"/>
        <w:right w:val="none" w:sz="0" w:space="0" w:color="auto"/>
      </w:divBdr>
    </w:div>
    <w:div w:id="1999919303">
      <w:bodyDiv w:val="1"/>
      <w:marLeft w:val="0"/>
      <w:marRight w:val="0"/>
      <w:marTop w:val="0"/>
      <w:marBottom w:val="0"/>
      <w:divBdr>
        <w:top w:val="none" w:sz="0" w:space="0" w:color="auto"/>
        <w:left w:val="none" w:sz="0" w:space="0" w:color="auto"/>
        <w:bottom w:val="none" w:sz="0" w:space="0" w:color="auto"/>
        <w:right w:val="none" w:sz="0" w:space="0" w:color="auto"/>
      </w:divBdr>
    </w:div>
    <w:div w:id="211466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processual.tst.jus.br/consultaProcessual/consultaTstNumUnica.do?consulta=Consultar&amp;conscsjt=&amp;numeroTst=38&amp;digitoTst=86&amp;anoTst=2018&amp;orgaoTst=5&amp;tribunalTst=17&amp;varaTst=0000&amp;submit=Consultar" TargetMode="External"/><Relationship Id="rId13" Type="http://schemas.openxmlformats.org/officeDocument/2006/relationships/hyperlink" Target="https://consultaprocessual.tst.jus.br/consultaProcessual/consultaTstNumUnica.do?consulta=Consultar&amp;conscsjt=&amp;numeroTst=116&amp;digitoTst=23&amp;anoTst=2015&amp;orgaoTst=5&amp;tribunalTst=09&amp;varaTst=0513&amp;submit=Consultar" TargetMode="External"/><Relationship Id="rId18" Type="http://schemas.openxmlformats.org/officeDocument/2006/relationships/hyperlink" Target="https://consultaprocessual.tst.jus.br/consultaProcessual/consultaTstNumUnica.do?consulta=Consultar&amp;conscsjt=&amp;numeroTst=484&amp;digitoTst=76&amp;anoTst=2021&amp;orgaoTst=5&amp;tribunalTst=09&amp;varaTst=0010&amp;submit=Consultar" TargetMode="External"/><Relationship Id="rId26" Type="http://schemas.openxmlformats.org/officeDocument/2006/relationships/hyperlink" Target="http://www.tst.jus.br/push" TargetMode="External"/><Relationship Id="rId3" Type="http://schemas.microsoft.com/office/2007/relationships/stylesWithEffects" Target="stylesWithEffects.xml"/><Relationship Id="rId21" Type="http://schemas.openxmlformats.org/officeDocument/2006/relationships/hyperlink" Target="https://consultaprocessual.tst.jus.br/consultaProcessual/consultaTstNumUnica.do?consulta=Consultar&amp;conscsjt=&amp;numeroTst=547&amp;digitoTst=96&amp;anoTst=2020&amp;orgaoTst=5&amp;tribunalTst=05&amp;varaTst=0641" TargetMode="External"/><Relationship Id="rId7" Type="http://schemas.openxmlformats.org/officeDocument/2006/relationships/endnotes" Target="endnotes.xml"/><Relationship Id="rId12" Type="http://schemas.openxmlformats.org/officeDocument/2006/relationships/hyperlink" Target="https://consultaprocessual.tst.jus.br/consultaProcessual/consultaTstNumUnica.do?consulta=Consultar&amp;conscsjt=&amp;numeroTst=20649&amp;digitoTst=74&amp;anoTst=2017&amp;orgaoTst=5&amp;tribunalTst=04&amp;varaTst=0641&amp;submit=Consultar" TargetMode="External"/><Relationship Id="rId17" Type="http://schemas.openxmlformats.org/officeDocument/2006/relationships/hyperlink" Target="https://consultaprocessual.tst.jus.br/consultaProcessual/consultaTstNumUnica.do?consulta=Consultar&amp;conscsjt=&amp;numeroTst=1000634&amp;digitoTst=37&amp;anoTst=2019&amp;orgaoTst=5&amp;tribunalTst=02&amp;varaTst=0032&amp;submit=Consultar" TargetMode="External"/><Relationship Id="rId25" Type="http://schemas.openxmlformats.org/officeDocument/2006/relationships/hyperlink" Target="http://www.tst.jus.br/web/guest/informativo-tst" TargetMode="External"/><Relationship Id="rId2" Type="http://schemas.openxmlformats.org/officeDocument/2006/relationships/styles" Target="styles.xml"/><Relationship Id="rId16" Type="http://schemas.openxmlformats.org/officeDocument/2006/relationships/hyperlink" Target="https://consultaprocessual.tst.jus.br/consultaProcessual/consultaTstNumUnica.do?consulta=Consultar&amp;conscsjt=&amp;numeroTst=199&amp;digitoTst=57&amp;anoTst=2020&amp;orgaoTst=5&amp;tribunalTst=21&amp;varaTst=0019&amp;submit=Consultar" TargetMode="External"/><Relationship Id="rId20" Type="http://schemas.openxmlformats.org/officeDocument/2006/relationships/hyperlink" Target="https://consultaprocessual.tst.jus.br/consultaProcessual/consultaTstNumUnica.do?consulta=Consultar&amp;conscsjt=&amp;numeroTst=20153&amp;digitoTst=65&amp;anoTst=2018&amp;orgaoTst=5&amp;tribunalTst=04&amp;varaTst=0332&amp;submit=Consulta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processual.tst.jus.br/consultaProcessual/consultaTstNumUnica.do?consulta=Consultar&amp;conscsjt=&amp;numeroTst=1780&amp;digitoTst=42&amp;anoTst=2016&amp;orgaoTst=5&amp;tribunalTst=09&amp;varaTst=0000&amp;submit=Consultar" TargetMode="External"/><Relationship Id="rId24" Type="http://schemas.openxmlformats.org/officeDocument/2006/relationships/hyperlink" Target="mailto:cjur@tst.jus.b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nsultaprocessual.tst.jus.br/consultaProcessual/consultaTstNumUnica.do?consulta=Consultar&amp;conscsjt=&amp;numeroTst=372&amp;digitoTst=15&amp;anoTst=2018&amp;orgaoTst=5&amp;tribunalTst=09&amp;varaTst=0010" TargetMode="External"/><Relationship Id="rId23" Type="http://schemas.openxmlformats.org/officeDocument/2006/relationships/hyperlink" Target="https://consultaprocessual.tst.jus.br/consultaProcessual/consultaTstNumUnica.do?consulta=Consultar&amp;conscsjt=&amp;numeroTst=21243&amp;digitoTst=14&amp;anoTst=2017&amp;orgaoTst=5&amp;tribunalTst=04&amp;varaTst=0019&amp;submit=Consultar" TargetMode="External"/><Relationship Id="rId28" Type="http://schemas.openxmlformats.org/officeDocument/2006/relationships/footer" Target="footer1.xml"/><Relationship Id="rId10" Type="http://schemas.openxmlformats.org/officeDocument/2006/relationships/hyperlink" Target="https://consultaprocessual.tst.jus.br/consultaProcessual/consultaTstNumUnica.do?consulta=Consultar&amp;conscsjt=&amp;numeroTst=20117&amp;digitoTst=10&amp;anoTst=2022&amp;orgaoTst=5&amp;tribunalTst=04&amp;varaTst=0000" TargetMode="External"/><Relationship Id="rId19" Type="http://schemas.openxmlformats.org/officeDocument/2006/relationships/hyperlink" Target="https://consultaprocessual.tst.jus.br/consultaProcessual/consultaTstNumUnica.do?consulta=Consultar&amp;conscsjt=&amp;numeroTst=515&amp;digitoTst=16&amp;anoTst=2021&amp;orgaoTst=5&amp;tribunalTst=09&amp;varaTst=0069&amp;submit=Consulta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nsultaprocessual.tst.jus.br/consultaProcessual/consultaTstNumUnica.do?consulta=Consultar&amp;conscsjt=&amp;numeroTst=931&amp;digitoTst=78&amp;anoTst=2021&amp;orgaoTst=5&amp;tribunalTst=06&amp;varaTst=0000&amp;submit=Consultar" TargetMode="External"/><Relationship Id="rId14" Type="http://schemas.openxmlformats.org/officeDocument/2006/relationships/hyperlink" Target="https://consultaprocessual.tst.jus.br/consultaProcessual/consultaTstNumUnica.do?consulta=Consultar&amp;conscsjt=&amp;numeroTst=898&amp;digitoTst=73&amp;anoTst=2018&amp;orgaoTst=5&amp;tribunalTst=10&amp;varaTst=0003&amp;submit=Consultar" TargetMode="External"/><Relationship Id="rId22" Type="http://schemas.openxmlformats.org/officeDocument/2006/relationships/hyperlink" Target="https://consultaprocessual.tst.jus.br/consultaProcessual/consultaTstNumUnica.do?consulta=Consultar&amp;conscsjt=&amp;numeroTst=10135&amp;digitoTst=48&amp;anoTst=2021&amp;orgaoTst=5&amp;tribunalTst=18&amp;varaTst=0054&amp;submit=Consultar"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04493-7D89-455A-A7DF-1ADAC39AD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17</Pages>
  <Words>8624</Words>
  <Characters>46570</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dc:creator>
  <cp:lastModifiedBy>Andressa Santos Gomes Leonel</cp:lastModifiedBy>
  <cp:revision>37</cp:revision>
  <dcterms:created xsi:type="dcterms:W3CDTF">2023-04-18T15:26:00Z</dcterms:created>
  <dcterms:modified xsi:type="dcterms:W3CDTF">2024-05-15T18:35:00Z</dcterms:modified>
</cp:coreProperties>
</file>