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643B59" w14:paraId="19F29D7E" w14:textId="77777777" w:rsidTr="00E3622E">
        <w:trPr>
          <w:trHeight w:val="537"/>
        </w:trPr>
        <w:tc>
          <w:tcPr>
            <w:tcW w:w="9538" w:type="dxa"/>
            <w:tcBorders>
              <w:top w:val="single" w:sz="4" w:space="0" w:color="auto"/>
            </w:tcBorders>
          </w:tcPr>
          <w:p w14:paraId="36C0B528" w14:textId="529C3CF0" w:rsidR="008D5CA9" w:rsidRPr="00643B59" w:rsidRDefault="00C26DFB" w:rsidP="00DC50EB">
            <w:pPr>
              <w:pStyle w:val="Cabealho"/>
              <w:tabs>
                <w:tab w:val="clear" w:pos="4419"/>
                <w:tab w:val="clear" w:pos="8838"/>
              </w:tabs>
              <w:jc w:val="both"/>
              <w:rPr>
                <w:rFonts w:ascii="Open Sans" w:hAnsi="Open Sans" w:cs="Open Sans"/>
              </w:rPr>
            </w:pPr>
            <w:r w:rsidRPr="00643B59">
              <w:rPr>
                <w:rFonts w:ascii="Open Sans" w:hAnsi="Open Sans" w:cs="Open Sans"/>
              </w:rPr>
              <w:t>Este Informativo, elaborado a partir de notas tomadas nas sessões de julgamento, contém resumos não</w:t>
            </w:r>
            <w:r w:rsidR="00DC50EB" w:rsidRPr="00643B59">
              <w:rPr>
                <w:rFonts w:ascii="Open Sans" w:hAnsi="Open Sans" w:cs="Open Sans"/>
              </w:rPr>
              <w:t xml:space="preserve"> </w:t>
            </w:r>
            <w:r w:rsidRPr="00643B59">
              <w:rPr>
                <w:rFonts w:ascii="Open Sans" w:hAnsi="Open Sans" w:cs="Open Sans"/>
              </w:rPr>
              <w:t>oficiais de decisões proferidas pelo Tribunal. A fidelidade dos resumos ao conteúdo efetivo das decisões, embora seja uma das metas perseguidas neste trabalho, somente poderá ser aferida após a sua publicação no Diário</w:t>
            </w:r>
            <w:r w:rsidR="00980944" w:rsidRPr="00643B59">
              <w:rPr>
                <w:rFonts w:ascii="Open Sans" w:hAnsi="Open Sans" w:cs="Open Sans"/>
              </w:rPr>
              <w:t xml:space="preserve"> Eletrônico </w:t>
            </w:r>
            <w:r w:rsidRPr="00643B59">
              <w:rPr>
                <w:rFonts w:ascii="Open Sans" w:hAnsi="Open Sans" w:cs="Open Sans"/>
              </w:rPr>
              <w:t>da Justiça</w:t>
            </w:r>
            <w:r w:rsidR="00980944" w:rsidRPr="00643B59">
              <w:rPr>
                <w:rFonts w:ascii="Open Sans" w:hAnsi="Open Sans" w:cs="Open Sans"/>
              </w:rPr>
              <w:t xml:space="preserve"> do Trabalho</w:t>
            </w:r>
            <w:r w:rsidRPr="00643B59">
              <w:rPr>
                <w:rFonts w:ascii="Open Sans" w:hAnsi="Open Sans" w:cs="Open Sans"/>
              </w:rPr>
              <w:t>.</w:t>
            </w:r>
          </w:p>
        </w:tc>
      </w:tr>
    </w:tbl>
    <w:p w14:paraId="3AA32B26" w14:textId="07BBE722" w:rsidR="00B0219E" w:rsidRPr="00643B59" w:rsidRDefault="004658C9" w:rsidP="007F7AFC">
      <w:pPr>
        <w:spacing w:line="360" w:lineRule="auto"/>
        <w:jc w:val="both"/>
        <w:rPr>
          <w:rFonts w:ascii="Open Sans" w:hAnsi="Open Sans" w:cs="Open Sans"/>
          <w:sz w:val="24"/>
          <w:szCs w:val="24"/>
        </w:rPr>
      </w:pPr>
      <w:r w:rsidRPr="00643B59">
        <w:rPr>
          <w:rFonts w:ascii="Open Sans" w:hAnsi="Open Sans" w:cs="Open Sans"/>
          <w:sz w:val="24"/>
          <w:szCs w:val="24"/>
        </w:rPr>
        <w:tab/>
      </w:r>
    </w:p>
    <w:p w14:paraId="5771E889" w14:textId="14C8BD83" w:rsidR="002973E0" w:rsidRPr="00643B59" w:rsidRDefault="002973E0" w:rsidP="00C5761D">
      <w:pPr>
        <w:pStyle w:val="Corpo"/>
        <w:pBdr>
          <w:top w:val="single" w:sz="4" w:space="1" w:color="auto"/>
          <w:left w:val="single" w:sz="4" w:space="4" w:color="auto"/>
          <w:bottom w:val="single" w:sz="4" w:space="1" w:color="auto"/>
          <w:right w:val="single" w:sz="4" w:space="1" w:color="auto"/>
        </w:pBdr>
        <w:shd w:val="solid" w:color="B8CCE4" w:fill="B8CCE4"/>
        <w:tabs>
          <w:tab w:val="center" w:pos="4819"/>
          <w:tab w:val="left" w:pos="6759"/>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SUBSEÇÃO I</w:t>
      </w:r>
      <w:r>
        <w:rPr>
          <w:rFonts w:ascii="Open Sans" w:hAnsi="Open Sans" w:cs="Open Sans"/>
          <w:b/>
          <w:bCs/>
          <w:iCs/>
          <w:sz w:val="28"/>
          <w:szCs w:val="28"/>
          <w:lang w:val="pt-BR"/>
        </w:rPr>
        <w:t xml:space="preserve"> </w:t>
      </w:r>
      <w:r w:rsidRPr="00643B59">
        <w:rPr>
          <w:rFonts w:ascii="Open Sans" w:hAnsi="Open Sans" w:cs="Open Sans"/>
          <w:b/>
          <w:bCs/>
          <w:iCs/>
          <w:sz w:val="28"/>
          <w:szCs w:val="28"/>
          <w:lang w:val="pt-BR"/>
        </w:rPr>
        <w:t>ESPECIALIZADA EM DISSÍDIOS INDIVIDUAIS</w:t>
      </w:r>
    </w:p>
    <w:p w14:paraId="464462D2" w14:textId="77777777" w:rsidR="00C36CDA" w:rsidRPr="00C36CDA" w:rsidRDefault="00C36CDA" w:rsidP="00C36CDA">
      <w:pPr>
        <w:autoSpaceDE/>
        <w:autoSpaceDN/>
        <w:jc w:val="both"/>
        <w:rPr>
          <w:rFonts w:ascii="Open Sans" w:eastAsiaTheme="minorHAnsi" w:hAnsi="Open Sans" w:cs="Open Sans"/>
          <w:sz w:val="24"/>
          <w:szCs w:val="24"/>
          <w:lang w:eastAsia="en-US"/>
        </w:rPr>
      </w:pPr>
    </w:p>
    <w:p w14:paraId="588EAAD9" w14:textId="77777777" w:rsidR="0081352D" w:rsidRPr="00C36CDA" w:rsidRDefault="0081352D" w:rsidP="0081352D">
      <w:pPr>
        <w:autoSpaceDE/>
        <w:autoSpaceDN/>
        <w:ind w:right="510"/>
        <w:jc w:val="both"/>
        <w:rPr>
          <w:rFonts w:ascii="Open Sans" w:hAnsi="Open Sans" w:cs="Open Sans"/>
          <w:b/>
          <w:i/>
          <w:strike/>
          <w:sz w:val="24"/>
          <w:szCs w:val="24"/>
          <w:lang w:eastAsia="en-US"/>
        </w:rPr>
      </w:pPr>
      <w:r w:rsidRPr="00C36CDA">
        <w:rPr>
          <w:rFonts w:ascii="Open Sans" w:hAnsi="Open Sans" w:cs="Open Sans"/>
          <w:b/>
          <w:i/>
          <w:sz w:val="24"/>
          <w:szCs w:val="24"/>
          <w:lang w:eastAsia="en-US"/>
        </w:rPr>
        <w:t>Incidente de Recursos Repetitivos. Tema nº 15. Empresa Brasileira de Correios e Telégrafos - ECT. Adicional de Atividade de Distribuição e/ou Coleta Externa – AADC (PCCS/2008). Percepção cumulativa com o Adicional de Periculosidade previsto no § 4º do art. 193 da CLT. Possibilidade. Parcelas com fatos geradores distintos.</w:t>
      </w:r>
      <w:r w:rsidRPr="00C36CDA">
        <w:rPr>
          <w:rFonts w:ascii="Open Sans" w:eastAsia="Calibri" w:hAnsi="Open Sans" w:cs="Open Sans"/>
          <w:sz w:val="24"/>
          <w:szCs w:val="24"/>
          <w:lang w:eastAsia="en-US"/>
        </w:rPr>
        <w:t xml:space="preserve"> </w:t>
      </w:r>
    </w:p>
    <w:p w14:paraId="743D3307" w14:textId="4EE090BB" w:rsidR="0081352D" w:rsidRPr="00C36CDA" w:rsidRDefault="0081352D" w:rsidP="0081352D">
      <w:pPr>
        <w:autoSpaceDE/>
        <w:autoSpaceDN/>
        <w:ind w:right="510"/>
        <w:jc w:val="both"/>
        <w:rPr>
          <w:rFonts w:ascii="Open Sans" w:eastAsia="Calibri" w:hAnsi="Open Sans" w:cs="Open Sans"/>
          <w:sz w:val="24"/>
          <w:szCs w:val="24"/>
          <w:lang w:eastAsia="en-US"/>
        </w:rPr>
      </w:pPr>
      <w:r w:rsidRPr="00C36CDA">
        <w:rPr>
          <w:rFonts w:ascii="Open Sans" w:hAnsi="Open Sans" w:cs="Open Sans"/>
          <w:sz w:val="24"/>
          <w:szCs w:val="24"/>
          <w:lang w:eastAsia="en-US"/>
        </w:rPr>
        <w:t>A SBDI-I, em sua composição plena, analisando a questão relativa à possibilidade de cumulação do Adicional de Atividade de Distribuição e/ou Coleta Externa – AADC, instituído pela ECT no PCCS de 2008, com o Adicional de Periculosidade, previsto § 4º do art. 193 da CLT, aos empregados</w:t>
      </w:r>
      <w:r w:rsidRPr="00C36CDA">
        <w:rPr>
          <w:rFonts w:ascii="Open Sans" w:eastAsia="Calibri" w:hAnsi="Open Sans" w:cs="Open Sans"/>
          <w:sz w:val="24"/>
          <w:szCs w:val="24"/>
          <w:lang w:eastAsia="en-US"/>
        </w:rPr>
        <w:t xml:space="preserve"> </w:t>
      </w:r>
      <w:r w:rsidRPr="00C36CDA">
        <w:rPr>
          <w:rFonts w:ascii="Open Sans" w:hAnsi="Open Sans" w:cs="Open Sans"/>
          <w:sz w:val="24"/>
          <w:szCs w:val="24"/>
          <w:lang w:eastAsia="en-US"/>
        </w:rPr>
        <w:t xml:space="preserve">que desempenham a função de carteiro motorizado (Função Motorizada ‘M’ e ‘MV’), utilizando-se de motocicletas, decidiu, por maioria, sem modulação, aprovar a seguinte tese jurídica para o Tema Repetitivo nº 15: “Diante das naturezas jurídicas diversas do Adicional de Atividade de Distribuição e/ou Coleta Externa – AADC previsto no PCCS/2008 da ECT e do Adicional de Periculosidade estatuído pelo § 4° do art. 193 da CLT, define-se que, para os empregados da ECT que se enquadram nas hipóteses de pagamento dos referidos adicionais, o AADC e o adicional de periculosidade, percebido por carteiro motorizado que faz uso de motocicleta, podem ser recebidos cumulativamente”. Vencidos os Ministros Aloysio Corrêa da Veiga, Guilherme Augusto Caputo Bastos, Breno Medeiros, Alexandre Luiz Ramos e a Ministra Maria Cristina </w:t>
      </w:r>
      <w:proofErr w:type="spellStart"/>
      <w:r w:rsidRPr="00C36CDA">
        <w:rPr>
          <w:rFonts w:ascii="Open Sans" w:hAnsi="Open Sans" w:cs="Open Sans"/>
          <w:sz w:val="24"/>
          <w:szCs w:val="24"/>
          <w:lang w:eastAsia="en-US"/>
        </w:rPr>
        <w:t>Irigoyen</w:t>
      </w:r>
      <w:proofErr w:type="spellEnd"/>
      <w:r w:rsidRPr="00C36CDA">
        <w:rPr>
          <w:rFonts w:ascii="Open Sans" w:hAnsi="Open Sans" w:cs="Open Sans"/>
          <w:sz w:val="24"/>
          <w:szCs w:val="24"/>
          <w:lang w:eastAsia="en-US"/>
        </w:rPr>
        <w:t xml:space="preserve"> </w:t>
      </w:r>
      <w:proofErr w:type="spellStart"/>
      <w:r w:rsidRPr="00C36CDA">
        <w:rPr>
          <w:rFonts w:ascii="Open Sans" w:hAnsi="Open Sans" w:cs="Open Sans"/>
          <w:sz w:val="24"/>
          <w:szCs w:val="24"/>
          <w:lang w:eastAsia="en-US"/>
        </w:rPr>
        <w:t>Peduzzi</w:t>
      </w:r>
      <w:proofErr w:type="spellEnd"/>
      <w:r w:rsidRPr="00C36CDA">
        <w:rPr>
          <w:rFonts w:ascii="Open Sans" w:hAnsi="Open Sans" w:cs="Open Sans"/>
          <w:sz w:val="24"/>
          <w:szCs w:val="24"/>
          <w:lang w:eastAsia="en-US"/>
        </w:rPr>
        <w:t xml:space="preserve">. </w:t>
      </w:r>
      <w:hyperlink r:id="rId9" w:history="1">
        <w:r w:rsidRPr="00C36CDA">
          <w:rPr>
            <w:rFonts w:ascii="Open Sans" w:eastAsia="Calibri" w:hAnsi="Open Sans" w:cs="Open Sans"/>
            <w:color w:val="0000FF" w:themeColor="hyperlink"/>
            <w:sz w:val="24"/>
            <w:szCs w:val="24"/>
            <w:u w:val="single"/>
            <w:lang w:eastAsia="en-US"/>
          </w:rPr>
          <w:t>TST-IRR-1757-68.2015.5.06.0371</w:t>
        </w:r>
      </w:hyperlink>
      <w:r w:rsidRPr="00C36CDA">
        <w:rPr>
          <w:rFonts w:ascii="Open Sans" w:eastAsia="Calibri" w:hAnsi="Open Sans" w:cs="Open Sans"/>
          <w:sz w:val="24"/>
          <w:szCs w:val="24"/>
          <w:u w:val="single"/>
          <w:lang w:eastAsia="en-US"/>
        </w:rPr>
        <w:t xml:space="preserve">, SBDI-I, Rel. Min. Alberto Luiz </w:t>
      </w:r>
      <w:proofErr w:type="spellStart"/>
      <w:r w:rsidRPr="00C36CDA">
        <w:rPr>
          <w:rFonts w:ascii="Open Sans" w:eastAsia="Calibri" w:hAnsi="Open Sans" w:cs="Open Sans"/>
          <w:sz w:val="24"/>
          <w:szCs w:val="24"/>
          <w:u w:val="single"/>
          <w:lang w:eastAsia="en-US"/>
        </w:rPr>
        <w:t>Bresciani</w:t>
      </w:r>
      <w:proofErr w:type="spellEnd"/>
      <w:r w:rsidRPr="00C36CDA">
        <w:rPr>
          <w:rFonts w:ascii="Open Sans" w:eastAsia="Calibri" w:hAnsi="Open Sans" w:cs="Open Sans"/>
          <w:sz w:val="24"/>
          <w:szCs w:val="24"/>
          <w:u w:val="single"/>
          <w:lang w:eastAsia="en-US"/>
        </w:rPr>
        <w:t xml:space="preserve"> de </w:t>
      </w:r>
      <w:proofErr w:type="spellStart"/>
      <w:r w:rsidRPr="00C36CDA">
        <w:rPr>
          <w:rFonts w:ascii="Open Sans" w:eastAsia="Calibri" w:hAnsi="Open Sans" w:cs="Open Sans"/>
          <w:sz w:val="24"/>
          <w:szCs w:val="24"/>
          <w:u w:val="single"/>
          <w:lang w:eastAsia="en-US"/>
        </w:rPr>
        <w:t>Fontan</w:t>
      </w:r>
      <w:proofErr w:type="spellEnd"/>
      <w:r w:rsidRPr="00C36CDA">
        <w:rPr>
          <w:rFonts w:ascii="Open Sans" w:eastAsia="Calibri" w:hAnsi="Open Sans" w:cs="Open Sans"/>
          <w:sz w:val="24"/>
          <w:szCs w:val="24"/>
          <w:u w:val="single"/>
          <w:lang w:eastAsia="en-US"/>
        </w:rPr>
        <w:t xml:space="preserve"> Pereira, 14/10/2021</w:t>
      </w:r>
      <w:r w:rsidRPr="00C36CDA">
        <w:rPr>
          <w:rFonts w:ascii="Open Sans" w:eastAsia="Calibri" w:hAnsi="Open Sans" w:cs="Open Sans"/>
          <w:sz w:val="24"/>
          <w:szCs w:val="24"/>
          <w:lang w:eastAsia="en-US"/>
        </w:rPr>
        <w:t>.</w:t>
      </w:r>
    </w:p>
    <w:p w14:paraId="6ADB7878" w14:textId="77777777" w:rsidR="0081352D" w:rsidRPr="00C36CDA" w:rsidRDefault="0081352D" w:rsidP="0081352D">
      <w:pPr>
        <w:autoSpaceDE/>
        <w:autoSpaceDN/>
        <w:ind w:right="510"/>
        <w:jc w:val="both"/>
        <w:rPr>
          <w:rFonts w:ascii="Open Sans" w:eastAsiaTheme="minorHAnsi" w:hAnsi="Open Sans" w:cs="Open Sans"/>
          <w:sz w:val="24"/>
          <w:szCs w:val="24"/>
          <w:lang w:eastAsia="en-US"/>
        </w:rPr>
      </w:pPr>
    </w:p>
    <w:p w14:paraId="00A98736" w14:textId="77777777" w:rsidR="0081352D" w:rsidRPr="00C36CDA" w:rsidRDefault="0081352D" w:rsidP="0081352D">
      <w:pPr>
        <w:ind w:right="510"/>
        <w:jc w:val="both"/>
        <w:rPr>
          <w:rFonts w:ascii="Open Sans" w:hAnsi="Open Sans" w:cs="Open Sans"/>
          <w:b/>
          <w:i/>
          <w:sz w:val="24"/>
          <w:szCs w:val="24"/>
        </w:rPr>
      </w:pPr>
      <w:r w:rsidRPr="00C36CDA">
        <w:rPr>
          <w:rFonts w:ascii="Open Sans" w:hAnsi="Open Sans" w:cs="Open Sans"/>
          <w:b/>
          <w:i/>
          <w:sz w:val="24"/>
          <w:szCs w:val="24"/>
        </w:rPr>
        <w:t xml:space="preserve">Incidente de Recursos Repetitivos. Tema nº 16. Adicional de Periculosidade. Artigo 193, inciso II, da CLT. Fundação Casa. Agente de Apoio Socioeducativo. Atividades e Operações Perigosas. Anexo </w:t>
      </w:r>
      <w:proofErr w:type="gramStart"/>
      <w:r w:rsidRPr="00C36CDA">
        <w:rPr>
          <w:rFonts w:ascii="Open Sans" w:hAnsi="Open Sans" w:cs="Open Sans"/>
          <w:b/>
          <w:i/>
          <w:sz w:val="24"/>
          <w:szCs w:val="24"/>
        </w:rPr>
        <w:t>3</w:t>
      </w:r>
      <w:proofErr w:type="gramEnd"/>
      <w:r w:rsidRPr="00C36CDA">
        <w:rPr>
          <w:rFonts w:ascii="Open Sans" w:hAnsi="Open Sans" w:cs="Open Sans"/>
          <w:b/>
          <w:i/>
          <w:sz w:val="24"/>
          <w:szCs w:val="24"/>
        </w:rPr>
        <w:t xml:space="preserve"> da NR 16 (Portaria 1.885/2013 do Ministério do Trabalho).</w:t>
      </w:r>
    </w:p>
    <w:p w14:paraId="02B4E096" w14:textId="77777777" w:rsidR="0081352D" w:rsidRPr="00C36CDA" w:rsidRDefault="0081352D" w:rsidP="0081352D">
      <w:pPr>
        <w:ind w:right="510"/>
        <w:jc w:val="both"/>
        <w:rPr>
          <w:rFonts w:ascii="Open Sans" w:hAnsi="Open Sans" w:cs="Open Sans"/>
          <w:b/>
          <w:i/>
          <w:sz w:val="24"/>
          <w:szCs w:val="24"/>
        </w:rPr>
      </w:pPr>
      <w:r w:rsidRPr="00C36CDA">
        <w:rPr>
          <w:rFonts w:ascii="Open Sans" w:hAnsi="Open Sans" w:cs="Open Sans"/>
          <w:sz w:val="24"/>
          <w:szCs w:val="24"/>
        </w:rPr>
        <w:lastRenderedPageBreak/>
        <w:t xml:space="preserve">A SBDI-I, em sua composição plena, analisando a questão relativa à percepção do adicional de periculosidade pelo Agente de Apoio Socioeducativo, decidiu, por maioria, aprovar, sem modulação, as seguintes teses jurídicas para o Tema Repetitivo nº 16: “I. O Agente de Apoio Socioeducativo (nomenclatura que, a partir do Decreto nº 54.873 do Governo do Estado de São Paulo, de 06.10.2009, abarca os antigos cargos de Agente de Apoio Técnico e de Agente de Segurança) faz jus à percepção de adicional de periculosidade, considerado o exercício de atividades e operações perigosas, que implicam risco acentuado em virtude de exposição permanente a violência física no desempenho das atribuições profissionais de segurança pessoal e patrimonial em fundação pública estadual. II. Os efeitos pecuniários decorrentes do reconhecimento do direito do Agente de Apoio Socioeducativo ao adicional de periculosidade operam-se a partir da regulamentação do art. 193, II, da CLT em 03.12.2013 – data da entrada em vigor da Portaria nº 1.885/2013 do Ministério do Trabalho, que aprovou o Anexo </w:t>
      </w:r>
      <w:proofErr w:type="gramStart"/>
      <w:r w:rsidRPr="00C36CDA">
        <w:rPr>
          <w:rFonts w:ascii="Open Sans" w:hAnsi="Open Sans" w:cs="Open Sans"/>
          <w:sz w:val="24"/>
          <w:szCs w:val="24"/>
        </w:rPr>
        <w:t>3</w:t>
      </w:r>
      <w:proofErr w:type="gramEnd"/>
      <w:r w:rsidRPr="00C36CDA">
        <w:rPr>
          <w:rFonts w:ascii="Open Sans" w:hAnsi="Open Sans" w:cs="Open Sans"/>
          <w:sz w:val="24"/>
          <w:szCs w:val="24"/>
        </w:rPr>
        <w:t xml:space="preserve"> da NR-16”. Vencidos os Ministros Aloysio Corrêa da Veiga, Guilherme Augusto Caputo Bastos e Alexandre Luiz Ramos. </w:t>
      </w:r>
      <w:hyperlink r:id="rId10" w:history="1">
        <w:r w:rsidRPr="00C36CDA">
          <w:rPr>
            <w:rFonts w:ascii="Open Sans" w:hAnsi="Open Sans" w:cs="Open Sans"/>
            <w:color w:val="0000FF"/>
            <w:sz w:val="24"/>
            <w:szCs w:val="24"/>
            <w:u w:val="single"/>
          </w:rPr>
          <w:t>TST-IRR-1001796-60.2014.5.02.0382</w:t>
        </w:r>
      </w:hyperlink>
      <w:r w:rsidRPr="00C36CDA">
        <w:rPr>
          <w:rFonts w:ascii="Open Sans" w:hAnsi="Open Sans" w:cs="Open Sans"/>
          <w:sz w:val="24"/>
          <w:szCs w:val="24"/>
          <w:u w:val="single"/>
        </w:rPr>
        <w:t xml:space="preserve">, SBDI-I, rel. Min. Hugo Carlos </w:t>
      </w:r>
      <w:proofErr w:type="spellStart"/>
      <w:r w:rsidRPr="00C36CDA">
        <w:rPr>
          <w:rFonts w:ascii="Open Sans" w:hAnsi="Open Sans" w:cs="Open Sans"/>
          <w:sz w:val="24"/>
          <w:szCs w:val="24"/>
          <w:u w:val="single"/>
        </w:rPr>
        <w:t>Scheuermann</w:t>
      </w:r>
      <w:proofErr w:type="spellEnd"/>
      <w:r w:rsidRPr="00C36CDA">
        <w:rPr>
          <w:rFonts w:ascii="Open Sans" w:hAnsi="Open Sans" w:cs="Open Sans"/>
          <w:sz w:val="24"/>
          <w:szCs w:val="24"/>
          <w:u w:val="single"/>
        </w:rPr>
        <w:t>, 14/10/2021.</w:t>
      </w:r>
    </w:p>
    <w:p w14:paraId="676CEB60" w14:textId="77777777" w:rsidR="0081352D" w:rsidRDefault="0081352D" w:rsidP="00C5761D">
      <w:pPr>
        <w:autoSpaceDE/>
        <w:autoSpaceDN/>
        <w:ind w:right="510"/>
        <w:jc w:val="both"/>
        <w:rPr>
          <w:rFonts w:ascii="Open Sans" w:eastAsiaTheme="minorHAnsi" w:hAnsi="Open Sans" w:cs="Open Sans"/>
          <w:b/>
          <w:i/>
          <w:sz w:val="24"/>
          <w:szCs w:val="24"/>
          <w:lang w:eastAsia="en-US"/>
        </w:rPr>
      </w:pPr>
    </w:p>
    <w:p w14:paraId="511B082E" w14:textId="77777777" w:rsidR="00C36CDA" w:rsidRPr="00C36CDA" w:rsidRDefault="00C36CDA" w:rsidP="00C5761D">
      <w:pPr>
        <w:autoSpaceDE/>
        <w:autoSpaceDN/>
        <w:ind w:right="510"/>
        <w:jc w:val="both"/>
        <w:rPr>
          <w:rFonts w:ascii="Open Sans" w:eastAsiaTheme="minorHAnsi" w:hAnsi="Open Sans" w:cs="Open Sans"/>
          <w:b/>
          <w:i/>
          <w:sz w:val="24"/>
          <w:szCs w:val="24"/>
          <w:lang w:eastAsia="en-US"/>
        </w:rPr>
      </w:pPr>
      <w:r w:rsidRPr="00C36CDA">
        <w:rPr>
          <w:rFonts w:ascii="Open Sans" w:eastAsiaTheme="minorHAnsi" w:hAnsi="Open Sans" w:cs="Open Sans"/>
          <w:b/>
          <w:i/>
          <w:sz w:val="24"/>
          <w:szCs w:val="24"/>
          <w:lang w:eastAsia="en-US"/>
        </w:rPr>
        <w:t xml:space="preserve">Embargos. Atleta profissional. Direito de imagem. Configuração de fraude. Reconhecimento da natureza salarial da parcela. </w:t>
      </w:r>
      <w:proofErr w:type="spellStart"/>
      <w:r w:rsidRPr="00C36CDA">
        <w:rPr>
          <w:rFonts w:ascii="Open Sans" w:eastAsiaTheme="minorHAnsi" w:hAnsi="Open Sans" w:cs="Open Sans"/>
          <w:b/>
          <w:i/>
          <w:sz w:val="24"/>
          <w:szCs w:val="24"/>
          <w:lang w:eastAsia="en-US"/>
        </w:rPr>
        <w:t>Arts</w:t>
      </w:r>
      <w:proofErr w:type="spellEnd"/>
      <w:r w:rsidRPr="00C36CDA">
        <w:rPr>
          <w:rFonts w:ascii="Open Sans" w:eastAsiaTheme="minorHAnsi" w:hAnsi="Open Sans" w:cs="Open Sans"/>
          <w:b/>
          <w:i/>
          <w:sz w:val="24"/>
          <w:szCs w:val="24"/>
          <w:lang w:eastAsia="en-US"/>
        </w:rPr>
        <w:t>. 87-A da Lei n.º 9.615/1998 e 9º da CLT.</w:t>
      </w:r>
    </w:p>
    <w:p w14:paraId="1515BFE1" w14:textId="77777777" w:rsidR="00C36CDA" w:rsidRPr="00C36CDA" w:rsidRDefault="00C36CDA" w:rsidP="00C5761D">
      <w:pPr>
        <w:autoSpaceDE/>
        <w:autoSpaceDN/>
        <w:ind w:right="510"/>
        <w:jc w:val="both"/>
        <w:rPr>
          <w:rFonts w:ascii="Open Sans" w:hAnsi="Open Sans" w:cs="Open Sans"/>
          <w:sz w:val="24"/>
          <w:szCs w:val="24"/>
          <w:u w:val="single"/>
          <w:lang w:eastAsia="zh-CN"/>
        </w:rPr>
      </w:pPr>
      <w:r w:rsidRPr="00C36CDA">
        <w:rPr>
          <w:rFonts w:ascii="Open Sans" w:eastAsiaTheme="minorHAnsi" w:hAnsi="Open Sans" w:cs="Open Sans"/>
          <w:sz w:val="24"/>
          <w:szCs w:val="24"/>
          <w:lang w:eastAsia="en-US"/>
        </w:rPr>
        <w:t xml:space="preserve">Tem prevalecido, no âmbito do TST, o entendimento de que a desvinculação do pagamento efetuado pela agremiação desportiva a título de cessão do direito imaterial do atleta profissional da efetiva exploração de sua imagem desnatura o objeto do contrato civil celebrado sob o pálio do artigo 87-A da Lei n.º 9.615/1998, introduzido pela Lei nº 13.155/2015, atraindo, assim, o reconhecimento da natureza salarial das parcelas recebidas sob essa rubrica, por aplicação da norma insculpida no artigo 9º da CLT. Conquanto não se aplique aos contratos de trabalho desportivos firmados anteriormente à sua vigência (caso dos autos, em que o contrato de trabalho extinguiu-se em 31/12/2014), a norma prevista no parágrafo único do artigo 87-A da Lei n.º 9.615/1998 fixou um teto para o percentual pago a título de cessão do direito de imagem, tendo por base a remuneração total devida ao atleta profissional (40%), com claro intuito de emprestar maior transparência à contratação e coibir práticas fraudulentas perpetradas em violação à legislação trabalhista e previdenciária no âmbito desportivo. Assim, ao invés de endossar a pretensão deduzida pelo reclamado, inovação legal milita em seu desfavor, na medida em que apenas explicita, de forma objetiva, vedação já existente, decorrente das disposições do artigo 9º da CLT. Na presente hipótese, o Tribunal de origem, com base em elementos concretos extraídos do substrato fático-probatório dos autos, reputou configurada a conduta fraudulenta perpetrada pela </w:t>
      </w:r>
      <w:r w:rsidRPr="00C36CDA">
        <w:rPr>
          <w:rFonts w:ascii="Open Sans" w:eastAsiaTheme="minorHAnsi" w:hAnsi="Open Sans" w:cs="Open Sans"/>
          <w:sz w:val="24"/>
          <w:szCs w:val="24"/>
          <w:lang w:eastAsia="en-US"/>
        </w:rPr>
        <w:lastRenderedPageBreak/>
        <w:t xml:space="preserve">agremiação desportiva que, a pretexto de retribuição pecuniária ajustada no contrato civil de cessão do direito de imagem do atleta profissional, em verdade remunerava o contrato de trabalho desportivo, sendo imperioso reconhecer a natureza jurídica salarial dessa verba. Sob esses fundamentos a SBDI-I, por unanimidade, conheceu dos Embargos, por divergência jurisprudencial, e, no mérito, por maioria, deu-lhes provimento para restabelecer o acórdão </w:t>
      </w:r>
      <w:proofErr w:type="gramStart"/>
      <w:r w:rsidRPr="00C36CDA">
        <w:rPr>
          <w:rFonts w:ascii="Open Sans" w:eastAsiaTheme="minorHAnsi" w:hAnsi="Open Sans" w:cs="Open Sans"/>
          <w:sz w:val="24"/>
          <w:szCs w:val="24"/>
          <w:lang w:eastAsia="en-US"/>
        </w:rPr>
        <w:t>prolatado pelo Tribunal Regional, vencidos</w:t>
      </w:r>
      <w:proofErr w:type="gramEnd"/>
      <w:r w:rsidRPr="00C36CDA">
        <w:rPr>
          <w:rFonts w:ascii="Open Sans" w:eastAsiaTheme="minorHAnsi" w:hAnsi="Open Sans" w:cs="Open Sans"/>
          <w:sz w:val="24"/>
          <w:szCs w:val="24"/>
          <w:lang w:eastAsia="en-US"/>
        </w:rPr>
        <w:t xml:space="preserve"> os Ministros Guilherme Augusto Caputo Bastos, Breno Medeiros e Alexandre Luiz Ramos e as Ministras Dora Maria da Costa e Maria Cristina </w:t>
      </w:r>
      <w:proofErr w:type="spellStart"/>
      <w:r w:rsidRPr="00C36CDA">
        <w:rPr>
          <w:rFonts w:ascii="Open Sans" w:eastAsiaTheme="minorHAnsi" w:hAnsi="Open Sans" w:cs="Open Sans"/>
          <w:sz w:val="24"/>
          <w:szCs w:val="24"/>
          <w:lang w:eastAsia="en-US"/>
        </w:rPr>
        <w:t>Irigoyen</w:t>
      </w:r>
      <w:proofErr w:type="spellEnd"/>
      <w:r w:rsidRPr="00C36CDA">
        <w:rPr>
          <w:rFonts w:ascii="Open Sans" w:eastAsiaTheme="minorHAnsi" w:hAnsi="Open Sans" w:cs="Open Sans"/>
          <w:sz w:val="24"/>
          <w:szCs w:val="24"/>
          <w:lang w:eastAsia="en-US"/>
        </w:rPr>
        <w:t xml:space="preserve"> </w:t>
      </w:r>
      <w:proofErr w:type="spellStart"/>
      <w:r w:rsidRPr="00C36CDA">
        <w:rPr>
          <w:rFonts w:ascii="Open Sans" w:eastAsiaTheme="minorHAnsi" w:hAnsi="Open Sans" w:cs="Open Sans"/>
          <w:sz w:val="24"/>
          <w:szCs w:val="24"/>
          <w:lang w:eastAsia="en-US"/>
        </w:rPr>
        <w:t>Peduzzi</w:t>
      </w:r>
      <w:proofErr w:type="spellEnd"/>
      <w:r w:rsidRPr="00C36CDA">
        <w:rPr>
          <w:rFonts w:ascii="Open Sans" w:eastAsiaTheme="minorHAnsi" w:hAnsi="Open Sans" w:cs="Open Sans"/>
          <w:sz w:val="24"/>
          <w:szCs w:val="24"/>
          <w:lang w:eastAsia="en-US"/>
        </w:rPr>
        <w:t xml:space="preserve">. </w:t>
      </w:r>
      <w:hyperlink r:id="rId11" w:history="1">
        <w:r w:rsidRPr="00C36CDA">
          <w:rPr>
            <w:rFonts w:ascii="Open Sans" w:eastAsiaTheme="minorHAnsi" w:hAnsi="Open Sans" w:cs="Open Sans"/>
            <w:color w:val="0000FF" w:themeColor="hyperlink"/>
            <w:sz w:val="24"/>
            <w:szCs w:val="24"/>
            <w:u w:val="single"/>
            <w:lang w:eastAsia="en-US"/>
          </w:rPr>
          <w:t>TST-E-ED-RR–1442-94.2014.5.09.0014</w:t>
        </w:r>
      </w:hyperlink>
      <w:r w:rsidRPr="00C36CDA">
        <w:rPr>
          <w:rFonts w:ascii="Open Sans" w:eastAsiaTheme="minorHAnsi" w:hAnsi="Open Sans" w:cs="Open Sans"/>
          <w:color w:val="0000FF" w:themeColor="hyperlink"/>
          <w:sz w:val="24"/>
          <w:szCs w:val="24"/>
          <w:u w:val="single"/>
          <w:lang w:eastAsia="en-US"/>
        </w:rPr>
        <w:t xml:space="preserve">, </w:t>
      </w:r>
      <w:r w:rsidRPr="00C36CDA">
        <w:rPr>
          <w:rFonts w:ascii="Open Sans" w:eastAsiaTheme="minorHAnsi" w:hAnsi="Open Sans" w:cs="Open Sans"/>
          <w:sz w:val="24"/>
          <w:szCs w:val="24"/>
          <w:u w:val="single"/>
          <w:lang w:eastAsia="en-US"/>
        </w:rPr>
        <w:t xml:space="preserve">SBDI-I, </w:t>
      </w:r>
      <w:r w:rsidRPr="00C36CDA">
        <w:rPr>
          <w:rFonts w:ascii="Open Sans" w:hAnsi="Open Sans" w:cs="Open Sans"/>
          <w:sz w:val="24"/>
          <w:szCs w:val="24"/>
          <w:u w:val="single"/>
          <w:lang w:eastAsia="zh-CN"/>
        </w:rPr>
        <w:t xml:space="preserve">rel. Min. </w:t>
      </w:r>
      <w:proofErr w:type="spellStart"/>
      <w:r w:rsidRPr="00C36CDA">
        <w:rPr>
          <w:rFonts w:ascii="Open Sans" w:hAnsi="Open Sans" w:cs="Open Sans"/>
          <w:sz w:val="24"/>
          <w:szCs w:val="24"/>
          <w:u w:val="single"/>
          <w:lang w:eastAsia="zh-CN"/>
        </w:rPr>
        <w:t>Lelio</w:t>
      </w:r>
      <w:proofErr w:type="spellEnd"/>
      <w:r w:rsidRPr="00C36CDA">
        <w:rPr>
          <w:rFonts w:ascii="Open Sans" w:hAnsi="Open Sans" w:cs="Open Sans"/>
          <w:sz w:val="24"/>
          <w:szCs w:val="24"/>
          <w:u w:val="single"/>
          <w:lang w:eastAsia="zh-CN"/>
        </w:rPr>
        <w:t xml:space="preserve"> Bentes Corrêa</w:t>
      </w:r>
      <w:r w:rsidRPr="00C36CDA">
        <w:rPr>
          <w:rFonts w:ascii="Open Sans" w:eastAsiaTheme="minorHAnsi" w:hAnsi="Open Sans" w:cs="Open Sans"/>
          <w:sz w:val="24"/>
          <w:szCs w:val="24"/>
          <w:u w:val="single"/>
          <w:lang w:eastAsia="en-US"/>
        </w:rPr>
        <w:t>,</w:t>
      </w:r>
      <w:r w:rsidRPr="00C36CDA">
        <w:rPr>
          <w:rFonts w:ascii="Open Sans" w:hAnsi="Open Sans" w:cs="Open Sans"/>
          <w:sz w:val="24"/>
          <w:szCs w:val="24"/>
          <w:u w:val="single"/>
          <w:lang w:eastAsia="zh-CN"/>
        </w:rPr>
        <w:t xml:space="preserve"> 30/9/2021.</w:t>
      </w:r>
    </w:p>
    <w:p w14:paraId="433BD18E" w14:textId="77777777" w:rsidR="00C36CDA" w:rsidRPr="00C36CDA" w:rsidRDefault="00C36CDA" w:rsidP="00711749">
      <w:pPr>
        <w:autoSpaceDE/>
        <w:autoSpaceDN/>
        <w:ind w:right="510"/>
        <w:jc w:val="both"/>
        <w:rPr>
          <w:rFonts w:ascii="Open Sans" w:eastAsiaTheme="minorHAnsi" w:hAnsi="Open Sans" w:cs="Open Sans"/>
          <w:sz w:val="24"/>
          <w:szCs w:val="24"/>
          <w:lang w:eastAsia="en-US"/>
        </w:rPr>
      </w:pPr>
    </w:p>
    <w:p w14:paraId="68E2FD0A" w14:textId="77777777" w:rsidR="00C36CDA" w:rsidRPr="00C36CDA" w:rsidRDefault="00C36CDA" w:rsidP="00711749">
      <w:pPr>
        <w:ind w:right="510"/>
        <w:jc w:val="both"/>
        <w:rPr>
          <w:rFonts w:ascii="Open Sans" w:hAnsi="Open Sans" w:cs="Open Sans"/>
          <w:b/>
          <w:bCs/>
          <w:i/>
          <w:color w:val="000000"/>
          <w:sz w:val="24"/>
          <w:szCs w:val="24"/>
        </w:rPr>
      </w:pPr>
      <w:r w:rsidRPr="00C36CDA">
        <w:rPr>
          <w:rFonts w:ascii="Open Sans" w:hAnsi="Open Sans" w:cs="Open Sans"/>
          <w:b/>
          <w:bCs/>
          <w:i/>
          <w:color w:val="000000"/>
          <w:sz w:val="24"/>
          <w:szCs w:val="24"/>
        </w:rPr>
        <w:t xml:space="preserve">Embargos. Conhecimento por contrariedade a Súmula ou Orientação Jurisprudencial por analogia. Impossibilidade. </w:t>
      </w:r>
    </w:p>
    <w:p w14:paraId="67125B45" w14:textId="77777777" w:rsidR="00C36CDA" w:rsidRPr="00C36CDA" w:rsidRDefault="00C36CDA" w:rsidP="00711749">
      <w:pPr>
        <w:ind w:right="510"/>
        <w:jc w:val="both"/>
        <w:rPr>
          <w:rFonts w:ascii="Open Sans" w:hAnsi="Open Sans" w:cs="Open Sans"/>
          <w:bCs/>
          <w:color w:val="000000"/>
          <w:sz w:val="24"/>
          <w:szCs w:val="24"/>
        </w:rPr>
      </w:pPr>
      <w:r w:rsidRPr="00C36CDA">
        <w:rPr>
          <w:rFonts w:ascii="Open Sans" w:hAnsi="Open Sans" w:cs="Open Sans"/>
          <w:bCs/>
          <w:color w:val="000000"/>
          <w:sz w:val="24"/>
          <w:szCs w:val="24"/>
        </w:rPr>
        <w:t xml:space="preserve">A Súmula nº 439 do TST estabelece que “Nas condenações por dano moral, </w:t>
      </w:r>
      <w:proofErr w:type="gramStart"/>
      <w:r w:rsidRPr="00C36CDA">
        <w:rPr>
          <w:rFonts w:ascii="Open Sans" w:hAnsi="Open Sans" w:cs="Open Sans"/>
          <w:bCs/>
          <w:color w:val="000000"/>
          <w:sz w:val="24"/>
          <w:szCs w:val="24"/>
        </w:rPr>
        <w:t>a</w:t>
      </w:r>
      <w:proofErr w:type="gramEnd"/>
      <w:r w:rsidRPr="00C36CDA">
        <w:rPr>
          <w:rFonts w:ascii="Open Sans" w:hAnsi="Open Sans" w:cs="Open Sans"/>
          <w:bCs/>
          <w:color w:val="000000"/>
          <w:sz w:val="24"/>
          <w:szCs w:val="24"/>
        </w:rPr>
        <w:t xml:space="preserve"> atualização monetária é devida a partir da data da decisão de arbitramento ou de alteração do valor. Os juros incidem desde o ajuizamento da ação, nos termos do art. 883 da CLT”. A jurisprudência do TST vem estendendo a diretriz da Súmula nº 439 à fixação dos juros de mora também quanto ao pedido de indenização por danos materiais, tratando-se, portanto, de construção jurisprudencial. Contudo, o verbete, por não tratar do termo inicial para a incidência dos juros de mora em relação às indenizações por danos materiais, inviabiliza o conhecimento do recurso de embargos, por impertinência temática. Nesse sentido, sinale-se que o TST já firmou entendimento quanto à impossibilidade de conhecimento do recurso de embargos com Súmula ou Orientação Jurisprudencial por analogia. Sob esses fundamentos, a SBDI-I, por unanimidade, negou provimento ao agravo regimental da segunda reclamada. </w:t>
      </w:r>
      <w:hyperlink r:id="rId12" w:history="1">
        <w:r w:rsidRPr="00C36CDA">
          <w:rPr>
            <w:rFonts w:ascii="Open Sans" w:hAnsi="Open Sans" w:cs="Open Sans"/>
            <w:bCs/>
            <w:color w:val="0000FF"/>
            <w:sz w:val="24"/>
            <w:szCs w:val="24"/>
            <w:u w:val="single"/>
          </w:rPr>
          <w:t>TST-AgR-E-ED-RR-19900-90.2007.5.17.0012</w:t>
        </w:r>
      </w:hyperlink>
      <w:r w:rsidRPr="00C36CDA">
        <w:rPr>
          <w:rFonts w:ascii="Open Sans" w:hAnsi="Open Sans" w:cs="Open Sans"/>
          <w:bCs/>
          <w:color w:val="000000"/>
          <w:sz w:val="24"/>
          <w:szCs w:val="24"/>
          <w:u w:val="single"/>
        </w:rPr>
        <w:t>, SBDI-I, rel. Min. Breno Medeiros, 7/10/2021.</w:t>
      </w:r>
    </w:p>
    <w:p w14:paraId="47F2B61F" w14:textId="77777777" w:rsidR="002973E0" w:rsidRPr="002973E0" w:rsidRDefault="002973E0" w:rsidP="00711749">
      <w:pPr>
        <w:autoSpaceDE/>
        <w:autoSpaceDN/>
        <w:ind w:right="510"/>
        <w:jc w:val="both"/>
        <w:rPr>
          <w:rFonts w:ascii="Open Sans" w:eastAsiaTheme="minorHAnsi" w:hAnsi="Open Sans" w:cs="Open Sans"/>
          <w:sz w:val="24"/>
          <w:szCs w:val="24"/>
          <w:lang w:eastAsia="en-US"/>
        </w:rPr>
      </w:pPr>
    </w:p>
    <w:p w14:paraId="2B365834" w14:textId="524292F5" w:rsidR="00C1383D" w:rsidRPr="00643B59" w:rsidRDefault="006261EC" w:rsidP="00711749">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510" w:firstLine="0"/>
        <w:jc w:val="center"/>
        <w:rPr>
          <w:rFonts w:ascii="Open Sans" w:hAnsi="Open Sans" w:cs="Open Sans"/>
          <w:b/>
          <w:bCs/>
          <w:iCs/>
          <w:sz w:val="28"/>
          <w:szCs w:val="28"/>
          <w:lang w:val="pt-BR"/>
        </w:rPr>
      </w:pPr>
      <w:r w:rsidRPr="00643B59">
        <w:rPr>
          <w:rFonts w:ascii="Open Sans" w:hAnsi="Open Sans" w:cs="Open Sans"/>
          <w:b/>
          <w:bCs/>
          <w:iCs/>
          <w:sz w:val="28"/>
          <w:szCs w:val="28"/>
          <w:lang w:val="pt-BR"/>
        </w:rPr>
        <w:t xml:space="preserve">SUBSEÇÃO </w:t>
      </w:r>
      <w:r w:rsidR="00C1383D" w:rsidRPr="00643B59">
        <w:rPr>
          <w:rFonts w:ascii="Open Sans" w:hAnsi="Open Sans" w:cs="Open Sans"/>
          <w:b/>
          <w:bCs/>
          <w:iCs/>
          <w:sz w:val="28"/>
          <w:szCs w:val="28"/>
          <w:lang w:val="pt-BR"/>
        </w:rPr>
        <w:t>I</w:t>
      </w:r>
      <w:r w:rsidR="00FD049C" w:rsidRPr="00643B59">
        <w:rPr>
          <w:rFonts w:ascii="Open Sans" w:hAnsi="Open Sans" w:cs="Open Sans"/>
          <w:b/>
          <w:bCs/>
          <w:iCs/>
          <w:sz w:val="28"/>
          <w:szCs w:val="28"/>
          <w:lang w:val="pt-BR"/>
        </w:rPr>
        <w:t>I</w:t>
      </w:r>
      <w:r w:rsidR="00C1383D" w:rsidRPr="00643B59">
        <w:rPr>
          <w:rFonts w:ascii="Open Sans" w:hAnsi="Open Sans" w:cs="Open Sans"/>
          <w:b/>
          <w:bCs/>
          <w:iCs/>
          <w:sz w:val="28"/>
          <w:szCs w:val="28"/>
          <w:lang w:val="pt-BR"/>
        </w:rPr>
        <w:t xml:space="preserve"> ESPECIALIZADA EM DISSÍDIOS INDIVIDUAIS</w:t>
      </w:r>
    </w:p>
    <w:p w14:paraId="4D00B79F" w14:textId="77777777" w:rsidR="00C36CDA" w:rsidRDefault="00C36CDA" w:rsidP="00711749">
      <w:pPr>
        <w:ind w:right="510"/>
        <w:jc w:val="both"/>
        <w:rPr>
          <w:rFonts w:ascii="Open Sans" w:hAnsi="Open Sans" w:cs="Open Sans"/>
          <w:b/>
          <w:sz w:val="24"/>
          <w:szCs w:val="24"/>
        </w:rPr>
      </w:pPr>
    </w:p>
    <w:p w14:paraId="1BB78DE2" w14:textId="77777777" w:rsidR="00C36CDA" w:rsidRPr="00C36CDA" w:rsidRDefault="00C36CDA" w:rsidP="00711749">
      <w:pPr>
        <w:ind w:right="510"/>
        <w:jc w:val="both"/>
        <w:rPr>
          <w:rFonts w:ascii="Open Sans" w:hAnsi="Open Sans" w:cs="Open Sans"/>
          <w:b/>
          <w:i/>
          <w:sz w:val="24"/>
          <w:szCs w:val="24"/>
        </w:rPr>
      </w:pPr>
      <w:r w:rsidRPr="00C36CDA">
        <w:rPr>
          <w:rFonts w:ascii="Open Sans" w:hAnsi="Open Sans" w:cs="Open Sans"/>
          <w:b/>
          <w:sz w:val="24"/>
          <w:szCs w:val="24"/>
        </w:rPr>
        <w:t>Habeas corpus</w:t>
      </w:r>
      <w:r w:rsidRPr="00C36CDA">
        <w:rPr>
          <w:rFonts w:ascii="Open Sans" w:hAnsi="Open Sans" w:cs="Open Sans"/>
          <w:b/>
          <w:i/>
          <w:sz w:val="24"/>
          <w:szCs w:val="24"/>
        </w:rPr>
        <w:t>. Ato coator praticado por particular que envolve exercício do direito de greve. Cabimento. Competência da Justiça do Trabalho. Incompetência funcional do TRT.</w:t>
      </w:r>
    </w:p>
    <w:p w14:paraId="6BCAC99A" w14:textId="5733BF39" w:rsidR="00C36CDA" w:rsidRPr="00C36CDA" w:rsidRDefault="00C36CDA" w:rsidP="00711749">
      <w:pPr>
        <w:ind w:right="510"/>
        <w:jc w:val="both"/>
        <w:rPr>
          <w:rFonts w:ascii="Open Sans" w:hAnsi="Open Sans" w:cs="Open Sans"/>
          <w:color w:val="000000"/>
          <w:sz w:val="24"/>
          <w:szCs w:val="24"/>
          <w:u w:val="single"/>
        </w:rPr>
      </w:pPr>
      <w:r w:rsidRPr="00C36CDA">
        <w:rPr>
          <w:rFonts w:ascii="Open Sans" w:hAnsi="Open Sans" w:cs="Open Sans"/>
          <w:color w:val="000000"/>
          <w:sz w:val="24"/>
          <w:szCs w:val="24"/>
        </w:rPr>
        <w:t xml:space="preserve">A SBDI-II concluiu que o cabimento do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não se restringe aos atos praticados por autoridade ou agentes públicos, podendo também ser impetrado contra ato de particular. Na hipótese, o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fora impetrado sob a alegação de constrangimento ao direito de locomoção em decorrência de atos supostamente praticados por sindicato durante o exercício do direito de greve. Consignou-se que o inciso LXVIII do artigo 5º da Constituição Federal, que trata do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diferentemente dos incisos LXIX e LXXII, que </w:t>
      </w:r>
      <w:r w:rsidR="00A04C95">
        <w:rPr>
          <w:rFonts w:ascii="Open Sans" w:hAnsi="Open Sans" w:cs="Open Sans"/>
          <w:color w:val="000000"/>
          <w:sz w:val="24"/>
          <w:szCs w:val="24"/>
        </w:rPr>
        <w:t>dispõem</w:t>
      </w:r>
      <w:r w:rsidRPr="00C36CDA">
        <w:rPr>
          <w:rFonts w:ascii="Open Sans" w:hAnsi="Open Sans" w:cs="Open Sans"/>
          <w:color w:val="000000"/>
          <w:sz w:val="24"/>
          <w:szCs w:val="24"/>
        </w:rPr>
        <w:t xml:space="preserve">, </w:t>
      </w:r>
      <w:r w:rsidR="00A04C95">
        <w:rPr>
          <w:rFonts w:ascii="Open Sans" w:hAnsi="Open Sans" w:cs="Open Sans"/>
          <w:color w:val="000000"/>
          <w:sz w:val="24"/>
          <w:szCs w:val="24"/>
        </w:rPr>
        <w:lastRenderedPageBreak/>
        <w:t xml:space="preserve">respectivamente, sobre o mandado de segurança e </w:t>
      </w:r>
      <w:r w:rsidRPr="00C36CDA">
        <w:rPr>
          <w:rFonts w:ascii="Open Sans" w:hAnsi="Open Sans" w:cs="Open Sans"/>
          <w:color w:val="000000"/>
          <w:sz w:val="24"/>
          <w:szCs w:val="24"/>
        </w:rPr>
        <w:t xml:space="preserve">o </w:t>
      </w:r>
      <w:r w:rsidRPr="00C36CDA">
        <w:rPr>
          <w:rFonts w:ascii="Open Sans" w:hAnsi="Open Sans" w:cs="Open Sans"/>
          <w:i/>
          <w:color w:val="000000"/>
          <w:sz w:val="24"/>
          <w:szCs w:val="24"/>
        </w:rPr>
        <w:t>habeas data</w:t>
      </w:r>
      <w:r w:rsidRPr="00C36CDA">
        <w:rPr>
          <w:rFonts w:ascii="Open Sans" w:hAnsi="Open Sans" w:cs="Open Sans"/>
          <w:color w:val="000000"/>
          <w:sz w:val="24"/>
          <w:szCs w:val="24"/>
        </w:rPr>
        <w:t xml:space="preserve">, é silente quanto ao sujeito do ato coator e que a importância do direito à liberdade de ir e vir justifica não apenas a utilização da ação constitucional contra ato de particular, como também a sua legitimação ativa plena e a dispensa da capacidade postulatória. Salientou-se, ainda, que eventual constrangimento ao direito de locomoção, decorrente de ato praticado pelo sindicato, é passível de elisão por meio do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em razão do poder que lhe é legalmente outorgado para deflagrar a paralisação coletiva. Em seguida, a SBDI-II, com fundamento no artigo 114, incisos II e IV, da Constituição Federal, afastou a alegação de incompetência desta Justiça Especializada suscitada pelo sindicato, deixando consignado que é da Justiça do Trabalho a competência para processar e julgar os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contra atos vinculados ao exercício do direito de greve. Por fim, definiu-se que a competência funcional para apreciar e julgar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impetrado contra ato praticado por particular é da Vara do Trabalho, e não do TRT. Assim, a SBDI-II, por maioria, conheceu do recurso ordinário interposto pelo sindicato e, no mérito, deu-lhe parcial provimento para declarar a incompetência funcional da Seção Especializada em Dissídios Coletivos do Tribunal Regional do Trabalho da 5.ª Região para apreciar e julgar o </w:t>
      </w:r>
      <w:r w:rsidRPr="00C36CDA">
        <w:rPr>
          <w:rFonts w:ascii="Open Sans" w:hAnsi="Open Sans" w:cs="Open Sans"/>
          <w:i/>
          <w:color w:val="000000"/>
          <w:sz w:val="24"/>
          <w:szCs w:val="24"/>
        </w:rPr>
        <w:t>habeas corpus</w:t>
      </w:r>
      <w:r w:rsidRPr="00C36CDA">
        <w:rPr>
          <w:rFonts w:ascii="Open Sans" w:hAnsi="Open Sans" w:cs="Open Sans"/>
          <w:color w:val="000000"/>
          <w:sz w:val="24"/>
          <w:szCs w:val="24"/>
        </w:rPr>
        <w:t xml:space="preserve"> e, com amparo no art. 113, § 2.º, do CPC de 1973, declarar nulos todos os atos decisórios proferidos no feito, notadamente a liminar deferida, e determinar a baixa dos autos à Presidência do TRT da 5.ª Região, para posterior remessa para uma das Varas do Trabalho de Santo Amaro/BA. Vencidos os Ministros Luiz Philippe Vieira de Mello Filho e Alexandre de Souza Agra Belmonte e a Ministra Maria Helena </w:t>
      </w:r>
      <w:proofErr w:type="spellStart"/>
      <w:r w:rsidRPr="00C36CDA">
        <w:rPr>
          <w:rFonts w:ascii="Open Sans" w:hAnsi="Open Sans" w:cs="Open Sans"/>
          <w:color w:val="000000"/>
          <w:sz w:val="24"/>
          <w:szCs w:val="24"/>
        </w:rPr>
        <w:t>Mallmann</w:t>
      </w:r>
      <w:proofErr w:type="spellEnd"/>
      <w:r w:rsidRPr="00C36CDA">
        <w:rPr>
          <w:rFonts w:ascii="Open Sans" w:hAnsi="Open Sans" w:cs="Open Sans"/>
          <w:color w:val="000000"/>
          <w:sz w:val="24"/>
          <w:szCs w:val="24"/>
        </w:rPr>
        <w:t xml:space="preserve">. </w:t>
      </w:r>
      <w:hyperlink r:id="rId13" w:history="1">
        <w:r w:rsidRPr="00C36CDA">
          <w:rPr>
            <w:rFonts w:ascii="Open Sans" w:hAnsi="Open Sans" w:cs="Open Sans"/>
            <w:color w:val="0000FF"/>
            <w:sz w:val="24"/>
            <w:szCs w:val="24"/>
            <w:u w:val="single"/>
          </w:rPr>
          <w:t>TST-RO-1023-93.2015.5.05.0000</w:t>
        </w:r>
      </w:hyperlink>
      <w:r w:rsidRPr="00C36CDA">
        <w:rPr>
          <w:rFonts w:ascii="Open Sans" w:hAnsi="Open Sans" w:cs="Open Sans"/>
          <w:color w:val="000000"/>
          <w:sz w:val="24"/>
          <w:szCs w:val="24"/>
          <w:u w:val="single"/>
        </w:rPr>
        <w:t>, SBDI-II, rel. Min. Luiz José Dezena da Silva, 28/9/2021.</w:t>
      </w:r>
    </w:p>
    <w:p w14:paraId="5DA5031E" w14:textId="77777777" w:rsidR="00C36CDA" w:rsidRPr="00C36CDA" w:rsidRDefault="00C36CDA" w:rsidP="00711749">
      <w:pPr>
        <w:ind w:right="510"/>
        <w:jc w:val="both"/>
        <w:rPr>
          <w:rFonts w:ascii="Open Sans" w:hAnsi="Open Sans" w:cs="Open Sans"/>
          <w:color w:val="000000"/>
          <w:sz w:val="24"/>
          <w:szCs w:val="24"/>
          <w:u w:val="single"/>
        </w:rPr>
      </w:pPr>
    </w:p>
    <w:p w14:paraId="1E757E93" w14:textId="77777777" w:rsidR="00C36CDA" w:rsidRPr="00C36CDA" w:rsidRDefault="00C36CDA" w:rsidP="00711749">
      <w:pPr>
        <w:autoSpaceDE/>
        <w:autoSpaceDN/>
        <w:ind w:right="510"/>
        <w:jc w:val="both"/>
        <w:rPr>
          <w:rFonts w:ascii="Open Sans" w:eastAsiaTheme="minorHAnsi" w:hAnsi="Open Sans" w:cs="Open Sans"/>
          <w:b/>
          <w:i/>
          <w:sz w:val="24"/>
          <w:szCs w:val="24"/>
          <w:lang w:eastAsia="en-US"/>
        </w:rPr>
      </w:pPr>
      <w:r w:rsidRPr="00C36CDA">
        <w:rPr>
          <w:rFonts w:ascii="Open Sans" w:eastAsiaTheme="minorHAnsi" w:hAnsi="Open Sans" w:cs="Open Sans"/>
          <w:b/>
          <w:i/>
          <w:sz w:val="24"/>
          <w:szCs w:val="24"/>
          <w:lang w:eastAsia="en-US"/>
        </w:rPr>
        <w:t>Recurso ordinário em mandado de segurança. Execução definitiva. Indeferimento do seguro garantia judicial. Ausência do acréscimo de 30% sobre o valor da execução. Impossibilidade de concessão de prazo para complementação. Segurança denegada.</w:t>
      </w:r>
    </w:p>
    <w:p w14:paraId="1C859DBA" w14:textId="77777777" w:rsidR="00C36CDA" w:rsidRPr="00C36CDA" w:rsidRDefault="00C36CDA" w:rsidP="00711749">
      <w:pPr>
        <w:autoSpaceDE/>
        <w:autoSpaceDN/>
        <w:ind w:right="510"/>
        <w:jc w:val="both"/>
        <w:rPr>
          <w:rFonts w:ascii="Open Sans" w:eastAsiaTheme="minorHAnsi" w:hAnsi="Open Sans" w:cs="Open Sans"/>
          <w:sz w:val="24"/>
          <w:szCs w:val="24"/>
          <w:lang w:eastAsia="en-US"/>
        </w:rPr>
      </w:pPr>
      <w:r w:rsidRPr="00C36CDA">
        <w:rPr>
          <w:rFonts w:ascii="Open Sans" w:eastAsiaTheme="minorHAnsi" w:hAnsi="Open Sans" w:cs="Open Sans"/>
          <w:sz w:val="24"/>
          <w:szCs w:val="24"/>
          <w:lang w:eastAsia="en-US"/>
        </w:rPr>
        <w:t>No caso de execução definitiva, é cabível a impetração de mandado de segurança que vise a impugnar a não aceitação de apólices de seguro com o objetivo de garantir o juízo e, consequentemente, viabilizar a admissibilidade de eventuais embargos à execução ou agravo de petição, afastando assim, em tais casos, a incidência da Orientação Jurisprudencial nº 92 da SBDI-II. Ocorre que, na espécie, restou comprovado que o valor da apólice não contemplou o montante atualizado da execução com o acréscimo de 30%, conforme previsto no art. 835, § 2º, do CPC c/c o art. 3º, I Ato Conjunto n. 1/</w:t>
      </w:r>
      <w:proofErr w:type="gramStart"/>
      <w:r w:rsidRPr="00C36CDA">
        <w:rPr>
          <w:rFonts w:ascii="Open Sans" w:eastAsiaTheme="minorHAnsi" w:hAnsi="Open Sans" w:cs="Open Sans"/>
          <w:sz w:val="24"/>
          <w:szCs w:val="24"/>
          <w:lang w:eastAsia="en-US"/>
        </w:rPr>
        <w:t>TST.</w:t>
      </w:r>
      <w:proofErr w:type="gramEnd"/>
      <w:r w:rsidRPr="00C36CDA">
        <w:rPr>
          <w:rFonts w:ascii="Open Sans" w:eastAsiaTheme="minorHAnsi" w:hAnsi="Open Sans" w:cs="Open Sans"/>
          <w:sz w:val="24"/>
          <w:szCs w:val="24"/>
          <w:lang w:eastAsia="en-US"/>
        </w:rPr>
        <w:t xml:space="preserve">CSJT.CGJT/2020. Assim, é ausente o direito líquido e certo do impetrante, pois a insuficiência do valor segurado é óbice intransponível, não podendo ser concedido prazo para complementação, visto que inaplicável a disciplina do § 2º do art. 1.007 do CPC. Sob esses fundamentos, a </w:t>
      </w:r>
      <w:r w:rsidRPr="00C36CDA">
        <w:rPr>
          <w:rFonts w:ascii="Open Sans" w:eastAsiaTheme="minorHAnsi" w:hAnsi="Open Sans" w:cs="Open Sans"/>
          <w:sz w:val="24"/>
          <w:szCs w:val="24"/>
          <w:lang w:eastAsia="en-US"/>
        </w:rPr>
        <w:lastRenderedPageBreak/>
        <w:t xml:space="preserve">SBDI-II, por unanimidade, conheceu do recurso ordinário e, no mérito, negou-lhe provimento. </w:t>
      </w:r>
      <w:hyperlink r:id="rId14" w:history="1">
        <w:r w:rsidRPr="00C36CDA">
          <w:rPr>
            <w:rFonts w:ascii="Open Sans" w:eastAsiaTheme="minorHAnsi" w:hAnsi="Open Sans" w:cs="Open Sans"/>
            <w:color w:val="0000FF" w:themeColor="hyperlink"/>
            <w:sz w:val="24"/>
            <w:szCs w:val="24"/>
            <w:u w:val="single"/>
            <w:lang w:eastAsia="en-US"/>
          </w:rPr>
          <w:t>TST-RO-1000279-26.2019.5.02.0000</w:t>
        </w:r>
      </w:hyperlink>
      <w:r w:rsidRPr="00C36CDA">
        <w:rPr>
          <w:rFonts w:ascii="Open Sans" w:eastAsiaTheme="minorHAnsi" w:hAnsi="Open Sans" w:cs="Open Sans"/>
          <w:sz w:val="24"/>
          <w:szCs w:val="24"/>
          <w:u w:val="single"/>
          <w:lang w:eastAsia="en-US"/>
        </w:rPr>
        <w:t>, SBDI-II, rel. Min. Amaury Rodrigues Pinto Junior, 5/10/2021.</w:t>
      </w:r>
    </w:p>
    <w:p w14:paraId="5D9B27F9" w14:textId="77777777" w:rsidR="00E0372D" w:rsidRPr="002973E0" w:rsidRDefault="00E0372D" w:rsidP="00711749">
      <w:pPr>
        <w:ind w:right="510"/>
        <w:jc w:val="both"/>
        <w:rPr>
          <w:rFonts w:ascii="Open Sans" w:hAnsi="Open Sans" w:cs="Open Sans"/>
          <w:color w:val="000000"/>
          <w:sz w:val="24"/>
          <w:szCs w:val="24"/>
        </w:rPr>
      </w:pPr>
    </w:p>
    <w:p w14:paraId="7217D15D" w14:textId="77777777" w:rsidR="009A76A2" w:rsidRPr="00643B59" w:rsidRDefault="009A76A2" w:rsidP="00711749">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right="510" w:firstLine="0"/>
        <w:jc w:val="center"/>
        <w:rPr>
          <w:rFonts w:ascii="Open Sans" w:hAnsi="Open Sans" w:cs="Open Sans"/>
          <w:b/>
          <w:bCs/>
          <w:iCs/>
          <w:sz w:val="28"/>
          <w:lang w:val="pt-BR"/>
        </w:rPr>
      </w:pPr>
      <w:r w:rsidRPr="00643B59">
        <w:rPr>
          <w:rFonts w:ascii="Open Sans" w:hAnsi="Open Sans" w:cs="Open Sans"/>
          <w:b/>
          <w:bCs/>
          <w:iCs/>
          <w:sz w:val="28"/>
          <w:lang w:val="pt-BR"/>
        </w:rPr>
        <w:t>TURMAS</w:t>
      </w:r>
    </w:p>
    <w:p w14:paraId="16C7DDD1" w14:textId="77777777" w:rsidR="009A76A2" w:rsidRPr="00643B59" w:rsidRDefault="009A76A2" w:rsidP="00711749">
      <w:pPr>
        <w:pStyle w:val="Cabealho"/>
        <w:tabs>
          <w:tab w:val="clear" w:pos="4419"/>
          <w:tab w:val="clear" w:pos="8838"/>
        </w:tabs>
        <w:ind w:right="510"/>
        <w:jc w:val="center"/>
        <w:rPr>
          <w:rFonts w:ascii="Open Sans" w:hAnsi="Open Sans" w:cs="Open Sans"/>
          <w:i/>
        </w:rPr>
      </w:pPr>
      <w:r w:rsidRPr="00643B59">
        <w:rPr>
          <w:rFonts w:ascii="Open Sans" w:hAnsi="Open Sans" w:cs="Open Sans"/>
          <w:i/>
        </w:rPr>
        <w:t xml:space="preserve">Transcrição de ementas selecionadas </w:t>
      </w:r>
      <w:r w:rsidR="009D2FB1" w:rsidRPr="00643B59">
        <w:rPr>
          <w:rFonts w:ascii="Open Sans" w:hAnsi="Open Sans" w:cs="Open Sans"/>
          <w:i/>
        </w:rPr>
        <w:t>n</w:t>
      </w:r>
      <w:r w:rsidRPr="00643B59">
        <w:rPr>
          <w:rFonts w:ascii="Open Sans" w:hAnsi="Open Sans" w:cs="Open Sans"/>
          <w:i/>
        </w:rPr>
        <w:t>as sessões de julgamento das Turmas do TST.</w:t>
      </w:r>
    </w:p>
    <w:p w14:paraId="02ACC1CD" w14:textId="77777777" w:rsidR="002B518A" w:rsidRPr="00F105F2" w:rsidRDefault="002B518A" w:rsidP="00711749">
      <w:pPr>
        <w:ind w:right="510"/>
        <w:jc w:val="both"/>
        <w:rPr>
          <w:rFonts w:ascii="Open Sans" w:hAnsi="Open Sans" w:cs="Open Sans"/>
          <w:color w:val="000000"/>
          <w:sz w:val="24"/>
          <w:szCs w:val="24"/>
        </w:rPr>
      </w:pPr>
    </w:p>
    <w:p w14:paraId="38938919" w14:textId="77777777" w:rsidR="002B518A" w:rsidRPr="00603902" w:rsidRDefault="002B518A" w:rsidP="00711749">
      <w:pPr>
        <w:ind w:right="510"/>
        <w:jc w:val="both"/>
        <w:rPr>
          <w:rFonts w:ascii="Open Sans" w:hAnsi="Open Sans" w:cs="Open Sans"/>
          <w:sz w:val="24"/>
          <w:szCs w:val="24"/>
        </w:rPr>
      </w:pPr>
      <w:r w:rsidRPr="00603902">
        <w:rPr>
          <w:rFonts w:ascii="Open Sans" w:hAnsi="Open Sans" w:cs="Open Sans"/>
          <w:sz w:val="24"/>
          <w:szCs w:val="24"/>
        </w:rPr>
        <w:t xml:space="preserve">“I - AGRAVO DE INSTRUMENTO DA AMBEV S.A. RECURSO DE REVISTA - DESCABIMENTO. RESPONSABILIDADE SOLIDÁRIA. NÃO CUMPRIMENTO DOS REQUISITOS PREVISTOS NO ART. 896, § 1º- A, DA CLT. TRECHO INSUFICIENTE. A transcrição de trecho do acórdão que não traz todos os fundamentos adotados pelo Regional não atende ao disposto no art. 896, § 1º-A, I e III, da CLT. Agravo de instrumento conhecido e desprovido. II - RECURSO DE REVISTA DO RECLAMANTE. SUCESSÃO DE EMPREGADORES. RESPONSABILIDADE SOLIDÁRIA. </w:t>
      </w:r>
      <w:proofErr w:type="gramStart"/>
      <w:r w:rsidRPr="00603902">
        <w:rPr>
          <w:rFonts w:ascii="Open Sans" w:hAnsi="Open Sans" w:cs="Open Sans"/>
          <w:sz w:val="24"/>
          <w:szCs w:val="24"/>
        </w:rPr>
        <w:t>1</w:t>
      </w:r>
      <w:proofErr w:type="gramEnd"/>
      <w:r w:rsidRPr="00603902">
        <w:rPr>
          <w:rFonts w:ascii="Open Sans" w:hAnsi="Open Sans" w:cs="Open Sans"/>
          <w:sz w:val="24"/>
          <w:szCs w:val="24"/>
        </w:rPr>
        <w:t xml:space="preserve">. A teor do art. 10 consolidado, "qualquer alteração na estrutura jurídica da empresa não afetará os direitos adquiridos por seu empregados. 2. A forma aparentemente singela em que são postas as hipóteses </w:t>
      </w:r>
      <w:proofErr w:type="spellStart"/>
      <w:r w:rsidRPr="00603902">
        <w:rPr>
          <w:rFonts w:ascii="Open Sans" w:hAnsi="Open Sans" w:cs="Open Sans"/>
          <w:sz w:val="24"/>
          <w:szCs w:val="24"/>
        </w:rPr>
        <w:t>tipificadoras</w:t>
      </w:r>
      <w:proofErr w:type="spellEnd"/>
      <w:r w:rsidRPr="00603902">
        <w:rPr>
          <w:rFonts w:ascii="Open Sans" w:hAnsi="Open Sans" w:cs="Open Sans"/>
          <w:sz w:val="24"/>
          <w:szCs w:val="24"/>
        </w:rPr>
        <w:t xml:space="preserve"> da sucessão trabalhista, a despeito das críticas doutrinárias, lançadas ao longo do tempo, representa conceito jurídico indeterminado, que traduz pontos de mobilidade e de abertura do sistema para as modificações da realidade. Os tipos abertos, consistentes na "alteração da estrutura jurídica" e "mudança na propriedade", permitem que a Lei se faça mais sábia do que o Legislador, possibilitando ao aplicador a adequação da norma aos fins sociais a que se dirige (art. 8º da LINDB), em atendimento, de forma prospectiva, a fatos e valores supervenientes. 3. Diante disso, a visão hodierna que se tem da sucessão trabalhista é bastante ampla, estando compreendida no instituto qualquer situação fática que traduza alteração </w:t>
      </w:r>
      <w:proofErr w:type="spellStart"/>
      <w:r w:rsidRPr="00603902">
        <w:rPr>
          <w:rFonts w:ascii="Open Sans" w:hAnsi="Open Sans" w:cs="Open Sans"/>
          <w:sz w:val="24"/>
          <w:szCs w:val="24"/>
        </w:rPr>
        <w:t>intra</w:t>
      </w:r>
      <w:proofErr w:type="spellEnd"/>
      <w:r w:rsidRPr="00603902">
        <w:rPr>
          <w:rFonts w:ascii="Open Sans" w:hAnsi="Open Sans" w:cs="Open Sans"/>
          <w:sz w:val="24"/>
          <w:szCs w:val="24"/>
        </w:rPr>
        <w:t xml:space="preserve"> ou interempresarial, sendo irrelevante o vínculo entre sucedido e sucessor e a natureza do título que possibilitava ao titular do estabelecimento a utilização dos meios de produção nele organizados. 4. Assim, na hipótese, o fato é que houve, na prática, sucessão de empregadores, pois não houve interrupção na prestação de serviços, continuando o reclamante a laborar para a sucessora, razão pela qual se declara a responsabilidade solidária entre eles. </w:t>
      </w:r>
      <w:proofErr w:type="gramStart"/>
      <w:r w:rsidRPr="00603902">
        <w:rPr>
          <w:rFonts w:ascii="Open Sans" w:hAnsi="Open Sans" w:cs="Open Sans"/>
          <w:sz w:val="24"/>
          <w:szCs w:val="24"/>
        </w:rPr>
        <w:t>Recurso de revista conhecido e provido.”</w:t>
      </w:r>
      <w:proofErr w:type="gramEnd"/>
      <w:r w:rsidRPr="00603902">
        <w:rPr>
          <w:rFonts w:ascii="Open Sans" w:hAnsi="Open Sans" w:cs="Open Sans"/>
          <w:sz w:val="24"/>
          <w:szCs w:val="24"/>
        </w:rPr>
        <w:t xml:space="preserve"> (</w:t>
      </w:r>
      <w:hyperlink r:id="rId15" w:history="1">
        <w:r w:rsidRPr="000768B5">
          <w:rPr>
            <w:rStyle w:val="Hyperlink"/>
            <w:rFonts w:ascii="Open Sans" w:hAnsi="Open Sans" w:cs="Open Sans"/>
            <w:sz w:val="24"/>
            <w:szCs w:val="24"/>
          </w:rPr>
          <w:t>TST-ARR-502-16.2016.5.09.0126</w:t>
        </w:r>
      </w:hyperlink>
      <w:r w:rsidRPr="000768B5">
        <w:rPr>
          <w:rFonts w:ascii="Open Sans" w:hAnsi="Open Sans" w:cs="Open Sans"/>
          <w:bCs/>
          <w:sz w:val="24"/>
          <w:szCs w:val="24"/>
        </w:rPr>
        <w:t>,</w:t>
      </w:r>
      <w:r w:rsidRPr="000768B5">
        <w:rPr>
          <w:rFonts w:ascii="Open Sans" w:hAnsi="Open Sans" w:cs="Open Sans"/>
          <w:sz w:val="24"/>
          <w:szCs w:val="24"/>
        </w:rPr>
        <w:t xml:space="preserve"> 3ª Turma, rel. Min. Alberto Luiz </w:t>
      </w:r>
      <w:proofErr w:type="spellStart"/>
      <w:r w:rsidRPr="000768B5">
        <w:rPr>
          <w:rFonts w:ascii="Open Sans" w:hAnsi="Open Sans" w:cs="Open Sans"/>
          <w:sz w:val="24"/>
          <w:szCs w:val="24"/>
        </w:rPr>
        <w:t>Bresciani</w:t>
      </w:r>
      <w:proofErr w:type="spellEnd"/>
      <w:r w:rsidRPr="000768B5">
        <w:rPr>
          <w:rFonts w:ascii="Open Sans" w:hAnsi="Open Sans" w:cs="Open Sans"/>
          <w:sz w:val="24"/>
          <w:szCs w:val="24"/>
        </w:rPr>
        <w:t xml:space="preserve"> de </w:t>
      </w:r>
      <w:proofErr w:type="spellStart"/>
      <w:r w:rsidRPr="000768B5">
        <w:rPr>
          <w:rFonts w:ascii="Open Sans" w:hAnsi="Open Sans" w:cs="Open Sans"/>
          <w:sz w:val="24"/>
          <w:szCs w:val="24"/>
        </w:rPr>
        <w:t>Fontan</w:t>
      </w:r>
      <w:proofErr w:type="spellEnd"/>
      <w:r w:rsidRPr="000768B5">
        <w:rPr>
          <w:rFonts w:ascii="Open Sans" w:hAnsi="Open Sans" w:cs="Open Sans"/>
          <w:sz w:val="24"/>
          <w:szCs w:val="24"/>
        </w:rPr>
        <w:t xml:space="preserve"> Pereira,  julgado em 13/10/2021</w:t>
      </w:r>
      <w:r w:rsidRPr="00603902">
        <w:rPr>
          <w:rFonts w:ascii="Open Sans" w:hAnsi="Open Sans" w:cs="Open Sans"/>
          <w:sz w:val="24"/>
          <w:szCs w:val="24"/>
        </w:rPr>
        <w:t>.)</w:t>
      </w:r>
    </w:p>
    <w:p w14:paraId="0EFF63B2" w14:textId="77777777" w:rsidR="002B518A" w:rsidRPr="00603902" w:rsidRDefault="002B518A" w:rsidP="00711749">
      <w:pPr>
        <w:ind w:right="510"/>
        <w:jc w:val="both"/>
        <w:rPr>
          <w:rFonts w:ascii="Open Sans" w:hAnsi="Open Sans" w:cs="Open Sans"/>
          <w:sz w:val="24"/>
          <w:szCs w:val="24"/>
        </w:rPr>
      </w:pPr>
    </w:p>
    <w:p w14:paraId="76A06573" w14:textId="77777777" w:rsidR="002B518A" w:rsidRPr="00603902" w:rsidRDefault="002B518A" w:rsidP="00711749">
      <w:pPr>
        <w:ind w:right="510"/>
        <w:jc w:val="both"/>
        <w:rPr>
          <w:rFonts w:ascii="Open Sans" w:hAnsi="Open Sans" w:cs="Open Sans"/>
          <w:sz w:val="24"/>
          <w:szCs w:val="24"/>
        </w:rPr>
      </w:pPr>
      <w:r w:rsidRPr="00603902">
        <w:rPr>
          <w:rFonts w:ascii="Open Sans" w:hAnsi="Open Sans" w:cs="Open Sans"/>
          <w:sz w:val="24"/>
          <w:szCs w:val="24"/>
        </w:rPr>
        <w:t xml:space="preserve">“RECURSO DE REVISTA. ACÓRDÃO REGIONAL PUBLICADO NA VIGÊNCIA DAS LEIS Nº 13.015/2014 E 13.467/2017. APOSENTADORIA POR INVALIDEZ. SUSPENSÃO DO CONTRATO DE TRABALHO. PARTICIPAÇÃO NOS RESULTADOS (PR) E GRATIFICAÇÃO DE PERMANÊNCIA EM ÁREA REMOTA. AUSÊNCIA DE PREVISÃO EXPRESSA EM NORMA COLETIVA. TRANSCENDÊNCIA RECONHECIDA. Há de se reconhecer a </w:t>
      </w:r>
      <w:r w:rsidRPr="00603902">
        <w:rPr>
          <w:rFonts w:ascii="Open Sans" w:hAnsi="Open Sans" w:cs="Open Sans"/>
          <w:sz w:val="24"/>
          <w:szCs w:val="24"/>
        </w:rPr>
        <w:lastRenderedPageBreak/>
        <w:t>transcendência política do recurso de revista quando a decisão regional se mostra contrária à jurisprudência deste c. Tribunal Superior. No caso, o Tribunal Regional entendeu que, diante da existência de previsão genérica de pagamento das parcelas “Participação nos Resultados (PR) e gratificação de permanência em área remota” aos empregados afastados em razão de acidente do trabalho conferiria ao autor, aposentado por invalidez, o direito ao recebimento da parcela. Ocorre, entretanto, que a jurisprudência desta C. Corte estabelece que os direitos previstos em norma coletiva só atingirão os empregados com o contrato suspenso por aposentadoria por invalidez mediante previsão expressa em norma coletiva, o que não se observa nos autos. Precedentes. Recurso de revista conhecido por violação do artigo 7º, XXVI, da CF e provido.” (</w:t>
      </w:r>
      <w:hyperlink r:id="rId16" w:history="1">
        <w:r w:rsidRPr="00603902">
          <w:rPr>
            <w:rFonts w:ascii="Open Sans" w:hAnsi="Open Sans" w:cs="Open Sans"/>
            <w:color w:val="0000FF" w:themeColor="hyperlink"/>
            <w:sz w:val="24"/>
            <w:szCs w:val="24"/>
            <w:u w:val="single"/>
          </w:rPr>
          <w:t>TST-</w:t>
        </w:r>
        <w:r w:rsidRPr="00603902">
          <w:rPr>
            <w:rFonts w:ascii="Open Sans" w:hAnsi="Open Sans" w:cs="Open Sans"/>
            <w:bCs/>
            <w:color w:val="0000FF" w:themeColor="hyperlink"/>
            <w:sz w:val="24"/>
            <w:szCs w:val="24"/>
            <w:u w:val="single"/>
          </w:rPr>
          <w:t>RR-1276-24.2017.5.08.0131</w:t>
        </w:r>
      </w:hyperlink>
      <w:r w:rsidRPr="00603902">
        <w:rPr>
          <w:rFonts w:ascii="Open Sans" w:hAnsi="Open Sans" w:cs="Open Sans"/>
          <w:sz w:val="24"/>
          <w:szCs w:val="24"/>
        </w:rPr>
        <w:t xml:space="preserve">, 3ª Turma, rel. Min. </w:t>
      </w:r>
      <w:r>
        <w:rPr>
          <w:rFonts w:ascii="Open Sans" w:hAnsi="Open Sans" w:cs="Open Sans"/>
          <w:sz w:val="24"/>
          <w:szCs w:val="24"/>
        </w:rPr>
        <w:t>Alexandre de Souz</w:t>
      </w:r>
      <w:r w:rsidRPr="00603902">
        <w:rPr>
          <w:rFonts w:ascii="Open Sans" w:hAnsi="Open Sans" w:cs="Open Sans"/>
          <w:sz w:val="24"/>
          <w:szCs w:val="24"/>
        </w:rPr>
        <w:t>a Agra Belmonte, julgado em 29/9/2021.</w:t>
      </w:r>
      <w:proofErr w:type="gramStart"/>
      <w:r w:rsidRPr="00603902">
        <w:rPr>
          <w:rFonts w:ascii="Open Sans" w:hAnsi="Open Sans" w:cs="Open Sans"/>
          <w:sz w:val="24"/>
          <w:szCs w:val="24"/>
        </w:rPr>
        <w:t>)</w:t>
      </w:r>
      <w:proofErr w:type="gramEnd"/>
    </w:p>
    <w:p w14:paraId="0260D90E" w14:textId="77777777" w:rsidR="002B518A" w:rsidRPr="00603902" w:rsidRDefault="002B518A" w:rsidP="00711749">
      <w:pPr>
        <w:ind w:right="510"/>
        <w:jc w:val="both"/>
        <w:rPr>
          <w:rFonts w:ascii="Open Sans" w:hAnsi="Open Sans" w:cs="Open Sans"/>
          <w:sz w:val="24"/>
          <w:szCs w:val="24"/>
        </w:rPr>
      </w:pPr>
    </w:p>
    <w:p w14:paraId="58738D54" w14:textId="77777777" w:rsidR="002B518A" w:rsidRPr="00603902" w:rsidRDefault="002B518A" w:rsidP="00711749">
      <w:pPr>
        <w:ind w:right="510"/>
        <w:jc w:val="both"/>
        <w:rPr>
          <w:rFonts w:ascii="Open Sans" w:hAnsi="Open Sans" w:cs="Open Sans"/>
          <w:sz w:val="24"/>
          <w:szCs w:val="24"/>
        </w:rPr>
      </w:pPr>
      <w:r w:rsidRPr="00603902">
        <w:rPr>
          <w:rFonts w:ascii="Open Sans" w:hAnsi="Open Sans" w:cs="Open Sans"/>
          <w:sz w:val="24"/>
          <w:szCs w:val="24"/>
        </w:rPr>
        <w:t xml:space="preserve">“[...] RECURSO DE REVISTA INTERPOSTO PELO RECLAMANTE. ACÓRDÃO REGIONAL PUBLICADO NA VIGÊNCIA DAS LEIS Nº 13.015/2014 E 13.467/2017. </w:t>
      </w:r>
      <w:proofErr w:type="gramStart"/>
      <w:r w:rsidRPr="00603902">
        <w:rPr>
          <w:rFonts w:ascii="Open Sans" w:hAnsi="Open Sans" w:cs="Open Sans"/>
          <w:sz w:val="24"/>
          <w:szCs w:val="24"/>
        </w:rPr>
        <w:t>1</w:t>
      </w:r>
      <w:proofErr w:type="gramEnd"/>
      <w:r w:rsidRPr="00603902">
        <w:rPr>
          <w:rFonts w:ascii="Open Sans" w:hAnsi="Open Sans" w:cs="Open Sans"/>
          <w:sz w:val="24"/>
          <w:szCs w:val="24"/>
        </w:rPr>
        <w:t xml:space="preserve">. LIMITAÇÃO DA CONDENAÇÃO AOS VALORES ATRIBUÍDOS AOS PEDIDOS NA PETIÇÃO INICIAL. AÇÃO AJUIZADA NA VIGÊNCIA DA LEI 13.467/2017. NOVA REDAÇÃO DO §1º DO ART. 840 DA CLT. TRANSCENDÊNCIA JURÍDICA RECONHECIDA I. Hipótese em que a ação foi proposta na vigência da Lei nº 13.467/2017, e se discute o dever da parte Reclamante de indicar valores específicos aos pedidos na petição inicial (art. 840, §1º, da CLT). II. Pelo prisma da transcendência, trata-se de questão jurídica nova, em relação a qual ainda não há jurisprudência pacificada no âmbito do Tribunal Superior do Trabalho ou em decisão de efeito vinculante no Supremo Tribunal Federal, pois se refere à correta interpretação do §1º do art. 840 da CLT. III. No caso dos autos, o Tribunal Regional manteve a sentença de origem em que se entendeu que a condenação deve ser limitada aos valores dos pedidos indicados na petição inicial, em razão da imposição prevista no art. 840, §1º, da CLT. Ressaltou-se que “a inobservância dos limites impostos pelos valores apontados na petição inicial implica em decisão ultra petita, flagrantemente violadora do art. 492 do CPC”. IV. A Lei nº 13.467/2017 deu nova redação ao §1º do art. 840 da CLT, que passou a prever que “sendo escrita, a reclamação deverá conter a designação do juízo, a qualificação das partes, a breve exposição dos fatos de que resulte o dissídio, o pedido, que deverá ser certo, determinado e com indicação de seu valor, a data e a assinatura do reclamante ou de seu representante”. V. Além disso, esta Corte Superior consolidou sua jurisprudência no sentido de que, na hipótese em que há pedido líquido e certo na petição inicial, o julgador fica adstrito aos valores atribuídos a cada um desses pedidos, de maneira que a condenação em quantia superior àquela fixada pelo Reclamante na reclamação trabalhista caracteriza violação dos </w:t>
      </w:r>
      <w:proofErr w:type="spellStart"/>
      <w:r w:rsidRPr="00603902">
        <w:rPr>
          <w:rFonts w:ascii="Open Sans" w:hAnsi="Open Sans" w:cs="Open Sans"/>
          <w:sz w:val="24"/>
          <w:szCs w:val="24"/>
        </w:rPr>
        <w:t>arts</w:t>
      </w:r>
      <w:proofErr w:type="spellEnd"/>
      <w:r w:rsidRPr="00603902">
        <w:rPr>
          <w:rFonts w:ascii="Open Sans" w:hAnsi="Open Sans" w:cs="Open Sans"/>
          <w:sz w:val="24"/>
          <w:szCs w:val="24"/>
        </w:rPr>
        <w:t xml:space="preserve">. 141 e 492 do CPC/2015. VI. Portanto, fixo a tese de que, nas reclamações trabalhistas propostas após a entrada em vigor da Lei nº 13.467/2017, </w:t>
      </w:r>
      <w:r w:rsidRPr="00603902">
        <w:rPr>
          <w:rFonts w:ascii="Open Sans" w:hAnsi="Open Sans" w:cs="Open Sans"/>
          <w:sz w:val="24"/>
          <w:szCs w:val="24"/>
        </w:rPr>
        <w:lastRenderedPageBreak/>
        <w:t xml:space="preserve">deve-se seguir o determinado no §1º do art. 840 da CLT, e a expressão “com indicação de seu valor” limita a condenação do pedido ao valor atribuído na petição inicial. VII. Demonstrada a transcendência jurídica da causa. VIII. </w:t>
      </w:r>
      <w:proofErr w:type="gramStart"/>
      <w:r w:rsidRPr="00603902">
        <w:rPr>
          <w:rFonts w:ascii="Open Sans" w:hAnsi="Open Sans" w:cs="Open Sans"/>
          <w:sz w:val="24"/>
          <w:szCs w:val="24"/>
        </w:rPr>
        <w:t>Recurso de revista de que não se conhece.”</w:t>
      </w:r>
      <w:proofErr w:type="gramEnd"/>
      <w:r w:rsidRPr="00603902">
        <w:rPr>
          <w:rFonts w:ascii="Open Sans" w:hAnsi="Open Sans" w:cs="Open Sans"/>
          <w:sz w:val="24"/>
          <w:szCs w:val="24"/>
        </w:rPr>
        <w:t xml:space="preserve"> (</w:t>
      </w:r>
      <w:hyperlink r:id="rId17" w:history="1">
        <w:r w:rsidRPr="00A6499C">
          <w:rPr>
            <w:rStyle w:val="Hyperlink"/>
            <w:rFonts w:ascii="Open Sans" w:hAnsi="Open Sans" w:cs="Open Sans"/>
            <w:sz w:val="24"/>
            <w:szCs w:val="24"/>
          </w:rPr>
          <w:t>TST-ARR-991-36.2018.5.09.0594</w:t>
        </w:r>
      </w:hyperlink>
      <w:r w:rsidRPr="00603902">
        <w:rPr>
          <w:rFonts w:ascii="Open Sans" w:hAnsi="Open Sans" w:cs="Open Sans"/>
          <w:sz w:val="24"/>
          <w:szCs w:val="24"/>
        </w:rPr>
        <w:t>, 4ª Turma, rel. Min. Alexandre Luiz Ramos, julgado em 28</w:t>
      </w:r>
      <w:r>
        <w:rPr>
          <w:rFonts w:ascii="Open Sans" w:hAnsi="Open Sans" w:cs="Open Sans"/>
          <w:sz w:val="24"/>
          <w:szCs w:val="24"/>
        </w:rPr>
        <w:t>/</w:t>
      </w:r>
      <w:r w:rsidRPr="00603902">
        <w:rPr>
          <w:rFonts w:ascii="Open Sans" w:hAnsi="Open Sans" w:cs="Open Sans"/>
          <w:sz w:val="24"/>
          <w:szCs w:val="24"/>
        </w:rPr>
        <w:t>9/2021.)</w:t>
      </w:r>
    </w:p>
    <w:p w14:paraId="6401C5E7" w14:textId="77777777" w:rsidR="002B518A" w:rsidRPr="00603902" w:rsidRDefault="002B518A" w:rsidP="00711749">
      <w:pPr>
        <w:ind w:right="510"/>
        <w:jc w:val="both"/>
        <w:rPr>
          <w:rFonts w:ascii="Open Sans" w:hAnsi="Open Sans" w:cs="Open Sans"/>
          <w:sz w:val="24"/>
          <w:szCs w:val="24"/>
        </w:rPr>
      </w:pPr>
    </w:p>
    <w:p w14:paraId="33121F76" w14:textId="5FA51FF9" w:rsidR="002B518A" w:rsidRDefault="002B518A" w:rsidP="00711749">
      <w:pPr>
        <w:ind w:right="510"/>
        <w:jc w:val="both"/>
        <w:rPr>
          <w:rFonts w:ascii="Open Sans" w:hAnsi="Open Sans" w:cs="Open Sans"/>
          <w:sz w:val="24"/>
          <w:szCs w:val="24"/>
        </w:rPr>
      </w:pPr>
      <w:r w:rsidRPr="00603902">
        <w:rPr>
          <w:rFonts w:ascii="Open Sans" w:hAnsi="Open Sans" w:cs="Open Sans"/>
          <w:sz w:val="24"/>
          <w:szCs w:val="24"/>
        </w:rPr>
        <w:t xml:space="preserve">“RECURSO DE REVISTA. APELO INTERPOSTO A ACÓRDÃO PROLATADO NA VIGÊNCIA DA LEI Nº 13.467/2017. RECURSO ORDINÁRIO NÃO CONHECIDO POR DESERÇÃO. APÓLICE DE SEGURO GARANTIA JUDICIAL APRESENTADA POSTERIORMENTE À EDIÇÃO DO ATO CONJUNTO </w:t>
      </w:r>
      <w:proofErr w:type="gramStart"/>
      <w:r w:rsidRPr="00603902">
        <w:rPr>
          <w:rFonts w:ascii="Open Sans" w:hAnsi="Open Sans" w:cs="Open Sans"/>
          <w:sz w:val="24"/>
          <w:szCs w:val="24"/>
        </w:rPr>
        <w:t>TST.</w:t>
      </w:r>
      <w:proofErr w:type="gramEnd"/>
      <w:r w:rsidRPr="00603902">
        <w:rPr>
          <w:rFonts w:ascii="Open Sans" w:hAnsi="Open Sans" w:cs="Open Sans"/>
          <w:sz w:val="24"/>
          <w:szCs w:val="24"/>
        </w:rPr>
        <w:t xml:space="preserve">CSJT.CGJT N.º 1 DE 16/10/2019 . AUSÊNCIA DE COMPROVAÇÃO DO REGISTRO DA APÓLICE NA SUSEP. INCIDÊNCIA DO ARTIGO 6º, II, DO ATO CONJUNTO. DESERÇÃO CONFIRMADA. TRANSCENDÊNCIA JURÍDICA DA CAUSA RECONHECIDA. 1. Cuida-se de controvérsia acerca dos efeitos decorrentes da apresentação de apólice de seguro garantia judicial, substitutiva de depósito recursal, após a edição do Ato Conjunto TST.CSJT.CGJT n.º 1, de 16/10/2019, e que não atende aos requisitos previstos no referido ato normativo. Considerando a atualidade da controvérsia, bem assim a ausência de uniformidade de entendimentos sobre a questão ora examinada, revela-se oportuno o reconhecimento da transcendência da causa, sob o aspecto jurídico. 2. Por ocasião do advento da Lei n.º 13.467/2017, houve por bem o legislador admitir a utilização do seguro garantia judicial e da fiança bancária no Processo do Trabalho. Nesse sentido, foram introduzidos os artigos 882 e 899, § 11, na Consolidação das Leis do Trabalho. A fim de regulamentar e padronizar os procedimentos para o uso de seguro garantia judicial e fiança bancária em substituição a depósito recursal e para garantia da execução trabalhista, foi editado o Ato Conjunto TST.CSJT.CGJT n.º 1, de 16/10/2019, cuja redação foi alterada por meio do Ato Conjunto TST.CSJT.CGJT n.º 1, de 29/5/2020. Constata-se que o referido Ato Conjunto, em seu artigo 6º, II, é expresso no sentido de que, em relação às apólices apresentadas após sua edição, o não preenchimento dos requisitos previstos nos seus artigos 3º, 4º e 5º conduz ao não conhecimento do recurso, ante a manifesta deserção. Com efeito, a inobservância dos requisitos previstos no Ato Conjunto configura a ausência total do preparo , porquanto inválida a apólice ofertada como garantia do juízo. Ademais, a concessão de prazo prevista no artigo 12 do Ato Conjunto n.º 1 diz respeito apenas às apólices apresentadas após a edição da Lei n.º 13.467/2017 e anteriormente à regulamentação da questão pelo referido ato normativo. 3. No caso dos autos, constata-se que a deserção do Recurso Ordinário deu-se em razão da não apresentação do "documento obrigatório de comprovação de registro da apólice </w:t>
      </w:r>
      <w:proofErr w:type="gramStart"/>
      <w:r w:rsidRPr="00603902">
        <w:rPr>
          <w:rFonts w:ascii="Open Sans" w:hAnsi="Open Sans" w:cs="Open Sans"/>
          <w:sz w:val="24"/>
          <w:szCs w:val="24"/>
        </w:rPr>
        <w:t>perante a</w:t>
      </w:r>
      <w:proofErr w:type="gramEnd"/>
      <w:r w:rsidRPr="00603902">
        <w:rPr>
          <w:rFonts w:ascii="Open Sans" w:hAnsi="Open Sans" w:cs="Open Sans"/>
          <w:sz w:val="24"/>
          <w:szCs w:val="24"/>
        </w:rPr>
        <w:t xml:space="preserve"> SUSEP " - formalidade essencial à validade do ato - , resultando desatendido o disposto no artigo 5º, II, do Ato Conjunto TST.CSJT.CGJT n.º 1/2019. Verifica-se, ademais, que a apólice de seguro garantia judicial foi apresentada por </w:t>
      </w:r>
      <w:r w:rsidRPr="00603902">
        <w:rPr>
          <w:rFonts w:ascii="Open Sans" w:hAnsi="Open Sans" w:cs="Open Sans"/>
          <w:sz w:val="24"/>
          <w:szCs w:val="24"/>
        </w:rPr>
        <w:lastRenderedPageBreak/>
        <w:t>ocasião da interposição do Recurso Ordinário, em 3/2/2020, sendo</w:t>
      </w:r>
      <w:bookmarkStart w:id="0" w:name="_GoBack"/>
      <w:bookmarkEnd w:id="0"/>
      <w:r w:rsidRPr="00603902">
        <w:rPr>
          <w:rFonts w:ascii="Open Sans" w:hAnsi="Open Sans" w:cs="Open Sans"/>
          <w:sz w:val="24"/>
          <w:szCs w:val="24"/>
        </w:rPr>
        <w:t xml:space="preserve"> que a assinatura da referida apólice deu-s</w:t>
      </w:r>
      <w:r>
        <w:rPr>
          <w:rFonts w:ascii="Open Sans" w:hAnsi="Open Sans" w:cs="Open Sans"/>
          <w:sz w:val="24"/>
          <w:szCs w:val="24"/>
        </w:rPr>
        <w:t>e em 27/1/2020 - posteriormente</w:t>
      </w:r>
      <w:r w:rsidRPr="00603902">
        <w:rPr>
          <w:rFonts w:ascii="Open Sans" w:hAnsi="Open Sans" w:cs="Open Sans"/>
          <w:sz w:val="24"/>
          <w:szCs w:val="24"/>
        </w:rPr>
        <w:t xml:space="preserve">, portanto, à edição do Ato Conjunto </w:t>
      </w:r>
      <w:proofErr w:type="gramStart"/>
      <w:r w:rsidRPr="00603902">
        <w:rPr>
          <w:rFonts w:ascii="Open Sans" w:hAnsi="Open Sans" w:cs="Open Sans"/>
          <w:sz w:val="24"/>
          <w:szCs w:val="24"/>
        </w:rPr>
        <w:t>TST.</w:t>
      </w:r>
      <w:proofErr w:type="gramEnd"/>
      <w:r w:rsidRPr="00603902">
        <w:rPr>
          <w:rFonts w:ascii="Open Sans" w:hAnsi="Open Sans" w:cs="Open Sans"/>
          <w:sz w:val="24"/>
          <w:szCs w:val="24"/>
        </w:rPr>
        <w:t>CSJT.CGJT n.º 1, de 16/10/2019 . Inaplicável, daí, o disposto no artigo 12 do referido ato normativo, em relação à apólice apresentada pela recorrente. Não há cogitar, ademais, na incidência do entendimento sedimentado na Orientação Jurisprudencial n.º 140 da SBDI-I desta Corte superior, visto que não se trata de recolhimento insuficiente do depósito recursal, mas de ausência total de recolhimento, ante a invalidade da apólice de seguro garantia judici</w:t>
      </w:r>
      <w:r w:rsidR="00324A61">
        <w:rPr>
          <w:rFonts w:ascii="Open Sans" w:hAnsi="Open Sans" w:cs="Open Sans"/>
          <w:sz w:val="24"/>
          <w:szCs w:val="24"/>
        </w:rPr>
        <w:t>al oferecida. 4. Precedentes. 5</w:t>
      </w:r>
      <w:r w:rsidRPr="00603902">
        <w:rPr>
          <w:rFonts w:ascii="Open Sans" w:hAnsi="Open Sans" w:cs="Open Sans"/>
          <w:sz w:val="24"/>
          <w:szCs w:val="24"/>
        </w:rPr>
        <w:t xml:space="preserve">. </w:t>
      </w:r>
      <w:proofErr w:type="gramStart"/>
      <w:r w:rsidRPr="00603902">
        <w:rPr>
          <w:rFonts w:ascii="Open Sans" w:hAnsi="Open Sans" w:cs="Open Sans"/>
          <w:sz w:val="24"/>
          <w:szCs w:val="24"/>
        </w:rPr>
        <w:t>Recurso de Revista não conhecido."</w:t>
      </w:r>
      <w:proofErr w:type="gramEnd"/>
      <w:r w:rsidRPr="00603902">
        <w:rPr>
          <w:rFonts w:ascii="Open Sans" w:hAnsi="Open Sans" w:cs="Open Sans"/>
          <w:sz w:val="24"/>
          <w:szCs w:val="24"/>
        </w:rPr>
        <w:t xml:space="preserve"> (</w:t>
      </w:r>
      <w:hyperlink r:id="rId18" w:history="1">
        <w:r w:rsidRPr="00603902">
          <w:rPr>
            <w:rFonts w:ascii="Open Sans" w:hAnsi="Open Sans" w:cs="Open Sans"/>
            <w:color w:val="0000FF" w:themeColor="hyperlink"/>
            <w:sz w:val="24"/>
            <w:szCs w:val="24"/>
            <w:u w:val="single"/>
          </w:rPr>
          <w:t>TST-RR-24947-34.2018.5.24.0022</w:t>
        </w:r>
      </w:hyperlink>
      <w:r w:rsidRPr="00603902">
        <w:rPr>
          <w:rFonts w:ascii="Open Sans" w:hAnsi="Open Sans" w:cs="Open Sans"/>
          <w:sz w:val="24"/>
          <w:szCs w:val="24"/>
        </w:rPr>
        <w:t xml:space="preserve">, 6ª Turma, red. </w:t>
      </w:r>
      <w:r w:rsidR="00AC306F">
        <w:rPr>
          <w:rFonts w:ascii="Open Sans" w:hAnsi="Open Sans" w:cs="Open Sans"/>
          <w:sz w:val="24"/>
          <w:szCs w:val="24"/>
        </w:rPr>
        <w:t xml:space="preserve">p/ acórdão </w:t>
      </w:r>
      <w:r w:rsidRPr="00603902">
        <w:rPr>
          <w:rFonts w:ascii="Open Sans" w:hAnsi="Open Sans" w:cs="Open Sans"/>
          <w:sz w:val="24"/>
          <w:szCs w:val="24"/>
        </w:rPr>
        <w:t xml:space="preserve">Min. </w:t>
      </w:r>
      <w:proofErr w:type="spellStart"/>
      <w:r w:rsidRPr="00603902">
        <w:rPr>
          <w:rFonts w:ascii="Open Sans" w:hAnsi="Open Sans" w:cs="Open Sans"/>
          <w:sz w:val="24"/>
          <w:szCs w:val="24"/>
        </w:rPr>
        <w:t>Lelio</w:t>
      </w:r>
      <w:proofErr w:type="spellEnd"/>
      <w:r w:rsidRPr="00603902">
        <w:rPr>
          <w:rFonts w:ascii="Open Sans" w:hAnsi="Open Sans" w:cs="Open Sans"/>
          <w:sz w:val="24"/>
          <w:szCs w:val="24"/>
        </w:rPr>
        <w:t xml:space="preserve"> Bentes Corrêa, julgado em 5</w:t>
      </w:r>
      <w:r>
        <w:rPr>
          <w:rFonts w:ascii="Open Sans" w:hAnsi="Open Sans" w:cs="Open Sans"/>
          <w:sz w:val="24"/>
          <w:szCs w:val="24"/>
        </w:rPr>
        <w:t>/10/2021.)</w:t>
      </w:r>
    </w:p>
    <w:p w14:paraId="1F30AD67" w14:textId="77777777" w:rsidR="002973E0" w:rsidRDefault="002973E0" w:rsidP="00711749">
      <w:pPr>
        <w:autoSpaceDE/>
        <w:autoSpaceDN/>
        <w:ind w:right="510"/>
        <w:jc w:val="both"/>
        <w:rPr>
          <w:rFonts w:ascii="Open Sans" w:eastAsiaTheme="minorHAnsi" w:hAnsi="Open Sans" w:cs="Open Sans"/>
          <w:sz w:val="24"/>
          <w:szCs w:val="24"/>
          <w:lang w:eastAsia="en-US"/>
        </w:rPr>
      </w:pPr>
    </w:p>
    <w:p w14:paraId="29791DC3" w14:textId="77777777" w:rsidR="002973E0" w:rsidRDefault="002973E0" w:rsidP="00711749">
      <w:pPr>
        <w:autoSpaceDE/>
        <w:autoSpaceDN/>
        <w:ind w:right="510"/>
        <w:jc w:val="both"/>
        <w:rPr>
          <w:rFonts w:ascii="Open Sans" w:eastAsiaTheme="minorHAnsi" w:hAnsi="Open Sans" w:cs="Open Sans"/>
          <w:sz w:val="24"/>
          <w:szCs w:val="24"/>
          <w:lang w:eastAsia="en-US"/>
        </w:rPr>
      </w:pPr>
    </w:p>
    <w:p w14:paraId="314C1325" w14:textId="77777777" w:rsidR="003B0E09" w:rsidRPr="00643B59" w:rsidRDefault="003B0E09" w:rsidP="00711749">
      <w:pPr>
        <w:autoSpaceDE/>
        <w:autoSpaceDN/>
        <w:ind w:right="510"/>
        <w:jc w:val="both"/>
        <w:rPr>
          <w:rFonts w:ascii="Open Sans" w:eastAsiaTheme="minorHAnsi" w:hAnsi="Open Sans" w:cs="Open Sans"/>
          <w:sz w:val="24"/>
          <w:szCs w:val="24"/>
          <w:lang w:eastAsia="en-US"/>
        </w:rPr>
      </w:pPr>
    </w:p>
    <w:p w14:paraId="6572849C" w14:textId="77777777" w:rsidR="00FC1D88" w:rsidRPr="00643B59" w:rsidRDefault="00FC1D88" w:rsidP="00711749">
      <w:pPr>
        <w:ind w:right="510"/>
        <w:rPr>
          <w:rFonts w:ascii="Open Sans" w:hAnsi="Open Sans" w:cs="Open Sans"/>
          <w:sz w:val="10"/>
          <w:szCs w:val="10"/>
        </w:rPr>
      </w:pPr>
    </w:p>
    <w:p w14:paraId="4C33E7C9" w14:textId="77777777" w:rsidR="00184590" w:rsidRPr="00643B59" w:rsidRDefault="00503095" w:rsidP="00711749">
      <w:pPr>
        <w:pStyle w:val="Corpodetexto"/>
        <w:pBdr>
          <w:top w:val="single" w:sz="4" w:space="1" w:color="auto"/>
          <w:left w:val="single" w:sz="4" w:space="0" w:color="auto"/>
          <w:bottom w:val="single" w:sz="4" w:space="1" w:color="auto"/>
          <w:right w:val="single" w:sz="4" w:space="1" w:color="auto"/>
        </w:pBdr>
        <w:shd w:val="clear" w:color="auto" w:fill="B8CCE4"/>
        <w:ind w:right="510"/>
        <w:outlineLvl w:val="0"/>
        <w:rPr>
          <w:rFonts w:ascii="Open Sans" w:hAnsi="Open Sans" w:cs="Open Sans"/>
          <w:b w:val="0"/>
          <w:bCs w:val="0"/>
          <w:snapToGrid w:val="0"/>
          <w:sz w:val="24"/>
          <w:szCs w:val="24"/>
        </w:rPr>
      </w:pPr>
      <w:r w:rsidRPr="00643B59">
        <w:rPr>
          <w:rFonts w:ascii="Open Sans" w:hAnsi="Open Sans" w:cs="Open Sans"/>
          <w:b w:val="0"/>
          <w:bCs w:val="0"/>
          <w:snapToGrid w:val="0"/>
          <w:sz w:val="24"/>
          <w:szCs w:val="24"/>
        </w:rPr>
        <w:t xml:space="preserve">O </w:t>
      </w:r>
      <w:r w:rsidR="00184590" w:rsidRPr="00643B59">
        <w:rPr>
          <w:rFonts w:ascii="Open Sans" w:hAnsi="Open Sans" w:cs="Open Sans"/>
          <w:b w:val="0"/>
          <w:bCs w:val="0"/>
          <w:snapToGrid w:val="0"/>
          <w:sz w:val="24"/>
          <w:szCs w:val="24"/>
        </w:rPr>
        <w:t xml:space="preserve">Informativo TST é mantido pela </w:t>
      </w:r>
    </w:p>
    <w:p w14:paraId="7E4FD59E" w14:textId="77777777" w:rsidR="00184590" w:rsidRPr="00643B59" w:rsidRDefault="00184590" w:rsidP="00711749">
      <w:pPr>
        <w:pStyle w:val="Corpodetexto"/>
        <w:pBdr>
          <w:top w:val="single" w:sz="4" w:space="1" w:color="auto"/>
          <w:left w:val="single" w:sz="4" w:space="0" w:color="auto"/>
          <w:bottom w:val="single" w:sz="4" w:space="1" w:color="auto"/>
          <w:right w:val="single" w:sz="4" w:space="1" w:color="auto"/>
        </w:pBdr>
        <w:shd w:val="clear" w:color="auto" w:fill="B8CCE4"/>
        <w:ind w:right="510"/>
        <w:rPr>
          <w:rFonts w:ascii="Open Sans" w:hAnsi="Open Sans" w:cs="Open Sans"/>
          <w:b w:val="0"/>
          <w:bCs w:val="0"/>
          <w:snapToGrid w:val="0"/>
          <w:sz w:val="24"/>
          <w:szCs w:val="24"/>
        </w:rPr>
      </w:pPr>
      <w:r w:rsidRPr="00643B59">
        <w:rPr>
          <w:rFonts w:ascii="Open Sans" w:hAnsi="Open Sans" w:cs="Open Sans"/>
          <w:b w:val="0"/>
          <w:bCs w:val="0"/>
          <w:snapToGrid w:val="0"/>
          <w:sz w:val="24"/>
          <w:szCs w:val="24"/>
        </w:rPr>
        <w:t>Coordenadoria de Jurisprudência – CJUR</w:t>
      </w:r>
      <w:r w:rsidR="00F83AC5" w:rsidRPr="00643B59">
        <w:rPr>
          <w:rFonts w:ascii="Open Sans" w:hAnsi="Open Sans" w:cs="Open Sans"/>
          <w:b w:val="0"/>
          <w:bCs w:val="0"/>
          <w:snapToGrid w:val="0"/>
          <w:sz w:val="24"/>
          <w:szCs w:val="24"/>
        </w:rPr>
        <w:t>.</w:t>
      </w:r>
    </w:p>
    <w:p w14:paraId="57C3192A"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72A94961" w14:textId="77777777" w:rsidR="007614F1" w:rsidRPr="00643B59" w:rsidRDefault="00184590"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Informações/Sugestões/Críticas: (61)3043</w:t>
      </w:r>
      <w:r w:rsidR="00352B27" w:rsidRPr="00643B59">
        <w:rPr>
          <w:rFonts w:ascii="Open Sans" w:hAnsi="Open Sans" w:cs="Open Sans"/>
          <w:snapToGrid w:val="0"/>
          <w:sz w:val="24"/>
          <w:szCs w:val="24"/>
        </w:rPr>
        <w:t>-</w:t>
      </w:r>
      <w:r w:rsidRPr="00643B59">
        <w:rPr>
          <w:rFonts w:ascii="Open Sans" w:hAnsi="Open Sans" w:cs="Open Sans"/>
          <w:snapToGrid w:val="0"/>
          <w:sz w:val="24"/>
          <w:szCs w:val="24"/>
        </w:rPr>
        <w:t>4</w:t>
      </w:r>
      <w:r w:rsidR="000303C3" w:rsidRPr="00643B59">
        <w:rPr>
          <w:rFonts w:ascii="Open Sans" w:hAnsi="Open Sans" w:cs="Open Sans"/>
          <w:snapToGrid w:val="0"/>
          <w:sz w:val="24"/>
          <w:szCs w:val="24"/>
        </w:rPr>
        <w:t>612</w:t>
      </w:r>
      <w:r w:rsidR="007F02D5" w:rsidRPr="00643B59">
        <w:rPr>
          <w:rFonts w:ascii="Open Sans" w:hAnsi="Open Sans" w:cs="Open Sans"/>
          <w:snapToGrid w:val="0"/>
          <w:sz w:val="24"/>
          <w:szCs w:val="24"/>
        </w:rPr>
        <w:t xml:space="preserve"> ou </w:t>
      </w:r>
      <w:hyperlink r:id="rId19" w:history="1">
        <w:r w:rsidR="005F0522" w:rsidRPr="00643B59">
          <w:rPr>
            <w:rStyle w:val="Hyperlink"/>
            <w:rFonts w:ascii="Open Sans" w:hAnsi="Open Sans" w:cs="Open Sans"/>
            <w:snapToGrid w:val="0"/>
            <w:sz w:val="24"/>
            <w:szCs w:val="24"/>
          </w:rPr>
          <w:t>cjur@tst.jus.br</w:t>
        </w:r>
      </w:hyperlink>
    </w:p>
    <w:p w14:paraId="6371085F" w14:textId="77777777" w:rsidR="007F02D5" w:rsidRPr="00643B59" w:rsidRDefault="007F02D5"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025B015A" w14:textId="77777777" w:rsidR="00B15004"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acessar todas as edições: </w:t>
      </w:r>
      <w:hyperlink r:id="rId20" w:history="1">
        <w:r w:rsidR="00B15004" w:rsidRPr="00643B59">
          <w:rPr>
            <w:rStyle w:val="Hyperlink"/>
            <w:rFonts w:ascii="Open Sans" w:hAnsi="Open Sans" w:cs="Open Sans"/>
            <w:snapToGrid w:val="0"/>
            <w:sz w:val="24"/>
            <w:szCs w:val="24"/>
          </w:rPr>
          <w:t>http://www.tst.jus.br/web/guest/informativo-tst</w:t>
        </w:r>
      </w:hyperlink>
    </w:p>
    <w:p w14:paraId="784F8F31" w14:textId="77777777" w:rsidR="00B15004" w:rsidRPr="00643B59" w:rsidRDefault="00B15004"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p>
    <w:p w14:paraId="1F353F2B" w14:textId="77777777" w:rsidR="009E534D" w:rsidRPr="00643B59" w:rsidRDefault="009E534D" w:rsidP="00711749">
      <w:pPr>
        <w:pBdr>
          <w:top w:val="single" w:sz="4" w:space="1" w:color="auto"/>
          <w:left w:val="single" w:sz="4" w:space="0" w:color="auto"/>
          <w:bottom w:val="single" w:sz="4" w:space="1" w:color="auto"/>
          <w:right w:val="single" w:sz="4" w:space="1" w:color="auto"/>
        </w:pBdr>
        <w:shd w:val="clear" w:color="auto" w:fill="B8CCE4"/>
        <w:ind w:right="510"/>
        <w:jc w:val="center"/>
        <w:rPr>
          <w:rFonts w:ascii="Open Sans" w:hAnsi="Open Sans" w:cs="Open Sans"/>
          <w:snapToGrid w:val="0"/>
          <w:sz w:val="24"/>
          <w:szCs w:val="24"/>
        </w:rPr>
      </w:pPr>
      <w:r w:rsidRPr="00643B59">
        <w:rPr>
          <w:rFonts w:ascii="Open Sans" w:hAnsi="Open Sans" w:cs="Open Sans"/>
          <w:snapToGrid w:val="0"/>
          <w:sz w:val="24"/>
          <w:szCs w:val="24"/>
        </w:rPr>
        <w:t xml:space="preserve">Para receber via </w:t>
      </w:r>
      <w:r w:rsidRPr="00643B59">
        <w:rPr>
          <w:rFonts w:ascii="Open Sans" w:hAnsi="Open Sans" w:cs="Open Sans"/>
          <w:i/>
          <w:snapToGrid w:val="0"/>
          <w:sz w:val="24"/>
          <w:szCs w:val="24"/>
        </w:rPr>
        <w:t>e-mail</w:t>
      </w:r>
      <w:r w:rsidRPr="00643B59">
        <w:rPr>
          <w:rFonts w:ascii="Open Sans" w:hAnsi="Open Sans" w:cs="Open Sans"/>
          <w:snapToGrid w:val="0"/>
          <w:sz w:val="24"/>
          <w:szCs w:val="24"/>
        </w:rPr>
        <w:t xml:space="preserve">: </w:t>
      </w:r>
      <w:hyperlink r:id="rId21" w:history="1">
        <w:r w:rsidRPr="00643B59">
          <w:rPr>
            <w:rStyle w:val="Hyperlink"/>
            <w:rFonts w:ascii="Open Sans" w:hAnsi="Open Sans" w:cs="Open Sans"/>
            <w:snapToGrid w:val="0"/>
            <w:sz w:val="24"/>
            <w:szCs w:val="24"/>
          </w:rPr>
          <w:t>http://www.tst.jus.br/push</w:t>
        </w:r>
      </w:hyperlink>
    </w:p>
    <w:sectPr w:rsidR="009E534D" w:rsidRPr="00643B59" w:rsidSect="00324A61">
      <w:headerReference w:type="default" r:id="rId22"/>
      <w:footerReference w:type="default" r:id="rId23"/>
      <w:headerReference w:type="first" r:id="rId24"/>
      <w:footerReference w:type="first" r:id="rId25"/>
      <w:type w:val="continuous"/>
      <w:pgSz w:w="11907" w:h="16839" w:code="9"/>
      <w:pgMar w:top="2552" w:right="567" w:bottom="851" w:left="147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38C6" w14:textId="77777777" w:rsidR="000E31CA" w:rsidRDefault="000E31CA">
      <w:r>
        <w:separator/>
      </w:r>
    </w:p>
  </w:endnote>
  <w:endnote w:type="continuationSeparator" w:id="0">
    <w:p w14:paraId="629A26F6" w14:textId="77777777" w:rsidR="000E31CA" w:rsidRDefault="000E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2994E" w14:textId="77777777" w:rsidR="000E31CA" w:rsidRDefault="000E31CA">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32AE">
      <w:rPr>
        <w:rStyle w:val="Nmerodepgina"/>
        <w:noProof/>
      </w:rPr>
      <w:t>8</w:t>
    </w:r>
    <w:r>
      <w:rPr>
        <w:rStyle w:val="Nmerodepgina"/>
      </w:rPr>
      <w:fldChar w:fldCharType="end"/>
    </w:r>
  </w:p>
  <w:p w14:paraId="6A601A3A" w14:textId="77777777" w:rsidR="000E31CA" w:rsidRDefault="000E31CA">
    <w:pPr>
      <w:pStyle w:val="Rodap"/>
      <w:ind w:right="360"/>
    </w:pPr>
    <w:r>
      <w:rPr>
        <w:noProof/>
      </w:rPr>
      <mc:AlternateContent>
        <mc:Choice Requires="wps">
          <w:drawing>
            <wp:anchor distT="0" distB="0" distL="114300" distR="114300" simplePos="0" relativeHeight="251658240" behindDoc="0" locked="0" layoutInCell="0" allowOverlap="1" wp14:anchorId="5CBC2E08" wp14:editId="3A3EBF13">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3DA6F7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84583" w14:textId="77777777" w:rsidR="000E31CA" w:rsidRDefault="000E31CA">
    <w:pPr>
      <w:pStyle w:val="Rodap"/>
      <w:jc w:val="right"/>
    </w:pPr>
    <w:r>
      <w:rPr>
        <w:noProof/>
      </w:rPr>
      <mc:AlternateContent>
        <mc:Choice Requires="wps">
          <w:drawing>
            <wp:anchor distT="0" distB="0" distL="114300" distR="114300" simplePos="0" relativeHeight="251659264" behindDoc="0" locked="0" layoutInCell="0" allowOverlap="1" wp14:anchorId="61B9B569" wp14:editId="2C717555">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01CE205"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9D32AE">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89C73" w14:textId="77777777" w:rsidR="000E31CA" w:rsidRDefault="000E31CA">
      <w:r>
        <w:separator/>
      </w:r>
    </w:p>
  </w:footnote>
  <w:footnote w:type="continuationSeparator" w:id="0">
    <w:p w14:paraId="6840175B" w14:textId="77777777" w:rsidR="000E31CA" w:rsidRDefault="000E3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E483A" w14:textId="56655E0F" w:rsidR="000E31CA" w:rsidRPr="00AF45B3" w:rsidRDefault="000E31CA" w:rsidP="00E21DD2">
    <w:pPr>
      <w:pStyle w:val="Corpodetexto"/>
      <w:ind w:right="510"/>
      <w:jc w:val="right"/>
      <w:rPr>
        <w:rFonts w:ascii="Open Sans" w:hAnsi="Open Sans" w:cs="Open Sans"/>
        <w:sz w:val="28"/>
        <w:szCs w:val="28"/>
        <w14:shadow w14:blurRad="50800" w14:dist="38100" w14:dir="2700000" w14:sx="100000" w14:sy="100000" w14:kx="0" w14:ky="0" w14:algn="tl">
          <w14:srgbClr w14:val="000000">
            <w14:alpha w14:val="60000"/>
          </w14:srgbClr>
        </w14:shadow>
      </w:rPr>
    </w:pPr>
    <w:r w:rsidRPr="00AF45B3">
      <w:rPr>
        <w:rFonts w:ascii="Open Sans" w:hAnsi="Open Sans" w:cs="Open Sans"/>
        <w:color w:val="006699"/>
        <w:sz w:val="28"/>
        <w:szCs w:val="28"/>
      </w:rPr>
      <w:t>Informativo TST – nº 2</w:t>
    </w:r>
    <w:r w:rsidR="00C36CDA">
      <w:rPr>
        <w:rFonts w:ascii="Open Sans" w:hAnsi="Open Sans" w:cs="Open Sans"/>
        <w:color w:val="006699"/>
        <w:sz w:val="28"/>
        <w:szCs w:val="28"/>
      </w:rPr>
      <w:t>45</w:t>
    </w:r>
  </w:p>
  <w:p w14:paraId="02CA5011" w14:textId="1AB868C0" w:rsidR="00C36CDA" w:rsidRPr="00AF45B3" w:rsidRDefault="000E31CA" w:rsidP="00E21DD2">
    <w:pPr>
      <w:pStyle w:val="Cabealho"/>
      <w:ind w:right="510"/>
      <w:jc w:val="right"/>
      <w:rPr>
        <w:rFonts w:ascii="Open Sans" w:hAnsi="Open Sans" w:cs="Open Sans"/>
        <w:i/>
        <w:iCs/>
        <w:color w:val="005DA2"/>
        <w:sz w:val="22"/>
        <w:szCs w:val="22"/>
      </w:rPr>
    </w:pPr>
    <w:r w:rsidRPr="00FD049C">
      <w:rPr>
        <w:rFonts w:ascii="Open Sans" w:hAnsi="Open Sans" w:cs="Open Sans"/>
        <w:noProof/>
      </w:rPr>
      <mc:AlternateContent>
        <mc:Choice Requires="wps">
          <w:drawing>
            <wp:anchor distT="0" distB="0" distL="114300" distR="114300" simplePos="0" relativeHeight="251657216" behindDoc="0" locked="0" layoutInCell="0" allowOverlap="1" wp14:anchorId="5B549EDC" wp14:editId="585F57E7">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51EEA7B"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" o:allowincell="f" strokecolor="#969696"/>
          </w:pict>
        </mc:Fallback>
      </mc:AlternateContent>
    </w:r>
    <w:r w:rsidR="00C36CDA" w:rsidRPr="00C36CDA">
      <w:rPr>
        <w:rFonts w:ascii="Open Sans" w:hAnsi="Open Sans" w:cs="Open Sans"/>
        <w:i/>
        <w:iCs/>
        <w:color w:val="005DA2"/>
        <w:sz w:val="22"/>
        <w:szCs w:val="22"/>
      </w:rPr>
      <w:t xml:space="preserve"> </w:t>
    </w:r>
    <w:r w:rsidR="00C36CDA" w:rsidRPr="00AF45B3">
      <w:rPr>
        <w:rFonts w:ascii="Open Sans" w:hAnsi="Open Sans" w:cs="Open Sans"/>
        <w:i/>
        <w:iCs/>
        <w:color w:val="005DA2"/>
        <w:sz w:val="22"/>
        <w:szCs w:val="22"/>
      </w:rPr>
      <w:t xml:space="preserve">Período: </w:t>
    </w:r>
    <w:r w:rsidR="00C36CDA">
      <w:rPr>
        <w:rFonts w:ascii="Open Sans" w:hAnsi="Open Sans" w:cs="Open Sans"/>
        <w:i/>
        <w:iCs/>
        <w:color w:val="005DA2"/>
        <w:sz w:val="22"/>
        <w:szCs w:val="22"/>
      </w:rPr>
      <w:t>2</w:t>
    </w:r>
    <w:r w:rsidR="00324A61">
      <w:rPr>
        <w:rFonts w:ascii="Open Sans" w:hAnsi="Open Sans" w:cs="Open Sans"/>
        <w:i/>
        <w:iCs/>
        <w:color w:val="005DA2"/>
        <w:sz w:val="22"/>
        <w:szCs w:val="22"/>
      </w:rPr>
      <w:t xml:space="preserve">8 </w:t>
    </w:r>
    <w:r w:rsidR="00C36CDA">
      <w:rPr>
        <w:rFonts w:ascii="Open Sans" w:hAnsi="Open Sans" w:cs="Open Sans"/>
        <w:i/>
        <w:iCs/>
        <w:color w:val="005DA2"/>
        <w:sz w:val="22"/>
        <w:szCs w:val="22"/>
      </w:rPr>
      <w:t>de setembro</w:t>
    </w:r>
    <w:r w:rsidR="00324A61">
      <w:rPr>
        <w:rFonts w:ascii="Open Sans" w:hAnsi="Open Sans" w:cs="Open Sans"/>
        <w:i/>
        <w:iCs/>
        <w:color w:val="005DA2"/>
        <w:sz w:val="22"/>
        <w:szCs w:val="22"/>
      </w:rPr>
      <w:t xml:space="preserve"> a 1</w:t>
    </w:r>
    <w:r w:rsidR="00981FE8">
      <w:rPr>
        <w:rFonts w:ascii="Open Sans" w:hAnsi="Open Sans" w:cs="Open Sans"/>
        <w:i/>
        <w:iCs/>
        <w:color w:val="005DA2"/>
        <w:sz w:val="22"/>
        <w:szCs w:val="22"/>
      </w:rPr>
      <w:t>4</w:t>
    </w:r>
    <w:r w:rsidR="00324A61">
      <w:rPr>
        <w:rFonts w:ascii="Open Sans" w:hAnsi="Open Sans" w:cs="Open Sans"/>
        <w:i/>
        <w:iCs/>
        <w:color w:val="005DA2"/>
        <w:sz w:val="22"/>
        <w:szCs w:val="22"/>
      </w:rPr>
      <w:t xml:space="preserve"> de outubro </w:t>
    </w:r>
    <w:r w:rsidR="00C36CDA" w:rsidRPr="00AF45B3">
      <w:rPr>
        <w:rFonts w:ascii="Open Sans" w:hAnsi="Open Sans" w:cs="Open Sans"/>
        <w:i/>
        <w:iCs/>
        <w:color w:val="005DA2"/>
        <w:sz w:val="22"/>
        <w:szCs w:val="22"/>
      </w:rPr>
      <w:t>de 2021.</w:t>
    </w:r>
  </w:p>
  <w:p w14:paraId="03B49523" w14:textId="6071A4C0" w:rsidR="000E31CA" w:rsidRPr="00FD049C" w:rsidRDefault="000E31CA" w:rsidP="00FD049C">
    <w:pPr>
      <w:pStyle w:val="Cabealho"/>
      <w:jc w:val="right"/>
      <w:rPr>
        <w:rFonts w:ascii="Open Sans" w:hAnsi="Open Sans" w:cs="Open Sans"/>
        <w:i/>
        <w:iCs/>
        <w:color w:val="005DA2"/>
      </w:rPr>
    </w:pPr>
  </w:p>
  <w:p w14:paraId="6095BA40" w14:textId="14365702" w:rsidR="000E31CA" w:rsidRPr="006717E0" w:rsidRDefault="000E31CA" w:rsidP="00E91A0E">
    <w:pPr>
      <w:pStyle w:val="Cabealho"/>
      <w:jc w:val="right"/>
      <w:rPr>
        <w:i/>
        <w:iCs/>
        <w:color w:val="005DA2"/>
      </w:rPr>
    </w:pPr>
  </w:p>
  <w:p w14:paraId="6B1719A4" w14:textId="77777777" w:rsidR="000E31CA" w:rsidRPr="006717E0" w:rsidRDefault="000E31CA" w:rsidP="00787495">
    <w:pPr>
      <w:pStyle w:val="Cabealho"/>
      <w:jc w:val="right"/>
      <w:rPr>
        <w:i/>
        <w:iCs/>
        <w:color w:val="005DA2"/>
      </w:rPr>
    </w:pPr>
  </w:p>
  <w:p w14:paraId="703F9419" w14:textId="77777777" w:rsidR="000E31CA" w:rsidRPr="006717E0" w:rsidRDefault="000E31CA" w:rsidP="00654B75">
    <w:pPr>
      <w:pStyle w:val="Cabealho"/>
      <w:jc w:val="right"/>
      <w:rPr>
        <w:i/>
        <w:iCs/>
        <w:color w:val="005DA2"/>
      </w:rPr>
    </w:pPr>
  </w:p>
  <w:p w14:paraId="52217619" w14:textId="77777777" w:rsidR="000E31CA" w:rsidRPr="005D1DE4" w:rsidRDefault="000E31CA"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E9957" w14:textId="0ABA6964" w:rsidR="00D50FBE" w:rsidRDefault="00D50FBE">
    <w:pPr>
      <w:pStyle w:val="Cabealho"/>
    </w:pPr>
    <w:r>
      <w:rPr>
        <w:noProof/>
      </w:rPr>
      <mc:AlternateContent>
        <mc:Choice Requires="wps">
          <w:drawing>
            <wp:anchor distT="0" distB="0" distL="114300" distR="114300" simplePos="0" relativeHeight="251661312" behindDoc="0" locked="0" layoutInCell="0" allowOverlap="1" wp14:anchorId="2C69D10F" wp14:editId="0A5CE590">
              <wp:simplePos x="0" y="0"/>
              <wp:positionH relativeFrom="column">
                <wp:posOffset>860764</wp:posOffset>
              </wp:positionH>
              <wp:positionV relativeFrom="paragraph">
                <wp:posOffset>81280</wp:posOffset>
              </wp:positionV>
              <wp:extent cx="2422800" cy="756000"/>
              <wp:effectExtent l="0" t="0" r="0" b="635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800" cy="756000"/>
                      </a:xfrm>
                      <a:prstGeom prst="rect">
                        <a:avLst/>
                      </a:prstGeom>
                      <a:solidFill>
                        <a:srgbClr val="FFFFFF"/>
                      </a:solidFill>
                      <a:ln w="9525">
                        <a:noFill/>
                        <a:miter lim="800000"/>
                        <a:headEnd/>
                        <a:tailEnd/>
                      </a:ln>
                    </wps:spPr>
                    <wps:txbx>
                      <w:txbxContent>
                        <w:p w14:paraId="2311036A" w14:textId="56081A8C" w:rsidR="00D50FBE" w:rsidRPr="00D50FBE" w:rsidRDefault="00D50FBE"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67.8pt;margin-top:6.4pt;width:190.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" o:allowincell="f" stroked="f">
              <v:textbox>
                <w:txbxContent>
                  <w:p w14:paraId="2311036A" w14:textId="56081A8C" w:rsidR="00D50FBE" w:rsidRPr="00D50FBE" w:rsidRDefault="00D50FBE" w:rsidP="00D50FBE">
                    <w:pPr>
                      <w:rPr>
                        <w:rFonts w:ascii="Open Sans" w:hAnsi="Open Sans" w:cs="Open Sans"/>
                        <w:sz w:val="24"/>
                        <w:szCs w:val="24"/>
                      </w:rPr>
                    </w:pPr>
                    <w:r w:rsidRPr="00D50FBE">
                      <w:rPr>
                        <w:rFonts w:ascii="Open Sans" w:hAnsi="Open Sans" w:cs="Open Sans"/>
                        <w:sz w:val="24"/>
                        <w:szCs w:val="24"/>
                      </w:rPr>
                      <w:t>Poder Judiciário</w:t>
                    </w:r>
                    <w:r w:rsidRPr="00D50FBE">
                      <w:rPr>
                        <w:rFonts w:ascii="Open Sans" w:hAnsi="Open Sans" w:cs="Open Sans"/>
                        <w:sz w:val="24"/>
                        <w:szCs w:val="24"/>
                      </w:rPr>
                      <w:br/>
                      <w:t>Justiça do Trabalho</w:t>
                    </w:r>
                    <w:r w:rsidRPr="00D50FBE">
                      <w:rPr>
                        <w:rFonts w:ascii="Open Sans" w:hAnsi="Open Sans" w:cs="Open Sans"/>
                        <w:sz w:val="24"/>
                        <w:szCs w:val="24"/>
                      </w:rPr>
                      <w:br/>
                      <w:t>Tribunal Superior do Trabalho</w:t>
                    </w:r>
                  </w:p>
                </w:txbxContent>
              </v:textbox>
            </v:shape>
          </w:pict>
        </mc:Fallback>
      </mc:AlternateContent>
    </w:r>
    <w:r>
      <w:rPr>
        <w:noProof/>
      </w:rPr>
      <w:drawing>
        <wp:inline distT="0" distB="0" distL="0" distR="0" wp14:anchorId="6813E71C" wp14:editId="12FCE56A">
          <wp:extent cx="867595" cy="893135"/>
          <wp:effectExtent l="0" t="0" r="889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713" cy="893257"/>
                  </a:xfrm>
                  <a:prstGeom prst="rect">
                    <a:avLst/>
                  </a:prstGeom>
                  <a:noFill/>
                  <a:ln>
                    <a:noFill/>
                  </a:ln>
                </pic:spPr>
              </pic:pic>
            </a:graphicData>
          </a:graphic>
        </wp:inline>
      </w:drawing>
    </w:r>
  </w:p>
  <w:p w14:paraId="7FEF40D8" w14:textId="77777777" w:rsidR="00D50FBE" w:rsidRDefault="00D50FBE">
    <w:pPr>
      <w:pStyle w:val="Cabealho"/>
    </w:pPr>
  </w:p>
  <w:p w14:paraId="76D35218" w14:textId="2892F312" w:rsidR="000E31CA" w:rsidRDefault="000E31CA">
    <w:pPr>
      <w:pStyle w:val="Cabealho"/>
    </w:pPr>
    <w:r>
      <w:rPr>
        <w:rFonts w:ascii="Bebas Neue Regular" w:hAnsi="Bebas Neue Regular"/>
        <w:noProof/>
        <w:color w:val="006699"/>
        <w:sz w:val="30"/>
      </w:rPr>
      <w:drawing>
        <wp:inline distT="0" distB="0" distL="0" distR="0" wp14:anchorId="575DE765" wp14:editId="4882EC8D">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14:paraId="24015716" w14:textId="77777777" w:rsidR="000E31CA" w:rsidRDefault="000E31CA">
    <w:pPr>
      <w:pStyle w:val="Cabealho"/>
    </w:pPr>
  </w:p>
  <w:p w14:paraId="62769DEA" w14:textId="6B520918" w:rsidR="000E31CA" w:rsidRPr="00CE124A" w:rsidRDefault="000E31CA" w:rsidP="00E21DD2">
    <w:pPr>
      <w:pStyle w:val="Cabealho"/>
      <w:tabs>
        <w:tab w:val="clear" w:pos="4419"/>
        <w:tab w:val="clear" w:pos="8838"/>
        <w:tab w:val="left" w:pos="2793"/>
      </w:tabs>
      <w:ind w:right="510"/>
      <w:jc w:val="right"/>
      <w:rPr>
        <w:rFonts w:ascii="Open Sans" w:hAnsi="Open Sans" w:cs="Open Sans"/>
        <w:i/>
        <w:iCs/>
        <w:color w:val="005DA2"/>
        <w:sz w:val="32"/>
        <w:szCs w:val="32"/>
      </w:rPr>
    </w:pPr>
    <w:r>
      <w:tab/>
    </w:r>
    <w:r>
      <w:tab/>
    </w:r>
    <w:r>
      <w:tab/>
    </w:r>
    <w:r>
      <w:tab/>
    </w:r>
    <w:r>
      <w:tab/>
    </w:r>
    <w:r>
      <w:tab/>
    </w:r>
    <w:r w:rsidRPr="00CE124A">
      <w:rPr>
        <w:rFonts w:ascii="Open Sans" w:hAnsi="Open Sans" w:cs="Open Sans"/>
        <w:b/>
        <w:color w:val="005DA2"/>
        <w:sz w:val="32"/>
        <w:szCs w:val="32"/>
      </w:rPr>
      <w:t>Nº 2</w:t>
    </w:r>
    <w:r w:rsidR="00C14420">
      <w:rPr>
        <w:rFonts w:ascii="Open Sans" w:hAnsi="Open Sans" w:cs="Open Sans"/>
        <w:b/>
        <w:color w:val="005DA2"/>
        <w:sz w:val="32"/>
        <w:szCs w:val="32"/>
      </w:rPr>
      <w:t>45</w:t>
    </w:r>
  </w:p>
  <w:p w14:paraId="7B94F950" w14:textId="0A61133D" w:rsidR="000E31CA" w:rsidRPr="00AF45B3" w:rsidRDefault="000E31CA" w:rsidP="00E21DD2">
    <w:pPr>
      <w:pStyle w:val="Cabealho"/>
      <w:ind w:right="510"/>
      <w:jc w:val="right"/>
      <w:rPr>
        <w:rFonts w:ascii="Open Sans" w:hAnsi="Open Sans" w:cs="Open Sans"/>
        <w:i/>
        <w:iCs/>
        <w:color w:val="005DA2"/>
        <w:sz w:val="22"/>
        <w:szCs w:val="22"/>
      </w:rPr>
    </w:pPr>
    <w:r w:rsidRPr="00AF45B3">
      <w:rPr>
        <w:rFonts w:ascii="Open Sans" w:hAnsi="Open Sans" w:cs="Open Sans"/>
        <w:i/>
        <w:iCs/>
        <w:color w:val="005DA2"/>
        <w:sz w:val="22"/>
        <w:szCs w:val="22"/>
      </w:rPr>
      <w:t xml:space="preserve">Período: </w:t>
    </w:r>
    <w:r w:rsidR="00C14420">
      <w:rPr>
        <w:rFonts w:ascii="Open Sans" w:hAnsi="Open Sans" w:cs="Open Sans"/>
        <w:i/>
        <w:iCs/>
        <w:color w:val="005DA2"/>
        <w:sz w:val="22"/>
        <w:szCs w:val="22"/>
      </w:rPr>
      <w:t>2</w:t>
    </w:r>
    <w:r w:rsidR="00C36CDA">
      <w:rPr>
        <w:rFonts w:ascii="Open Sans" w:hAnsi="Open Sans" w:cs="Open Sans"/>
        <w:i/>
        <w:iCs/>
        <w:color w:val="005DA2"/>
        <w:sz w:val="22"/>
        <w:szCs w:val="22"/>
      </w:rPr>
      <w:t>8</w:t>
    </w:r>
    <w:r w:rsidR="002973E0">
      <w:rPr>
        <w:rFonts w:ascii="Open Sans" w:hAnsi="Open Sans" w:cs="Open Sans"/>
        <w:i/>
        <w:iCs/>
        <w:color w:val="005DA2"/>
        <w:sz w:val="22"/>
        <w:szCs w:val="22"/>
      </w:rPr>
      <w:t xml:space="preserve"> </w:t>
    </w:r>
    <w:r>
      <w:rPr>
        <w:rFonts w:ascii="Open Sans" w:hAnsi="Open Sans" w:cs="Open Sans"/>
        <w:i/>
        <w:iCs/>
        <w:color w:val="005DA2"/>
        <w:sz w:val="22"/>
        <w:szCs w:val="22"/>
      </w:rPr>
      <w:t>de setembro</w:t>
    </w:r>
    <w:r w:rsidR="00324A61">
      <w:rPr>
        <w:rFonts w:ascii="Open Sans" w:hAnsi="Open Sans" w:cs="Open Sans"/>
        <w:i/>
        <w:iCs/>
        <w:color w:val="005DA2"/>
        <w:sz w:val="22"/>
        <w:szCs w:val="22"/>
      </w:rPr>
      <w:t xml:space="preserve"> a 1</w:t>
    </w:r>
    <w:r w:rsidR="00981FE8">
      <w:rPr>
        <w:rFonts w:ascii="Open Sans" w:hAnsi="Open Sans" w:cs="Open Sans"/>
        <w:i/>
        <w:iCs/>
        <w:color w:val="005DA2"/>
        <w:sz w:val="22"/>
        <w:szCs w:val="22"/>
      </w:rPr>
      <w:t>4</w:t>
    </w:r>
    <w:r w:rsidR="00324A61">
      <w:rPr>
        <w:rFonts w:ascii="Open Sans" w:hAnsi="Open Sans" w:cs="Open Sans"/>
        <w:i/>
        <w:iCs/>
        <w:color w:val="005DA2"/>
        <w:sz w:val="22"/>
        <w:szCs w:val="22"/>
      </w:rPr>
      <w:t xml:space="preserve"> de outubro </w:t>
    </w:r>
    <w:r w:rsidRPr="00AF45B3">
      <w:rPr>
        <w:rFonts w:ascii="Open Sans" w:hAnsi="Open Sans" w:cs="Open Sans"/>
        <w:i/>
        <w:iCs/>
        <w:color w:val="005DA2"/>
        <w:sz w:val="22"/>
        <w:szCs w:val="22"/>
      </w:rPr>
      <w:t>de 2021.</w:t>
    </w:r>
  </w:p>
  <w:p w14:paraId="1D2D7411" w14:textId="77777777" w:rsidR="000E31CA" w:rsidRDefault="000E31CA"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3415"/>
    <w:rsid w:val="0001366C"/>
    <w:rsid w:val="000149BC"/>
    <w:rsid w:val="0001790D"/>
    <w:rsid w:val="00020CD0"/>
    <w:rsid w:val="00021967"/>
    <w:rsid w:val="000228E6"/>
    <w:rsid w:val="000249BA"/>
    <w:rsid w:val="00024CE9"/>
    <w:rsid w:val="000303C3"/>
    <w:rsid w:val="00032056"/>
    <w:rsid w:val="000322FB"/>
    <w:rsid w:val="000332F1"/>
    <w:rsid w:val="00034034"/>
    <w:rsid w:val="00040BBC"/>
    <w:rsid w:val="00041382"/>
    <w:rsid w:val="000425FC"/>
    <w:rsid w:val="000473A5"/>
    <w:rsid w:val="00047F3C"/>
    <w:rsid w:val="00050E85"/>
    <w:rsid w:val="0005125E"/>
    <w:rsid w:val="00052550"/>
    <w:rsid w:val="00052D74"/>
    <w:rsid w:val="00055A9D"/>
    <w:rsid w:val="00056752"/>
    <w:rsid w:val="0005765E"/>
    <w:rsid w:val="00057B87"/>
    <w:rsid w:val="0006020E"/>
    <w:rsid w:val="00063834"/>
    <w:rsid w:val="00064486"/>
    <w:rsid w:val="00065048"/>
    <w:rsid w:val="000665D5"/>
    <w:rsid w:val="00070DD1"/>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2C0"/>
    <w:rsid w:val="00095471"/>
    <w:rsid w:val="000A04E6"/>
    <w:rsid w:val="000A221C"/>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D21AE"/>
    <w:rsid w:val="000E0A91"/>
    <w:rsid w:val="000E1DC1"/>
    <w:rsid w:val="000E31CA"/>
    <w:rsid w:val="000E5C57"/>
    <w:rsid w:val="000E7CBE"/>
    <w:rsid w:val="000F01F9"/>
    <w:rsid w:val="000F0A8E"/>
    <w:rsid w:val="000F1A5B"/>
    <w:rsid w:val="000F260C"/>
    <w:rsid w:val="00106A93"/>
    <w:rsid w:val="001144F9"/>
    <w:rsid w:val="00114BFF"/>
    <w:rsid w:val="0011575C"/>
    <w:rsid w:val="00115E77"/>
    <w:rsid w:val="0011692E"/>
    <w:rsid w:val="00122C2A"/>
    <w:rsid w:val="001257D7"/>
    <w:rsid w:val="00126A9E"/>
    <w:rsid w:val="0013008A"/>
    <w:rsid w:val="00130DCC"/>
    <w:rsid w:val="001365EE"/>
    <w:rsid w:val="00136E86"/>
    <w:rsid w:val="001370CC"/>
    <w:rsid w:val="00137403"/>
    <w:rsid w:val="00137564"/>
    <w:rsid w:val="00137DC1"/>
    <w:rsid w:val="00141630"/>
    <w:rsid w:val="00142C28"/>
    <w:rsid w:val="001444DA"/>
    <w:rsid w:val="00152238"/>
    <w:rsid w:val="001546D6"/>
    <w:rsid w:val="0015612D"/>
    <w:rsid w:val="001562A2"/>
    <w:rsid w:val="00161CDE"/>
    <w:rsid w:val="00161E91"/>
    <w:rsid w:val="00163142"/>
    <w:rsid w:val="001648F5"/>
    <w:rsid w:val="00167E80"/>
    <w:rsid w:val="00176D15"/>
    <w:rsid w:val="0018296E"/>
    <w:rsid w:val="00183803"/>
    <w:rsid w:val="00184590"/>
    <w:rsid w:val="0018640B"/>
    <w:rsid w:val="001879C4"/>
    <w:rsid w:val="00187A37"/>
    <w:rsid w:val="00187BEF"/>
    <w:rsid w:val="0019151D"/>
    <w:rsid w:val="001920CD"/>
    <w:rsid w:val="00192C9D"/>
    <w:rsid w:val="00193208"/>
    <w:rsid w:val="001932B7"/>
    <w:rsid w:val="00194264"/>
    <w:rsid w:val="00197B15"/>
    <w:rsid w:val="001A0C56"/>
    <w:rsid w:val="001B025A"/>
    <w:rsid w:val="001B2C08"/>
    <w:rsid w:val="001B560A"/>
    <w:rsid w:val="001C04D2"/>
    <w:rsid w:val="001C21FB"/>
    <w:rsid w:val="001C271F"/>
    <w:rsid w:val="001C3281"/>
    <w:rsid w:val="001C5885"/>
    <w:rsid w:val="001C6C93"/>
    <w:rsid w:val="001D2817"/>
    <w:rsid w:val="001D4CF9"/>
    <w:rsid w:val="001D4E17"/>
    <w:rsid w:val="001D550B"/>
    <w:rsid w:val="001D5AB0"/>
    <w:rsid w:val="001D6AC9"/>
    <w:rsid w:val="001D757D"/>
    <w:rsid w:val="001E14A9"/>
    <w:rsid w:val="001E14BB"/>
    <w:rsid w:val="001E175B"/>
    <w:rsid w:val="001E3B29"/>
    <w:rsid w:val="001E4B57"/>
    <w:rsid w:val="001E5BD1"/>
    <w:rsid w:val="001E6C64"/>
    <w:rsid w:val="001E713B"/>
    <w:rsid w:val="001E79B4"/>
    <w:rsid w:val="001F030F"/>
    <w:rsid w:val="001F2861"/>
    <w:rsid w:val="001F2F34"/>
    <w:rsid w:val="001F3CD3"/>
    <w:rsid w:val="001F45E0"/>
    <w:rsid w:val="001F58BD"/>
    <w:rsid w:val="001F689A"/>
    <w:rsid w:val="00200A8C"/>
    <w:rsid w:val="002017D2"/>
    <w:rsid w:val="00204C97"/>
    <w:rsid w:val="00206810"/>
    <w:rsid w:val="00207149"/>
    <w:rsid w:val="00207D1D"/>
    <w:rsid w:val="00211D09"/>
    <w:rsid w:val="002156DC"/>
    <w:rsid w:val="002168DE"/>
    <w:rsid w:val="00220B10"/>
    <w:rsid w:val="00222CF6"/>
    <w:rsid w:val="00223F6E"/>
    <w:rsid w:val="00224AC2"/>
    <w:rsid w:val="002264FB"/>
    <w:rsid w:val="00227004"/>
    <w:rsid w:val="00230183"/>
    <w:rsid w:val="0023559D"/>
    <w:rsid w:val="00237380"/>
    <w:rsid w:val="002379E7"/>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292D"/>
    <w:rsid w:val="002930E4"/>
    <w:rsid w:val="002959DE"/>
    <w:rsid w:val="002973E0"/>
    <w:rsid w:val="002A219D"/>
    <w:rsid w:val="002A22C6"/>
    <w:rsid w:val="002A521A"/>
    <w:rsid w:val="002A546D"/>
    <w:rsid w:val="002A5A74"/>
    <w:rsid w:val="002B0750"/>
    <w:rsid w:val="002B4738"/>
    <w:rsid w:val="002B518A"/>
    <w:rsid w:val="002B6377"/>
    <w:rsid w:val="002C2904"/>
    <w:rsid w:val="002C6261"/>
    <w:rsid w:val="002D0CF1"/>
    <w:rsid w:val="002D5A23"/>
    <w:rsid w:val="002E1277"/>
    <w:rsid w:val="002E34AB"/>
    <w:rsid w:val="002E3B9F"/>
    <w:rsid w:val="002E78CB"/>
    <w:rsid w:val="002F28E5"/>
    <w:rsid w:val="002F3931"/>
    <w:rsid w:val="002F71BF"/>
    <w:rsid w:val="003070C9"/>
    <w:rsid w:val="003074FC"/>
    <w:rsid w:val="0031207D"/>
    <w:rsid w:val="003137EF"/>
    <w:rsid w:val="003200A0"/>
    <w:rsid w:val="00322E7E"/>
    <w:rsid w:val="00322F7A"/>
    <w:rsid w:val="00324A61"/>
    <w:rsid w:val="0033397A"/>
    <w:rsid w:val="003339E9"/>
    <w:rsid w:val="00340253"/>
    <w:rsid w:val="00340D16"/>
    <w:rsid w:val="00340E8D"/>
    <w:rsid w:val="00342846"/>
    <w:rsid w:val="00350184"/>
    <w:rsid w:val="003503FC"/>
    <w:rsid w:val="00350ED0"/>
    <w:rsid w:val="00352B27"/>
    <w:rsid w:val="00353524"/>
    <w:rsid w:val="0035374D"/>
    <w:rsid w:val="00355A95"/>
    <w:rsid w:val="00361035"/>
    <w:rsid w:val="00363255"/>
    <w:rsid w:val="0036325E"/>
    <w:rsid w:val="003671FE"/>
    <w:rsid w:val="0037018B"/>
    <w:rsid w:val="003708FD"/>
    <w:rsid w:val="003726D1"/>
    <w:rsid w:val="003745DE"/>
    <w:rsid w:val="0037667D"/>
    <w:rsid w:val="00377D5F"/>
    <w:rsid w:val="00380212"/>
    <w:rsid w:val="00383A89"/>
    <w:rsid w:val="00384075"/>
    <w:rsid w:val="00384531"/>
    <w:rsid w:val="00387F20"/>
    <w:rsid w:val="003908C5"/>
    <w:rsid w:val="00391575"/>
    <w:rsid w:val="00393131"/>
    <w:rsid w:val="0039326C"/>
    <w:rsid w:val="00396053"/>
    <w:rsid w:val="003971B2"/>
    <w:rsid w:val="003A0E52"/>
    <w:rsid w:val="003A1335"/>
    <w:rsid w:val="003A1F0A"/>
    <w:rsid w:val="003A4086"/>
    <w:rsid w:val="003A5E5B"/>
    <w:rsid w:val="003B045C"/>
    <w:rsid w:val="003B0538"/>
    <w:rsid w:val="003B0A59"/>
    <w:rsid w:val="003B0E09"/>
    <w:rsid w:val="003B3EB5"/>
    <w:rsid w:val="003B4E23"/>
    <w:rsid w:val="003B6246"/>
    <w:rsid w:val="003B6B09"/>
    <w:rsid w:val="003B767E"/>
    <w:rsid w:val="003C01E8"/>
    <w:rsid w:val="003C0554"/>
    <w:rsid w:val="003C1AB7"/>
    <w:rsid w:val="003C1F9A"/>
    <w:rsid w:val="003C6FE7"/>
    <w:rsid w:val="003D032E"/>
    <w:rsid w:val="003D4205"/>
    <w:rsid w:val="003E1C53"/>
    <w:rsid w:val="003E3694"/>
    <w:rsid w:val="003E4833"/>
    <w:rsid w:val="003F2078"/>
    <w:rsid w:val="003F4B76"/>
    <w:rsid w:val="003F5EA7"/>
    <w:rsid w:val="004030E0"/>
    <w:rsid w:val="004034A8"/>
    <w:rsid w:val="00404D66"/>
    <w:rsid w:val="0040506F"/>
    <w:rsid w:val="0041011C"/>
    <w:rsid w:val="00411134"/>
    <w:rsid w:val="0041353C"/>
    <w:rsid w:val="00415E67"/>
    <w:rsid w:val="004163E7"/>
    <w:rsid w:val="004166C3"/>
    <w:rsid w:val="00416D9A"/>
    <w:rsid w:val="00420228"/>
    <w:rsid w:val="00423641"/>
    <w:rsid w:val="00425CBA"/>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58C9"/>
    <w:rsid w:val="00466DB9"/>
    <w:rsid w:val="004672FC"/>
    <w:rsid w:val="0047004F"/>
    <w:rsid w:val="0047098F"/>
    <w:rsid w:val="00470EF8"/>
    <w:rsid w:val="00472851"/>
    <w:rsid w:val="004731B7"/>
    <w:rsid w:val="0047749E"/>
    <w:rsid w:val="00486521"/>
    <w:rsid w:val="00486DFC"/>
    <w:rsid w:val="004904A6"/>
    <w:rsid w:val="00490CFC"/>
    <w:rsid w:val="004922D6"/>
    <w:rsid w:val="00494846"/>
    <w:rsid w:val="00494DD1"/>
    <w:rsid w:val="004A094C"/>
    <w:rsid w:val="004A1432"/>
    <w:rsid w:val="004A14FC"/>
    <w:rsid w:val="004A2500"/>
    <w:rsid w:val="004A5264"/>
    <w:rsid w:val="004A5908"/>
    <w:rsid w:val="004A7C59"/>
    <w:rsid w:val="004B21AD"/>
    <w:rsid w:val="004B3120"/>
    <w:rsid w:val="004B63FB"/>
    <w:rsid w:val="004B74D0"/>
    <w:rsid w:val="004C011C"/>
    <w:rsid w:val="004C14EA"/>
    <w:rsid w:val="004C2118"/>
    <w:rsid w:val="004C2612"/>
    <w:rsid w:val="004C749C"/>
    <w:rsid w:val="004C759F"/>
    <w:rsid w:val="004D6000"/>
    <w:rsid w:val="004D60CD"/>
    <w:rsid w:val="004D6415"/>
    <w:rsid w:val="004D697F"/>
    <w:rsid w:val="004D71E8"/>
    <w:rsid w:val="004E1DD6"/>
    <w:rsid w:val="004E2E4B"/>
    <w:rsid w:val="004E393E"/>
    <w:rsid w:val="004E39DA"/>
    <w:rsid w:val="004E4507"/>
    <w:rsid w:val="004E4619"/>
    <w:rsid w:val="004E77AD"/>
    <w:rsid w:val="004F0A7D"/>
    <w:rsid w:val="004F5040"/>
    <w:rsid w:val="00501F3A"/>
    <w:rsid w:val="00503095"/>
    <w:rsid w:val="005059F5"/>
    <w:rsid w:val="00511462"/>
    <w:rsid w:val="00513789"/>
    <w:rsid w:val="0051538E"/>
    <w:rsid w:val="00516CA1"/>
    <w:rsid w:val="00517E01"/>
    <w:rsid w:val="005208C8"/>
    <w:rsid w:val="00521EEC"/>
    <w:rsid w:val="00530B90"/>
    <w:rsid w:val="00530FA0"/>
    <w:rsid w:val="00536EDA"/>
    <w:rsid w:val="005405E7"/>
    <w:rsid w:val="00541717"/>
    <w:rsid w:val="00543122"/>
    <w:rsid w:val="00543484"/>
    <w:rsid w:val="00543B94"/>
    <w:rsid w:val="005460BD"/>
    <w:rsid w:val="005521C8"/>
    <w:rsid w:val="00552D4A"/>
    <w:rsid w:val="00553197"/>
    <w:rsid w:val="0055409E"/>
    <w:rsid w:val="00554139"/>
    <w:rsid w:val="005543D8"/>
    <w:rsid w:val="00556367"/>
    <w:rsid w:val="00556B35"/>
    <w:rsid w:val="00561D76"/>
    <w:rsid w:val="005703D6"/>
    <w:rsid w:val="00572803"/>
    <w:rsid w:val="00573E13"/>
    <w:rsid w:val="005753DA"/>
    <w:rsid w:val="005767AA"/>
    <w:rsid w:val="005811A4"/>
    <w:rsid w:val="00583DCD"/>
    <w:rsid w:val="00584496"/>
    <w:rsid w:val="005848D7"/>
    <w:rsid w:val="00584F82"/>
    <w:rsid w:val="00591DFA"/>
    <w:rsid w:val="005A30AA"/>
    <w:rsid w:val="005A4ED6"/>
    <w:rsid w:val="005A5695"/>
    <w:rsid w:val="005A7F18"/>
    <w:rsid w:val="005B031E"/>
    <w:rsid w:val="005B0A1C"/>
    <w:rsid w:val="005B22CE"/>
    <w:rsid w:val="005B2F00"/>
    <w:rsid w:val="005B3792"/>
    <w:rsid w:val="005B523B"/>
    <w:rsid w:val="005B57DE"/>
    <w:rsid w:val="005B6F6A"/>
    <w:rsid w:val="005C12EE"/>
    <w:rsid w:val="005C1886"/>
    <w:rsid w:val="005C48D4"/>
    <w:rsid w:val="005C761E"/>
    <w:rsid w:val="005D0E5F"/>
    <w:rsid w:val="005D1DE4"/>
    <w:rsid w:val="005E18BC"/>
    <w:rsid w:val="005E1BDB"/>
    <w:rsid w:val="005E2A3F"/>
    <w:rsid w:val="005E35BD"/>
    <w:rsid w:val="005E3D4D"/>
    <w:rsid w:val="005E3F64"/>
    <w:rsid w:val="005E60E9"/>
    <w:rsid w:val="005E7FD1"/>
    <w:rsid w:val="005F0522"/>
    <w:rsid w:val="005F0545"/>
    <w:rsid w:val="005F0B97"/>
    <w:rsid w:val="005F2858"/>
    <w:rsid w:val="005F52AB"/>
    <w:rsid w:val="005F7866"/>
    <w:rsid w:val="005F7EDF"/>
    <w:rsid w:val="006002E3"/>
    <w:rsid w:val="00601414"/>
    <w:rsid w:val="00602FF7"/>
    <w:rsid w:val="0060683F"/>
    <w:rsid w:val="006145AC"/>
    <w:rsid w:val="00615F98"/>
    <w:rsid w:val="00616503"/>
    <w:rsid w:val="006207F5"/>
    <w:rsid w:val="00621112"/>
    <w:rsid w:val="006218F2"/>
    <w:rsid w:val="00621CAC"/>
    <w:rsid w:val="00621F9C"/>
    <w:rsid w:val="00623D44"/>
    <w:rsid w:val="006261EC"/>
    <w:rsid w:val="00631166"/>
    <w:rsid w:val="00631F1C"/>
    <w:rsid w:val="00636289"/>
    <w:rsid w:val="006366A4"/>
    <w:rsid w:val="00640D6E"/>
    <w:rsid w:val="006425DD"/>
    <w:rsid w:val="00643B59"/>
    <w:rsid w:val="00643B60"/>
    <w:rsid w:val="006456B1"/>
    <w:rsid w:val="0065173E"/>
    <w:rsid w:val="00652D93"/>
    <w:rsid w:val="006542B6"/>
    <w:rsid w:val="00654B75"/>
    <w:rsid w:val="006564EC"/>
    <w:rsid w:val="0066084C"/>
    <w:rsid w:val="00661B23"/>
    <w:rsid w:val="006628FD"/>
    <w:rsid w:val="00665956"/>
    <w:rsid w:val="00665CCF"/>
    <w:rsid w:val="006717E0"/>
    <w:rsid w:val="006721F1"/>
    <w:rsid w:val="00672CF9"/>
    <w:rsid w:val="00672E11"/>
    <w:rsid w:val="00675619"/>
    <w:rsid w:val="0068273B"/>
    <w:rsid w:val="006847A0"/>
    <w:rsid w:val="006862F3"/>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BE6"/>
    <w:rsid w:val="006D1F66"/>
    <w:rsid w:val="006D2CEC"/>
    <w:rsid w:val="006D306E"/>
    <w:rsid w:val="006D41D7"/>
    <w:rsid w:val="006D4497"/>
    <w:rsid w:val="006D636B"/>
    <w:rsid w:val="006D7C49"/>
    <w:rsid w:val="006E1A9C"/>
    <w:rsid w:val="006E3B5C"/>
    <w:rsid w:val="006E5D21"/>
    <w:rsid w:val="006F1AAE"/>
    <w:rsid w:val="006F2D43"/>
    <w:rsid w:val="006F62EB"/>
    <w:rsid w:val="006F6C15"/>
    <w:rsid w:val="00700B1B"/>
    <w:rsid w:val="007023BC"/>
    <w:rsid w:val="007029CF"/>
    <w:rsid w:val="00707022"/>
    <w:rsid w:val="0070727E"/>
    <w:rsid w:val="007101D6"/>
    <w:rsid w:val="00710D3A"/>
    <w:rsid w:val="00711749"/>
    <w:rsid w:val="0071315F"/>
    <w:rsid w:val="007136F6"/>
    <w:rsid w:val="007159C7"/>
    <w:rsid w:val="00720057"/>
    <w:rsid w:val="00721942"/>
    <w:rsid w:val="00722A18"/>
    <w:rsid w:val="00722BE7"/>
    <w:rsid w:val="00723134"/>
    <w:rsid w:val="007254E8"/>
    <w:rsid w:val="00730CC7"/>
    <w:rsid w:val="00732DF2"/>
    <w:rsid w:val="0073442D"/>
    <w:rsid w:val="00735B8F"/>
    <w:rsid w:val="007403B3"/>
    <w:rsid w:val="007404B2"/>
    <w:rsid w:val="007446C7"/>
    <w:rsid w:val="00747941"/>
    <w:rsid w:val="00750B85"/>
    <w:rsid w:val="00752730"/>
    <w:rsid w:val="007568FD"/>
    <w:rsid w:val="007614F1"/>
    <w:rsid w:val="007618C5"/>
    <w:rsid w:val="00764066"/>
    <w:rsid w:val="0076427D"/>
    <w:rsid w:val="00764D55"/>
    <w:rsid w:val="00766B7B"/>
    <w:rsid w:val="00770DBC"/>
    <w:rsid w:val="0077600F"/>
    <w:rsid w:val="007760AE"/>
    <w:rsid w:val="00776118"/>
    <w:rsid w:val="00781C77"/>
    <w:rsid w:val="00787495"/>
    <w:rsid w:val="00790F13"/>
    <w:rsid w:val="00792BFD"/>
    <w:rsid w:val="00793A1C"/>
    <w:rsid w:val="00796745"/>
    <w:rsid w:val="007A28FF"/>
    <w:rsid w:val="007A4009"/>
    <w:rsid w:val="007A4F78"/>
    <w:rsid w:val="007A52F4"/>
    <w:rsid w:val="007A6AF4"/>
    <w:rsid w:val="007A7125"/>
    <w:rsid w:val="007B0F83"/>
    <w:rsid w:val="007B5D65"/>
    <w:rsid w:val="007C0A4F"/>
    <w:rsid w:val="007D0081"/>
    <w:rsid w:val="007D1983"/>
    <w:rsid w:val="007D19FC"/>
    <w:rsid w:val="007D29A1"/>
    <w:rsid w:val="007D2B4E"/>
    <w:rsid w:val="007D2DB0"/>
    <w:rsid w:val="007D2EE9"/>
    <w:rsid w:val="007D469A"/>
    <w:rsid w:val="007D4BC4"/>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3C8"/>
    <w:rsid w:val="007F3CEB"/>
    <w:rsid w:val="007F66BC"/>
    <w:rsid w:val="007F6A37"/>
    <w:rsid w:val="007F7AFC"/>
    <w:rsid w:val="007F7B5E"/>
    <w:rsid w:val="00800B97"/>
    <w:rsid w:val="00801246"/>
    <w:rsid w:val="00801F11"/>
    <w:rsid w:val="00802B1A"/>
    <w:rsid w:val="00805CD2"/>
    <w:rsid w:val="0080615C"/>
    <w:rsid w:val="0081027F"/>
    <w:rsid w:val="0081352D"/>
    <w:rsid w:val="00815622"/>
    <w:rsid w:val="0081742D"/>
    <w:rsid w:val="00817AB1"/>
    <w:rsid w:val="00820419"/>
    <w:rsid w:val="00820817"/>
    <w:rsid w:val="00821F4D"/>
    <w:rsid w:val="00823906"/>
    <w:rsid w:val="00823E24"/>
    <w:rsid w:val="00824068"/>
    <w:rsid w:val="00836AC2"/>
    <w:rsid w:val="008409D3"/>
    <w:rsid w:val="008420B2"/>
    <w:rsid w:val="0084319F"/>
    <w:rsid w:val="00843F5F"/>
    <w:rsid w:val="00844374"/>
    <w:rsid w:val="00844FEB"/>
    <w:rsid w:val="00845559"/>
    <w:rsid w:val="00846104"/>
    <w:rsid w:val="0084797B"/>
    <w:rsid w:val="00852ABC"/>
    <w:rsid w:val="008532E4"/>
    <w:rsid w:val="00854DB8"/>
    <w:rsid w:val="00854EF2"/>
    <w:rsid w:val="00855623"/>
    <w:rsid w:val="00855D99"/>
    <w:rsid w:val="0086211B"/>
    <w:rsid w:val="008622CF"/>
    <w:rsid w:val="008627C6"/>
    <w:rsid w:val="00863B86"/>
    <w:rsid w:val="00864932"/>
    <w:rsid w:val="008652A2"/>
    <w:rsid w:val="008706CD"/>
    <w:rsid w:val="0087169D"/>
    <w:rsid w:val="00871F69"/>
    <w:rsid w:val="00872052"/>
    <w:rsid w:val="008722F9"/>
    <w:rsid w:val="0087302E"/>
    <w:rsid w:val="00875A47"/>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8F"/>
    <w:rsid w:val="008B32D4"/>
    <w:rsid w:val="008C259C"/>
    <w:rsid w:val="008C7AD0"/>
    <w:rsid w:val="008D0020"/>
    <w:rsid w:val="008D3C38"/>
    <w:rsid w:val="008D3C4B"/>
    <w:rsid w:val="008D5CA9"/>
    <w:rsid w:val="008D6A05"/>
    <w:rsid w:val="008E1174"/>
    <w:rsid w:val="008E12B6"/>
    <w:rsid w:val="008E2184"/>
    <w:rsid w:val="008E2AE5"/>
    <w:rsid w:val="008E2BCA"/>
    <w:rsid w:val="008E3CCE"/>
    <w:rsid w:val="008E3F89"/>
    <w:rsid w:val="008E5117"/>
    <w:rsid w:val="008E7C43"/>
    <w:rsid w:val="008E7D58"/>
    <w:rsid w:val="008F26CB"/>
    <w:rsid w:val="008F36EC"/>
    <w:rsid w:val="008F3D95"/>
    <w:rsid w:val="008F6509"/>
    <w:rsid w:val="008F65B6"/>
    <w:rsid w:val="008F79D9"/>
    <w:rsid w:val="009027C8"/>
    <w:rsid w:val="00910EEF"/>
    <w:rsid w:val="00914612"/>
    <w:rsid w:val="00917A23"/>
    <w:rsid w:val="00920B0C"/>
    <w:rsid w:val="00922D1B"/>
    <w:rsid w:val="00930461"/>
    <w:rsid w:val="00930710"/>
    <w:rsid w:val="0093467A"/>
    <w:rsid w:val="009353F1"/>
    <w:rsid w:val="009376D6"/>
    <w:rsid w:val="0094155C"/>
    <w:rsid w:val="00946444"/>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1FE8"/>
    <w:rsid w:val="00986D77"/>
    <w:rsid w:val="009914D7"/>
    <w:rsid w:val="00993A6E"/>
    <w:rsid w:val="009943EC"/>
    <w:rsid w:val="009A0896"/>
    <w:rsid w:val="009A16E8"/>
    <w:rsid w:val="009A1BAD"/>
    <w:rsid w:val="009A32D5"/>
    <w:rsid w:val="009A541D"/>
    <w:rsid w:val="009A5D37"/>
    <w:rsid w:val="009A610E"/>
    <w:rsid w:val="009A6BD9"/>
    <w:rsid w:val="009A76A2"/>
    <w:rsid w:val="009B289E"/>
    <w:rsid w:val="009B320F"/>
    <w:rsid w:val="009B3472"/>
    <w:rsid w:val="009B38A1"/>
    <w:rsid w:val="009B41F7"/>
    <w:rsid w:val="009B479C"/>
    <w:rsid w:val="009B6012"/>
    <w:rsid w:val="009B6455"/>
    <w:rsid w:val="009C0EBA"/>
    <w:rsid w:val="009C102D"/>
    <w:rsid w:val="009C2A4F"/>
    <w:rsid w:val="009C4834"/>
    <w:rsid w:val="009C56F2"/>
    <w:rsid w:val="009D10FB"/>
    <w:rsid w:val="009D1BDE"/>
    <w:rsid w:val="009D232F"/>
    <w:rsid w:val="009D2FB1"/>
    <w:rsid w:val="009D312C"/>
    <w:rsid w:val="009D32AE"/>
    <w:rsid w:val="009D4C59"/>
    <w:rsid w:val="009D56D7"/>
    <w:rsid w:val="009D7F91"/>
    <w:rsid w:val="009E20EF"/>
    <w:rsid w:val="009E2478"/>
    <w:rsid w:val="009E26EE"/>
    <w:rsid w:val="009E534D"/>
    <w:rsid w:val="009E631E"/>
    <w:rsid w:val="009E6646"/>
    <w:rsid w:val="009F1C7B"/>
    <w:rsid w:val="009F21A2"/>
    <w:rsid w:val="00A00D70"/>
    <w:rsid w:val="00A00DEE"/>
    <w:rsid w:val="00A01E4F"/>
    <w:rsid w:val="00A02580"/>
    <w:rsid w:val="00A0468E"/>
    <w:rsid w:val="00A04C95"/>
    <w:rsid w:val="00A10D04"/>
    <w:rsid w:val="00A134B1"/>
    <w:rsid w:val="00A201D9"/>
    <w:rsid w:val="00A27889"/>
    <w:rsid w:val="00A32D95"/>
    <w:rsid w:val="00A32FBF"/>
    <w:rsid w:val="00A3307E"/>
    <w:rsid w:val="00A407EA"/>
    <w:rsid w:val="00A40D9C"/>
    <w:rsid w:val="00A4138D"/>
    <w:rsid w:val="00A46D46"/>
    <w:rsid w:val="00A51749"/>
    <w:rsid w:val="00A521B6"/>
    <w:rsid w:val="00A56962"/>
    <w:rsid w:val="00A62DD3"/>
    <w:rsid w:val="00A6382F"/>
    <w:rsid w:val="00A63855"/>
    <w:rsid w:val="00A6412C"/>
    <w:rsid w:val="00A72F01"/>
    <w:rsid w:val="00A72FAF"/>
    <w:rsid w:val="00A75419"/>
    <w:rsid w:val="00A76661"/>
    <w:rsid w:val="00A76D2A"/>
    <w:rsid w:val="00A81F5B"/>
    <w:rsid w:val="00A82081"/>
    <w:rsid w:val="00A83B97"/>
    <w:rsid w:val="00A8557E"/>
    <w:rsid w:val="00A8660B"/>
    <w:rsid w:val="00A87756"/>
    <w:rsid w:val="00A903E4"/>
    <w:rsid w:val="00A91181"/>
    <w:rsid w:val="00A925D6"/>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306F"/>
    <w:rsid w:val="00AC4F6C"/>
    <w:rsid w:val="00AD0ED3"/>
    <w:rsid w:val="00AD1400"/>
    <w:rsid w:val="00AD2BB0"/>
    <w:rsid w:val="00AD6E76"/>
    <w:rsid w:val="00AE3EAA"/>
    <w:rsid w:val="00AE5EDF"/>
    <w:rsid w:val="00AE758A"/>
    <w:rsid w:val="00AF45B3"/>
    <w:rsid w:val="00AF77DF"/>
    <w:rsid w:val="00B0219E"/>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7B8"/>
    <w:rsid w:val="00B24DBE"/>
    <w:rsid w:val="00B335D5"/>
    <w:rsid w:val="00B34EB2"/>
    <w:rsid w:val="00B377BE"/>
    <w:rsid w:val="00B408DE"/>
    <w:rsid w:val="00B41C8C"/>
    <w:rsid w:val="00B4728A"/>
    <w:rsid w:val="00B5110B"/>
    <w:rsid w:val="00B517C3"/>
    <w:rsid w:val="00B518B2"/>
    <w:rsid w:val="00B526EA"/>
    <w:rsid w:val="00B5311A"/>
    <w:rsid w:val="00B536FE"/>
    <w:rsid w:val="00B55AB4"/>
    <w:rsid w:val="00B60670"/>
    <w:rsid w:val="00B63508"/>
    <w:rsid w:val="00B645E4"/>
    <w:rsid w:val="00B73FFA"/>
    <w:rsid w:val="00B74A6E"/>
    <w:rsid w:val="00B77162"/>
    <w:rsid w:val="00B82CC4"/>
    <w:rsid w:val="00B838C3"/>
    <w:rsid w:val="00B85AF5"/>
    <w:rsid w:val="00B86218"/>
    <w:rsid w:val="00B874F1"/>
    <w:rsid w:val="00B877E0"/>
    <w:rsid w:val="00B91001"/>
    <w:rsid w:val="00B95963"/>
    <w:rsid w:val="00B96783"/>
    <w:rsid w:val="00B974FB"/>
    <w:rsid w:val="00BA4636"/>
    <w:rsid w:val="00BA5D61"/>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10"/>
    <w:rsid w:val="00BE3152"/>
    <w:rsid w:val="00BE555C"/>
    <w:rsid w:val="00BF0693"/>
    <w:rsid w:val="00BF1286"/>
    <w:rsid w:val="00BF6308"/>
    <w:rsid w:val="00C028BC"/>
    <w:rsid w:val="00C070DE"/>
    <w:rsid w:val="00C071F9"/>
    <w:rsid w:val="00C07598"/>
    <w:rsid w:val="00C1383D"/>
    <w:rsid w:val="00C14420"/>
    <w:rsid w:val="00C15175"/>
    <w:rsid w:val="00C15EC0"/>
    <w:rsid w:val="00C1742B"/>
    <w:rsid w:val="00C216BD"/>
    <w:rsid w:val="00C21CDE"/>
    <w:rsid w:val="00C230F3"/>
    <w:rsid w:val="00C232C2"/>
    <w:rsid w:val="00C239E0"/>
    <w:rsid w:val="00C24A8C"/>
    <w:rsid w:val="00C2671D"/>
    <w:rsid w:val="00C26DFB"/>
    <w:rsid w:val="00C273FA"/>
    <w:rsid w:val="00C30CEF"/>
    <w:rsid w:val="00C30D06"/>
    <w:rsid w:val="00C32191"/>
    <w:rsid w:val="00C361FD"/>
    <w:rsid w:val="00C36CDA"/>
    <w:rsid w:val="00C37916"/>
    <w:rsid w:val="00C41058"/>
    <w:rsid w:val="00C42067"/>
    <w:rsid w:val="00C432D0"/>
    <w:rsid w:val="00C4398E"/>
    <w:rsid w:val="00C44218"/>
    <w:rsid w:val="00C4666E"/>
    <w:rsid w:val="00C51600"/>
    <w:rsid w:val="00C524B7"/>
    <w:rsid w:val="00C54185"/>
    <w:rsid w:val="00C5761D"/>
    <w:rsid w:val="00C57E92"/>
    <w:rsid w:val="00C60B4A"/>
    <w:rsid w:val="00C61DAD"/>
    <w:rsid w:val="00C64A29"/>
    <w:rsid w:val="00C65BDB"/>
    <w:rsid w:val="00C66C95"/>
    <w:rsid w:val="00C6738C"/>
    <w:rsid w:val="00C70F39"/>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29A"/>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124A"/>
    <w:rsid w:val="00CE233C"/>
    <w:rsid w:val="00CE2928"/>
    <w:rsid w:val="00CE314A"/>
    <w:rsid w:val="00CE5865"/>
    <w:rsid w:val="00CE6ED8"/>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27C9E"/>
    <w:rsid w:val="00D31480"/>
    <w:rsid w:val="00D31541"/>
    <w:rsid w:val="00D4021B"/>
    <w:rsid w:val="00D4059E"/>
    <w:rsid w:val="00D413DB"/>
    <w:rsid w:val="00D41890"/>
    <w:rsid w:val="00D41D4E"/>
    <w:rsid w:val="00D420E2"/>
    <w:rsid w:val="00D42248"/>
    <w:rsid w:val="00D4459D"/>
    <w:rsid w:val="00D44B24"/>
    <w:rsid w:val="00D50FBE"/>
    <w:rsid w:val="00D52863"/>
    <w:rsid w:val="00D530B9"/>
    <w:rsid w:val="00D56BB6"/>
    <w:rsid w:val="00D570E4"/>
    <w:rsid w:val="00D573F9"/>
    <w:rsid w:val="00D57533"/>
    <w:rsid w:val="00D60532"/>
    <w:rsid w:val="00D6058B"/>
    <w:rsid w:val="00D60814"/>
    <w:rsid w:val="00D608E5"/>
    <w:rsid w:val="00D60A95"/>
    <w:rsid w:val="00D61A05"/>
    <w:rsid w:val="00D62D9E"/>
    <w:rsid w:val="00D63EC5"/>
    <w:rsid w:val="00D6459D"/>
    <w:rsid w:val="00D64BC3"/>
    <w:rsid w:val="00D66C46"/>
    <w:rsid w:val="00D708CB"/>
    <w:rsid w:val="00D7126F"/>
    <w:rsid w:val="00D72C05"/>
    <w:rsid w:val="00D73575"/>
    <w:rsid w:val="00D735BF"/>
    <w:rsid w:val="00D737B6"/>
    <w:rsid w:val="00D77672"/>
    <w:rsid w:val="00D779F0"/>
    <w:rsid w:val="00D80222"/>
    <w:rsid w:val="00D847CF"/>
    <w:rsid w:val="00D86B86"/>
    <w:rsid w:val="00D87328"/>
    <w:rsid w:val="00D87489"/>
    <w:rsid w:val="00D93BE8"/>
    <w:rsid w:val="00D93E97"/>
    <w:rsid w:val="00D9627B"/>
    <w:rsid w:val="00DA015E"/>
    <w:rsid w:val="00DA0A99"/>
    <w:rsid w:val="00DA0A9D"/>
    <w:rsid w:val="00DA2B28"/>
    <w:rsid w:val="00DA54D4"/>
    <w:rsid w:val="00DA6086"/>
    <w:rsid w:val="00DA7603"/>
    <w:rsid w:val="00DA7E39"/>
    <w:rsid w:val="00DA7EDE"/>
    <w:rsid w:val="00DB0223"/>
    <w:rsid w:val="00DB047C"/>
    <w:rsid w:val="00DB1D79"/>
    <w:rsid w:val="00DB5028"/>
    <w:rsid w:val="00DC0AB5"/>
    <w:rsid w:val="00DC30DD"/>
    <w:rsid w:val="00DC3451"/>
    <w:rsid w:val="00DC50EB"/>
    <w:rsid w:val="00DC67B2"/>
    <w:rsid w:val="00DC7F71"/>
    <w:rsid w:val="00DD19F4"/>
    <w:rsid w:val="00DD3DAA"/>
    <w:rsid w:val="00DD3FA0"/>
    <w:rsid w:val="00DE24D5"/>
    <w:rsid w:val="00DE2CC9"/>
    <w:rsid w:val="00DE411D"/>
    <w:rsid w:val="00DE5B2D"/>
    <w:rsid w:val="00DE5C3E"/>
    <w:rsid w:val="00DE5CE9"/>
    <w:rsid w:val="00DF3036"/>
    <w:rsid w:val="00DF45BB"/>
    <w:rsid w:val="00DF71EE"/>
    <w:rsid w:val="00DF729A"/>
    <w:rsid w:val="00E006DC"/>
    <w:rsid w:val="00E03064"/>
    <w:rsid w:val="00E0372D"/>
    <w:rsid w:val="00E03F9C"/>
    <w:rsid w:val="00E04BD5"/>
    <w:rsid w:val="00E070D2"/>
    <w:rsid w:val="00E100F5"/>
    <w:rsid w:val="00E1139A"/>
    <w:rsid w:val="00E126EB"/>
    <w:rsid w:val="00E14692"/>
    <w:rsid w:val="00E1539C"/>
    <w:rsid w:val="00E162B6"/>
    <w:rsid w:val="00E16E01"/>
    <w:rsid w:val="00E20FC8"/>
    <w:rsid w:val="00E21DD2"/>
    <w:rsid w:val="00E220DD"/>
    <w:rsid w:val="00E24A50"/>
    <w:rsid w:val="00E25A69"/>
    <w:rsid w:val="00E26DC5"/>
    <w:rsid w:val="00E31469"/>
    <w:rsid w:val="00E327C6"/>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561E1"/>
    <w:rsid w:val="00E572EA"/>
    <w:rsid w:val="00E60AD3"/>
    <w:rsid w:val="00E60EDA"/>
    <w:rsid w:val="00E62495"/>
    <w:rsid w:val="00E62BBC"/>
    <w:rsid w:val="00E67BAE"/>
    <w:rsid w:val="00E711AE"/>
    <w:rsid w:val="00E716F3"/>
    <w:rsid w:val="00E737AD"/>
    <w:rsid w:val="00E76789"/>
    <w:rsid w:val="00E774F6"/>
    <w:rsid w:val="00E8106F"/>
    <w:rsid w:val="00E811B6"/>
    <w:rsid w:val="00E91A0E"/>
    <w:rsid w:val="00E931FF"/>
    <w:rsid w:val="00E9405F"/>
    <w:rsid w:val="00E9503C"/>
    <w:rsid w:val="00E956D9"/>
    <w:rsid w:val="00EA10DA"/>
    <w:rsid w:val="00EA1958"/>
    <w:rsid w:val="00EA29F5"/>
    <w:rsid w:val="00EA482D"/>
    <w:rsid w:val="00EA4C55"/>
    <w:rsid w:val="00EA52B3"/>
    <w:rsid w:val="00EA6938"/>
    <w:rsid w:val="00EB47AC"/>
    <w:rsid w:val="00EB5FE6"/>
    <w:rsid w:val="00EB61A5"/>
    <w:rsid w:val="00EB6C1B"/>
    <w:rsid w:val="00EB7A09"/>
    <w:rsid w:val="00EC04A5"/>
    <w:rsid w:val="00EC0C9C"/>
    <w:rsid w:val="00EC0EDC"/>
    <w:rsid w:val="00EC5AF4"/>
    <w:rsid w:val="00EC6FA8"/>
    <w:rsid w:val="00EC7E0B"/>
    <w:rsid w:val="00ED0A00"/>
    <w:rsid w:val="00ED2A67"/>
    <w:rsid w:val="00ED4508"/>
    <w:rsid w:val="00ED661C"/>
    <w:rsid w:val="00ED7FB5"/>
    <w:rsid w:val="00EE1D6C"/>
    <w:rsid w:val="00EE41B5"/>
    <w:rsid w:val="00EE66C9"/>
    <w:rsid w:val="00EF10DB"/>
    <w:rsid w:val="00EF11A9"/>
    <w:rsid w:val="00EF38E1"/>
    <w:rsid w:val="00EF4108"/>
    <w:rsid w:val="00EF749A"/>
    <w:rsid w:val="00EF771E"/>
    <w:rsid w:val="00F012E0"/>
    <w:rsid w:val="00F02565"/>
    <w:rsid w:val="00F026EC"/>
    <w:rsid w:val="00F0501A"/>
    <w:rsid w:val="00F05542"/>
    <w:rsid w:val="00F060BB"/>
    <w:rsid w:val="00F06855"/>
    <w:rsid w:val="00F123AF"/>
    <w:rsid w:val="00F13A96"/>
    <w:rsid w:val="00F16D0F"/>
    <w:rsid w:val="00F17A2C"/>
    <w:rsid w:val="00F17E86"/>
    <w:rsid w:val="00F21A70"/>
    <w:rsid w:val="00F2234D"/>
    <w:rsid w:val="00F23254"/>
    <w:rsid w:val="00F26708"/>
    <w:rsid w:val="00F30FF2"/>
    <w:rsid w:val="00F32CEC"/>
    <w:rsid w:val="00F3463D"/>
    <w:rsid w:val="00F34857"/>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4C6A"/>
    <w:rsid w:val="00F65243"/>
    <w:rsid w:val="00F6746D"/>
    <w:rsid w:val="00F675D5"/>
    <w:rsid w:val="00F74361"/>
    <w:rsid w:val="00F753D1"/>
    <w:rsid w:val="00F7766D"/>
    <w:rsid w:val="00F777B1"/>
    <w:rsid w:val="00F80B38"/>
    <w:rsid w:val="00F811CD"/>
    <w:rsid w:val="00F82D8F"/>
    <w:rsid w:val="00F83AC5"/>
    <w:rsid w:val="00F83F62"/>
    <w:rsid w:val="00F907EB"/>
    <w:rsid w:val="00F949B8"/>
    <w:rsid w:val="00F96061"/>
    <w:rsid w:val="00F96CA7"/>
    <w:rsid w:val="00F9711D"/>
    <w:rsid w:val="00FA011F"/>
    <w:rsid w:val="00FA1DCF"/>
    <w:rsid w:val="00FA3E3A"/>
    <w:rsid w:val="00FA70AD"/>
    <w:rsid w:val="00FA7544"/>
    <w:rsid w:val="00FA75E0"/>
    <w:rsid w:val="00FA7771"/>
    <w:rsid w:val="00FB0AFB"/>
    <w:rsid w:val="00FB0C06"/>
    <w:rsid w:val="00FB0DC9"/>
    <w:rsid w:val="00FB20B1"/>
    <w:rsid w:val="00FB27AA"/>
    <w:rsid w:val="00FB3AB4"/>
    <w:rsid w:val="00FB6188"/>
    <w:rsid w:val="00FB78D2"/>
    <w:rsid w:val="00FC1D88"/>
    <w:rsid w:val="00FC35EC"/>
    <w:rsid w:val="00FC56A4"/>
    <w:rsid w:val="00FC6872"/>
    <w:rsid w:val="00FD029A"/>
    <w:rsid w:val="00FD049C"/>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ecimalSymbol w:val=","/>
  <w:listSeparator w:val=";"/>
  <w14:docId w14:val="2F73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01"/>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tro,Corpo1,tex,trelatório + Courie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 w:type="character" w:customStyle="1" w:styleId="UnresolvedMention">
    <w:name w:val="Unresolved Mention"/>
    <w:basedOn w:val="Fontepargpadro"/>
    <w:uiPriority w:val="99"/>
    <w:semiHidden/>
    <w:unhideWhenUsed/>
    <w:rsid w:val="009B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091513588">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417170352">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jsessionid=Kj_ek3A4tuHCUQWbE5oxrn4DbzHfvzVY71KG35ld.consultaprocessual-13-k6r94?conscsjt=&amp;numeroTst=1023&amp;digitoTst=93&amp;anoTst=2015&amp;orgaoTst=5&amp;tribunalTst=05&amp;varaTst=0000&amp;consulta=Consultar" TargetMode="External"/><Relationship Id="rId18" Type="http://schemas.openxmlformats.org/officeDocument/2006/relationships/hyperlink" Target="http://aplicacao4.tst.jus.br/consultaProcessual/consultaTstNumUnica.do?consulta=Consultar&amp;conscsjt=&amp;numeroTst=24947&amp;digitoTst=34&amp;anoTst=2018&amp;orgaoTst=5&amp;tribunalTst=24&amp;varaTst=0022&amp;submit=Consult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st.jus.br/push" TargetMode="External"/><Relationship Id="rId7" Type="http://schemas.openxmlformats.org/officeDocument/2006/relationships/footnotes" Target="footnotes.xml"/><Relationship Id="rId12" Type="http://schemas.openxmlformats.org/officeDocument/2006/relationships/hyperlink" Target="http://aplicacao4.tst.jus.br/consultaProcessual/resumoForm.do?consulta=1&amp;numeroInt=190337&amp;anoInt=2013" TargetMode="External"/><Relationship Id="rId17" Type="http://schemas.openxmlformats.org/officeDocument/2006/relationships/hyperlink" Target="http://aplicacao5.tst.jus.br/consultaProcessual/resumoForm.do?consulta=1&amp;numeroInt=2915&amp;anoInt=20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276&amp;digitoTst=24&amp;anoTst=2017&amp;orgaoTst=5&amp;tribunalTst=08&amp;varaTst=0131&amp;submit=Consultar" TargetMode="External"/><Relationship Id="rId20" Type="http://schemas.openxmlformats.org/officeDocument/2006/relationships/hyperlink" Target="http://www.tst.jus.br/web/guest/informativo-t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5.tst.jus.br/consultaProcessual/resumoForm.do?consulta=1&amp;numeroInt=191287&amp;anoInt=2018"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502&amp;digitoTst=16&amp;anoTst=2016&amp;orgaoTst=5&amp;tribunalTst=09&amp;varaTst=0126&amp;submit=Consultar" TargetMode="External"/><Relationship Id="rId23" Type="http://schemas.openxmlformats.org/officeDocument/2006/relationships/footer" Target="footer1.xml"/><Relationship Id="rId10" Type="http://schemas.openxmlformats.org/officeDocument/2006/relationships/hyperlink" Target="http://aplicacao4.tst.jus.br/consultaProcessual/consultaTstNumUnica.do?consulta=Consultar&amp;conscsjt=&amp;numeroTst=1001796&amp;digitoTst=60&amp;anoTst=2014&amp;orgaoTst=5&amp;tribunalTst=02&amp;varaTst=0382&amp;submit=Consultar" TargetMode="External"/><Relationship Id="rId19" Type="http://schemas.openxmlformats.org/officeDocument/2006/relationships/hyperlink" Target="mailto:cjur@tst.jus.br" TargetMode="External"/><Relationship Id="rId4" Type="http://schemas.microsoft.com/office/2007/relationships/stylesWithEffects" Target="stylesWithEffects.xml"/><Relationship Id="rId9" Type="http://schemas.openxmlformats.org/officeDocument/2006/relationships/hyperlink" Target="http://aplicacao5.tst.jus.br/consultaProcessual/resumoForm.do?consulta=1&amp;numeroInt=238806&amp;anoInt=2016" TargetMode="External"/><Relationship Id="rId14" Type="http://schemas.openxmlformats.org/officeDocument/2006/relationships/hyperlink" Target="http://aplicacao4.tst.jus.br/consultaProcessual/consultaTstNumUnica.do?consulta=Consultar&amp;conscsjt=&amp;numeroTst=1000279&amp;digitoTst=26&amp;anoTst=2019&amp;orgaoTst=5&amp;tribunalTst=02&amp;varaTst=0000&amp;submit=Consulta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78CB3-6562-432E-9BF1-D8C43544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3114</Words>
  <Characters>19524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22593</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98</cp:revision>
  <cp:lastPrinted>2019-10-29T20:50:00Z</cp:lastPrinted>
  <dcterms:created xsi:type="dcterms:W3CDTF">2021-07-22T20:32:00Z</dcterms:created>
  <dcterms:modified xsi:type="dcterms:W3CDTF">2021-10-21T12:02:00Z</dcterms:modified>
</cp:coreProperties>
</file>